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96A992" w14:textId="0782BC3C" w:rsidR="008E3F7A" w:rsidRPr="008E3F7A" w:rsidRDefault="008E3F7A">
      <w:pPr>
        <w:rPr>
          <w:rFonts w:ascii="Arial" w:hAnsi="Arial" w:cs="Arial"/>
          <w:color w:val="002060"/>
          <w:sz w:val="36"/>
          <w:szCs w:val="24"/>
        </w:rPr>
      </w:pPr>
      <w:bookmarkStart w:id="0" w:name="_GoBack"/>
      <w:r w:rsidRPr="008E3F7A">
        <w:rPr>
          <w:rFonts w:ascii="Arial" w:hAnsi="Arial" w:cs="Arial"/>
          <w:color w:val="002060"/>
          <w:sz w:val="36"/>
          <w:szCs w:val="24"/>
        </w:rPr>
        <w:t xml:space="preserve">    </w:t>
      </w:r>
      <w:r w:rsidR="00666850">
        <w:rPr>
          <w:rFonts w:ascii="Arial" w:hAnsi="Arial" w:cs="Arial"/>
          <w:color w:val="002060"/>
          <w:sz w:val="36"/>
          <w:szCs w:val="24"/>
        </w:rPr>
        <w:t xml:space="preserve">                  </w:t>
      </w:r>
      <w:r w:rsidRPr="008E3F7A">
        <w:rPr>
          <w:rFonts w:ascii="Arial" w:hAnsi="Arial" w:cs="Arial"/>
          <w:color w:val="002060"/>
          <w:sz w:val="36"/>
          <w:szCs w:val="24"/>
        </w:rPr>
        <w:t xml:space="preserve">   FINANCIAL ACCOUNTING</w:t>
      </w:r>
    </w:p>
    <w:p w14:paraId="16B36E39" w14:textId="6B91260E" w:rsidR="008E3F7A" w:rsidRPr="00AB02BA" w:rsidRDefault="00DD1920">
      <w:pPr>
        <w:rPr>
          <w:rFonts w:ascii="Arial" w:hAnsi="Arial" w:cs="Arial"/>
          <w:color w:val="0070C0"/>
          <w:sz w:val="44"/>
          <w:szCs w:val="24"/>
        </w:rPr>
      </w:pPr>
      <w:r>
        <w:rPr>
          <w:rFonts w:ascii="Arial" w:hAnsi="Arial" w:cs="Arial"/>
          <w:color w:val="0070C0"/>
          <w:sz w:val="44"/>
          <w:szCs w:val="24"/>
        </w:rPr>
        <w:t xml:space="preserve">                           </w:t>
      </w:r>
      <w:r w:rsidR="008E3F7A" w:rsidRPr="00AB02BA">
        <w:rPr>
          <w:rFonts w:ascii="Arial" w:hAnsi="Arial" w:cs="Arial"/>
          <w:color w:val="0070C0"/>
          <w:sz w:val="44"/>
          <w:szCs w:val="24"/>
        </w:rPr>
        <w:t>CSR LIMITED</w:t>
      </w:r>
    </w:p>
    <w:p w14:paraId="19EBB8F3" w14:textId="77777777" w:rsidR="00AB02BA" w:rsidRDefault="00AB02BA">
      <w:pPr>
        <w:rPr>
          <w:rFonts w:ascii="Arial" w:hAnsi="Arial" w:cs="Arial"/>
          <w:color w:val="002060"/>
          <w:sz w:val="40"/>
          <w:szCs w:val="24"/>
        </w:rPr>
      </w:pPr>
    </w:p>
    <w:p w14:paraId="783CFEBC" w14:textId="4EAEF1E4" w:rsidR="00AB02BA" w:rsidRPr="00AB02BA" w:rsidRDefault="00AB02BA">
      <w:pPr>
        <w:rPr>
          <w:rFonts w:ascii="Arial" w:hAnsi="Arial" w:cs="Arial"/>
          <w:color w:val="FF0000"/>
          <w:sz w:val="36"/>
          <w:szCs w:val="24"/>
        </w:rPr>
      </w:pPr>
      <w:r w:rsidRPr="00AB02BA">
        <w:rPr>
          <w:rFonts w:ascii="Arial" w:hAnsi="Arial" w:cs="Arial"/>
          <w:color w:val="FF0000"/>
          <w:sz w:val="36"/>
          <w:szCs w:val="24"/>
        </w:rPr>
        <w:t>BACKGROUND</w:t>
      </w:r>
    </w:p>
    <w:p w14:paraId="03BC3038" w14:textId="77777777" w:rsidR="00AB02BA" w:rsidRPr="008E3F7A" w:rsidRDefault="00AB02BA">
      <w:pPr>
        <w:rPr>
          <w:rFonts w:ascii="Arial" w:hAnsi="Arial" w:cs="Arial"/>
          <w:color w:val="002060"/>
          <w:sz w:val="40"/>
          <w:szCs w:val="24"/>
        </w:rPr>
      </w:pPr>
    </w:p>
    <w:p w14:paraId="254E0153" w14:textId="0DAB419E" w:rsidR="00A63452" w:rsidRDefault="00AC1BED">
      <w:pPr>
        <w:rPr>
          <w:rFonts w:ascii="Arial" w:hAnsi="Arial" w:cs="Arial"/>
          <w:color w:val="FF0000"/>
          <w:sz w:val="24"/>
          <w:szCs w:val="24"/>
        </w:rPr>
      </w:pPr>
      <w:r w:rsidRPr="0053605E">
        <w:rPr>
          <w:rFonts w:ascii="Arial" w:hAnsi="Arial" w:cs="Arial"/>
          <w:sz w:val="24"/>
          <w:szCs w:val="24"/>
        </w:rPr>
        <w:t>CSR Limited (c</w:t>
      </w:r>
      <w:r w:rsidR="00666850">
        <w:rPr>
          <w:rFonts w:ascii="Arial" w:hAnsi="Arial" w:cs="Arial"/>
          <w:sz w:val="24"/>
          <w:szCs w:val="24"/>
        </w:rPr>
        <w:t>olonial sugar refining company</w:t>
      </w:r>
      <w:r w:rsidR="008879FA" w:rsidRPr="0053605E">
        <w:rPr>
          <w:rFonts w:ascii="Arial" w:hAnsi="Arial" w:cs="Arial"/>
          <w:sz w:val="24"/>
          <w:szCs w:val="24"/>
        </w:rPr>
        <w:t xml:space="preserve"> fo</w:t>
      </w:r>
      <w:r w:rsidR="00760B63">
        <w:rPr>
          <w:rFonts w:ascii="Arial" w:hAnsi="Arial" w:cs="Arial"/>
          <w:sz w:val="24"/>
          <w:szCs w:val="24"/>
        </w:rPr>
        <w:t>unde</w:t>
      </w:r>
      <w:r w:rsidR="008879FA" w:rsidRPr="0053605E">
        <w:rPr>
          <w:rFonts w:ascii="Arial" w:hAnsi="Arial" w:cs="Arial"/>
          <w:sz w:val="24"/>
          <w:szCs w:val="24"/>
        </w:rPr>
        <w:t xml:space="preserve">d </w:t>
      </w:r>
      <w:r w:rsidR="00760B63">
        <w:rPr>
          <w:rFonts w:ascii="Arial" w:hAnsi="Arial" w:cs="Arial"/>
          <w:sz w:val="24"/>
          <w:szCs w:val="24"/>
        </w:rPr>
        <w:t xml:space="preserve">in Sydney </w:t>
      </w:r>
      <w:r w:rsidR="008879FA" w:rsidRPr="0053605E">
        <w:rPr>
          <w:rFonts w:ascii="Arial" w:hAnsi="Arial" w:cs="Arial"/>
          <w:sz w:val="24"/>
          <w:szCs w:val="24"/>
        </w:rPr>
        <w:t>in 1855</w:t>
      </w:r>
      <w:r w:rsidR="00AB02BA">
        <w:rPr>
          <w:rFonts w:ascii="Arial" w:hAnsi="Arial" w:cs="Arial"/>
          <w:sz w:val="24"/>
          <w:szCs w:val="24"/>
        </w:rPr>
        <w:t xml:space="preserve">, Employees having more than 4200, 220+ manufacturing distribution sites, 12000+ customers across Australia and New Zealand, CSR is one of the Australia oldest manufacturing company. </w:t>
      </w:r>
      <w:r w:rsidR="004A489A">
        <w:rPr>
          <w:rFonts w:ascii="Arial" w:hAnsi="Arial" w:cs="Arial"/>
          <w:sz w:val="24"/>
          <w:szCs w:val="24"/>
        </w:rPr>
        <w:t>CSR expended into milling cane in Queensland and Fiji from the 1870s</w:t>
      </w:r>
      <w:r w:rsidR="008879FA" w:rsidRPr="0053605E">
        <w:rPr>
          <w:rFonts w:ascii="Arial" w:hAnsi="Arial" w:cs="Arial"/>
          <w:sz w:val="24"/>
          <w:szCs w:val="24"/>
        </w:rPr>
        <w:t xml:space="preserve"> and it the one of the oldest Australian manufacture companies</w:t>
      </w:r>
      <w:r w:rsidR="00760B63">
        <w:rPr>
          <w:rFonts w:ascii="Arial" w:hAnsi="Arial" w:cs="Arial"/>
          <w:sz w:val="24"/>
          <w:szCs w:val="24"/>
        </w:rPr>
        <w:t xml:space="preserve"> having 25% share in the Tomago aluminium smelter located near Newcastle, NSW and it is publicly traded on the Australian Securities </w:t>
      </w:r>
      <w:r w:rsidR="004A489A">
        <w:rPr>
          <w:rFonts w:ascii="Arial" w:hAnsi="Arial" w:cs="Arial"/>
          <w:sz w:val="24"/>
          <w:szCs w:val="24"/>
        </w:rPr>
        <w:t>Exchange. According</w:t>
      </w:r>
      <w:r w:rsidR="00760B63">
        <w:rPr>
          <w:rFonts w:ascii="Arial" w:hAnsi="Arial" w:cs="Arial"/>
          <w:sz w:val="24"/>
          <w:szCs w:val="24"/>
        </w:rPr>
        <w:t xml:space="preserve"> to the report of 2014 it has the 2985 numbers of employee,</w:t>
      </w:r>
      <w:r w:rsidR="008879FA" w:rsidRPr="0053605E">
        <w:rPr>
          <w:rFonts w:ascii="Arial" w:hAnsi="Arial" w:cs="Arial"/>
          <w:sz w:val="24"/>
          <w:szCs w:val="24"/>
        </w:rPr>
        <w:t xml:space="preserve"> </w:t>
      </w:r>
      <w:r w:rsidR="00760B63">
        <w:rPr>
          <w:rFonts w:ascii="Arial" w:hAnsi="Arial" w:cs="Arial"/>
          <w:sz w:val="24"/>
          <w:szCs w:val="24"/>
        </w:rPr>
        <w:t xml:space="preserve">revenue was $1.74 billion, operating income were $125 million and the net income was $88 million. </w:t>
      </w:r>
      <w:r w:rsidR="008879FA" w:rsidRPr="0053605E">
        <w:rPr>
          <w:rFonts w:ascii="Arial" w:hAnsi="Arial" w:cs="Arial"/>
          <w:sz w:val="24"/>
          <w:szCs w:val="24"/>
        </w:rPr>
        <w:t>And today it is one of the leading building product company in New Zealand and Australia. One of the market most trusted and recolonized brands.</w:t>
      </w:r>
      <w:r w:rsidRPr="0053605E">
        <w:rPr>
          <w:rFonts w:ascii="Arial" w:hAnsi="Arial" w:cs="Arial"/>
          <w:sz w:val="24"/>
          <w:szCs w:val="24"/>
        </w:rPr>
        <w:t xml:space="preserve"> Its ASX code is ASX:CSR. Its main office is located at North Ride, NSW, Australia. Its main website </w:t>
      </w:r>
      <w:r w:rsidR="00A20879" w:rsidRPr="0053605E">
        <w:rPr>
          <w:rFonts w:ascii="Arial" w:hAnsi="Arial" w:cs="Arial"/>
          <w:sz w:val="24"/>
          <w:szCs w:val="24"/>
        </w:rPr>
        <w:t>is (http://www.csr.com .au). The main purpose of this company is to build mater</w:t>
      </w:r>
      <w:r w:rsidR="00760B63">
        <w:rPr>
          <w:rFonts w:ascii="Arial" w:hAnsi="Arial" w:cs="Arial"/>
          <w:sz w:val="24"/>
          <w:szCs w:val="24"/>
        </w:rPr>
        <w:t>i</w:t>
      </w:r>
      <w:r w:rsidR="00A20879" w:rsidRPr="0053605E">
        <w:rPr>
          <w:rFonts w:ascii="Arial" w:hAnsi="Arial" w:cs="Arial"/>
          <w:sz w:val="24"/>
          <w:szCs w:val="24"/>
        </w:rPr>
        <w:t>als, and providing different types of household stuff like, glass, plaster board, bricks, insulation, aluminium and providing construction services as well</w:t>
      </w:r>
      <w:r w:rsidR="004A489A">
        <w:rPr>
          <w:rFonts w:ascii="Arial" w:hAnsi="Arial" w:cs="Arial"/>
          <w:sz w:val="24"/>
          <w:szCs w:val="24"/>
        </w:rPr>
        <w:t xml:space="preserve"> and it also sold the by product the sugar industries, from molasses to ethanol.</w:t>
      </w:r>
      <w:sdt>
        <w:sdtPr>
          <w:rPr>
            <w:rFonts w:ascii="Arial" w:hAnsi="Arial" w:cs="Arial"/>
            <w:color w:val="FF0000"/>
            <w:sz w:val="24"/>
            <w:szCs w:val="24"/>
          </w:rPr>
          <w:id w:val="1513726198"/>
          <w:citation/>
        </w:sdtPr>
        <w:sdtEndPr/>
        <w:sdtContent>
          <w:r w:rsidR="0042590A" w:rsidRPr="008E3F7A">
            <w:rPr>
              <w:rFonts w:ascii="Arial" w:hAnsi="Arial" w:cs="Arial"/>
              <w:color w:val="FF0000"/>
              <w:sz w:val="24"/>
              <w:szCs w:val="24"/>
            </w:rPr>
            <w:fldChar w:fldCharType="begin"/>
          </w:r>
          <w:r w:rsidR="008E3F7A">
            <w:rPr>
              <w:rFonts w:ascii="Arial" w:hAnsi="Arial" w:cs="Arial"/>
              <w:color w:val="FF0000"/>
              <w:sz w:val="24"/>
              <w:szCs w:val="24"/>
            </w:rPr>
            <w:instrText xml:space="preserve">CITATION Ann18 \l 3081 </w:instrText>
          </w:r>
          <w:r w:rsidR="0042590A" w:rsidRPr="008E3F7A">
            <w:rPr>
              <w:rFonts w:ascii="Arial" w:hAnsi="Arial" w:cs="Arial"/>
              <w:color w:val="FF0000"/>
              <w:sz w:val="24"/>
              <w:szCs w:val="24"/>
            </w:rPr>
            <w:fldChar w:fldCharType="separate"/>
          </w:r>
          <w:r w:rsidR="008E3F7A">
            <w:rPr>
              <w:rFonts w:ascii="Arial" w:hAnsi="Arial" w:cs="Arial"/>
              <w:noProof/>
              <w:color w:val="FF0000"/>
              <w:sz w:val="24"/>
              <w:szCs w:val="24"/>
            </w:rPr>
            <w:t xml:space="preserve"> </w:t>
          </w:r>
          <w:r w:rsidR="008E3F7A" w:rsidRPr="008E3F7A">
            <w:rPr>
              <w:rFonts w:ascii="Arial" w:hAnsi="Arial" w:cs="Arial"/>
              <w:noProof/>
              <w:color w:val="FF0000"/>
              <w:sz w:val="24"/>
              <w:szCs w:val="24"/>
            </w:rPr>
            <w:t>(Anon., 2018)</w:t>
          </w:r>
          <w:r w:rsidR="0042590A" w:rsidRPr="008E3F7A">
            <w:rPr>
              <w:rFonts w:ascii="Arial" w:hAnsi="Arial" w:cs="Arial"/>
              <w:color w:val="FF0000"/>
              <w:sz w:val="24"/>
              <w:szCs w:val="24"/>
            </w:rPr>
            <w:fldChar w:fldCharType="end"/>
          </w:r>
        </w:sdtContent>
      </w:sdt>
    </w:p>
    <w:p w14:paraId="78F0A7E4" w14:textId="726CCB4B" w:rsidR="00AB02BA" w:rsidRDefault="00AB02BA">
      <w:pPr>
        <w:rPr>
          <w:rFonts w:ascii="Arial" w:hAnsi="Arial" w:cs="Arial"/>
          <w:color w:val="000000" w:themeColor="text1"/>
          <w:sz w:val="24"/>
          <w:szCs w:val="24"/>
        </w:rPr>
      </w:pPr>
    </w:p>
    <w:p w14:paraId="52C00271" w14:textId="2D62A886" w:rsidR="00AB02BA" w:rsidRDefault="00AB02BA">
      <w:pPr>
        <w:rPr>
          <w:rFonts w:ascii="Arial" w:hAnsi="Arial" w:cs="Arial"/>
          <w:color w:val="FF0000"/>
          <w:sz w:val="28"/>
          <w:szCs w:val="24"/>
        </w:rPr>
      </w:pPr>
      <w:r w:rsidRPr="00AB02BA">
        <w:rPr>
          <w:rFonts w:ascii="Arial" w:hAnsi="Arial" w:cs="Arial"/>
          <w:color w:val="FF0000"/>
          <w:sz w:val="28"/>
          <w:szCs w:val="24"/>
        </w:rPr>
        <w:t>CSR REVENUE</w:t>
      </w:r>
    </w:p>
    <w:p w14:paraId="060EED56" w14:textId="201F01CB" w:rsidR="00407F24" w:rsidRDefault="00AB02BA">
      <w:pPr>
        <w:rPr>
          <w:rFonts w:ascii="Arial" w:hAnsi="Arial" w:cs="Arial"/>
          <w:color w:val="000000" w:themeColor="text1"/>
          <w:sz w:val="24"/>
          <w:szCs w:val="24"/>
        </w:rPr>
      </w:pPr>
      <w:r>
        <w:rPr>
          <w:rFonts w:ascii="Arial" w:hAnsi="Arial" w:cs="Arial"/>
          <w:color w:val="000000" w:themeColor="text1"/>
          <w:sz w:val="24"/>
          <w:szCs w:val="24"/>
        </w:rPr>
        <w:t>Year 2018 the company total revenue is $2.6 billion</w:t>
      </w:r>
      <w:r w:rsidR="00407F24">
        <w:rPr>
          <w:rFonts w:ascii="Arial" w:hAnsi="Arial" w:cs="Arial"/>
          <w:color w:val="000000" w:themeColor="text1"/>
          <w:sz w:val="24"/>
          <w:szCs w:val="24"/>
        </w:rPr>
        <w:t>. As CSR products are a core part of the industry and manufacturing different products for homes and building where people live, work, and play like, Viridian glass, Aluminium, and other property. CSR has been continued its record of growth in earning for 5 consecutive ye</w:t>
      </w:r>
      <w:r w:rsidR="004976DB">
        <w:rPr>
          <w:rFonts w:ascii="Arial" w:hAnsi="Arial" w:cs="Arial"/>
          <w:color w:val="000000" w:themeColor="text1"/>
          <w:sz w:val="24"/>
          <w:szCs w:val="24"/>
        </w:rPr>
        <w:t>ars,</w:t>
      </w:r>
      <w:r w:rsidR="00407F24">
        <w:rPr>
          <w:rFonts w:ascii="Arial" w:hAnsi="Arial" w:cs="Arial"/>
          <w:color w:val="000000" w:themeColor="text1"/>
          <w:sz w:val="24"/>
          <w:szCs w:val="24"/>
        </w:rPr>
        <w:t xml:space="preserve"> 4 different factor</w:t>
      </w:r>
      <w:r w:rsidR="004976DB">
        <w:rPr>
          <w:rFonts w:ascii="Arial" w:hAnsi="Arial" w:cs="Arial"/>
          <w:color w:val="000000" w:themeColor="text1"/>
          <w:sz w:val="24"/>
          <w:szCs w:val="24"/>
        </w:rPr>
        <w:t xml:space="preserve"> company earning include</w:t>
      </w:r>
      <w:r w:rsidR="00407F24">
        <w:rPr>
          <w:rFonts w:ascii="Arial" w:hAnsi="Arial" w:cs="Arial"/>
          <w:color w:val="000000" w:themeColor="text1"/>
          <w:sz w:val="24"/>
          <w:szCs w:val="24"/>
        </w:rPr>
        <w:t>, Building products (EBIT) 214.1 million, Viridian glass (EBIT) 3.5 million, Aluminium (EBIT) 79.5 million,</w:t>
      </w:r>
      <w:r w:rsidR="004976DB">
        <w:rPr>
          <w:rFonts w:ascii="Arial" w:hAnsi="Arial" w:cs="Arial"/>
          <w:color w:val="000000" w:themeColor="text1"/>
          <w:sz w:val="24"/>
          <w:szCs w:val="24"/>
        </w:rPr>
        <w:t xml:space="preserve"> Property (EBIT) 47.8 million by current year.</w:t>
      </w:r>
      <w:r w:rsidR="00407F24">
        <w:rPr>
          <w:rFonts w:ascii="Arial" w:hAnsi="Arial" w:cs="Arial"/>
          <w:color w:val="000000" w:themeColor="text1"/>
          <w:sz w:val="24"/>
          <w:szCs w:val="24"/>
        </w:rPr>
        <w:t xml:space="preserve"> </w:t>
      </w:r>
    </w:p>
    <w:p w14:paraId="60948C08" w14:textId="323344A6" w:rsidR="004976DB" w:rsidRDefault="004976DB">
      <w:pPr>
        <w:rPr>
          <w:rFonts w:ascii="Arial" w:hAnsi="Arial" w:cs="Arial"/>
          <w:color w:val="000000" w:themeColor="text1"/>
          <w:sz w:val="24"/>
          <w:szCs w:val="24"/>
        </w:rPr>
      </w:pPr>
      <w:r>
        <w:rPr>
          <w:rFonts w:ascii="Arial" w:hAnsi="Arial" w:cs="Arial"/>
          <w:color w:val="000000" w:themeColor="text1"/>
          <w:sz w:val="24"/>
          <w:szCs w:val="24"/>
        </w:rPr>
        <w:t xml:space="preserve">According to report the financial statement of the company the total gross profit of 2018 is $863.8 million where as in 2017 was </w:t>
      </w:r>
      <w:r w:rsidR="00EB0EFA">
        <w:rPr>
          <w:rFonts w:ascii="Arial" w:hAnsi="Arial" w:cs="Arial"/>
          <w:color w:val="000000" w:themeColor="text1"/>
          <w:sz w:val="24"/>
          <w:szCs w:val="24"/>
        </w:rPr>
        <w:t>$833.7 million.</w:t>
      </w:r>
    </w:p>
    <w:p w14:paraId="73DD58DC" w14:textId="202F4075" w:rsidR="00597EE7" w:rsidRDefault="00597EE7">
      <w:pPr>
        <w:rPr>
          <w:rFonts w:ascii="Arial" w:hAnsi="Arial" w:cs="Arial"/>
          <w:color w:val="000000" w:themeColor="text1"/>
          <w:sz w:val="24"/>
          <w:szCs w:val="24"/>
        </w:rPr>
      </w:pPr>
      <w:r>
        <w:rPr>
          <w:rFonts w:ascii="Arial" w:hAnsi="Arial" w:cs="Arial"/>
          <w:color w:val="000000" w:themeColor="text1"/>
          <w:sz w:val="24"/>
          <w:szCs w:val="24"/>
        </w:rPr>
        <w:t>From 1 April 2016 there was a change in internal reporting which resulted in transfer of operating expenditure from cooperate to building products as a result, the comparative years have been updated to reflect this change. CSR profit after tax (before significant items) was 16% in the year to $212.7 million and statutory profit of $188.8 million was up 6%.</w:t>
      </w:r>
    </w:p>
    <w:p w14:paraId="4FC89980" w14:textId="3CA8F47F" w:rsidR="00597EE7" w:rsidRDefault="00597EE7">
      <w:pPr>
        <w:rPr>
          <w:rFonts w:ascii="Arial" w:hAnsi="Arial" w:cs="Arial"/>
          <w:color w:val="000000" w:themeColor="text1"/>
          <w:sz w:val="24"/>
          <w:szCs w:val="24"/>
        </w:rPr>
      </w:pPr>
      <w:r>
        <w:rPr>
          <w:rFonts w:ascii="Arial" w:hAnsi="Arial" w:cs="Arial"/>
          <w:color w:val="000000" w:themeColor="text1"/>
          <w:sz w:val="24"/>
          <w:szCs w:val="24"/>
        </w:rPr>
        <w:lastRenderedPageBreak/>
        <w:t>The growth in earning over the last 5 years has delivered higher dividends, maintaining CSR policy of paying dividends between 60-80% of full year net profit after tax. CSR have resolved to pay a final dividend of 13.5 cents per share, franked at 75% which will bring the full year dividend to 27 cents, up 4%.</w:t>
      </w:r>
      <w:r>
        <w:rPr>
          <w:rFonts w:ascii="Arial" w:hAnsi="Arial" w:cs="Arial"/>
          <w:color w:val="000000" w:themeColor="text1"/>
          <w:sz w:val="24"/>
          <w:szCs w:val="24"/>
        </w:rPr>
        <w:br/>
        <w:t>CSR also continues to maintain a strong balance sheet</w:t>
      </w:r>
      <w:r w:rsidR="003522ED">
        <w:rPr>
          <w:rFonts w:ascii="Arial" w:hAnsi="Arial" w:cs="Arial"/>
          <w:color w:val="000000" w:themeColor="text1"/>
          <w:sz w:val="24"/>
          <w:szCs w:val="24"/>
        </w:rPr>
        <w:t xml:space="preserve"> with net debts of $14.3 million, slightly up on last year. CSR are also advanced in the construction of their new $75 million Hebel factory in Somersby, NSW. </w:t>
      </w:r>
    </w:p>
    <w:p w14:paraId="38B876EA" w14:textId="3F90593F" w:rsidR="003522ED" w:rsidRDefault="003522ED">
      <w:pPr>
        <w:rPr>
          <w:rFonts w:ascii="Arial" w:hAnsi="Arial" w:cs="Arial"/>
          <w:color w:val="000000" w:themeColor="text1"/>
          <w:sz w:val="24"/>
          <w:szCs w:val="24"/>
        </w:rPr>
      </w:pPr>
      <w:r>
        <w:rPr>
          <w:rFonts w:ascii="Arial" w:hAnsi="Arial" w:cs="Arial"/>
          <w:color w:val="000000" w:themeColor="text1"/>
          <w:sz w:val="24"/>
          <w:szCs w:val="24"/>
        </w:rPr>
        <w:t>Some of the strategy taken by CSR to improved</w:t>
      </w:r>
      <w:r w:rsidR="00BF2822">
        <w:rPr>
          <w:rFonts w:ascii="Arial" w:hAnsi="Arial" w:cs="Arial"/>
          <w:color w:val="000000" w:themeColor="text1"/>
          <w:sz w:val="24"/>
          <w:szCs w:val="24"/>
        </w:rPr>
        <w:t xml:space="preserve"> revenue</w:t>
      </w:r>
      <w:r>
        <w:rPr>
          <w:rFonts w:ascii="Arial" w:hAnsi="Arial" w:cs="Arial"/>
          <w:color w:val="000000" w:themeColor="text1"/>
          <w:sz w:val="24"/>
          <w:szCs w:val="24"/>
        </w:rPr>
        <w:t xml:space="preserve"> even more are in:</w:t>
      </w:r>
    </w:p>
    <w:p w14:paraId="42AF16D6" w14:textId="7842BE7E" w:rsidR="003522ED" w:rsidRDefault="003522ED" w:rsidP="003522ED">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Aluminium</w:t>
      </w:r>
    </w:p>
    <w:p w14:paraId="3392E1FC" w14:textId="64B29373" w:rsidR="003522ED" w:rsidRDefault="003522ED" w:rsidP="003522ED">
      <w:pPr>
        <w:ind w:left="360"/>
        <w:rPr>
          <w:rFonts w:ascii="Arial" w:hAnsi="Arial" w:cs="Arial"/>
          <w:color w:val="000000" w:themeColor="text1"/>
          <w:sz w:val="24"/>
          <w:szCs w:val="24"/>
        </w:rPr>
      </w:pPr>
      <w:r>
        <w:rPr>
          <w:rFonts w:ascii="Arial" w:hAnsi="Arial" w:cs="Arial"/>
          <w:color w:val="000000" w:themeColor="text1"/>
          <w:sz w:val="24"/>
          <w:szCs w:val="24"/>
        </w:rPr>
        <w:t>Sales volumes of 212,801 tonnes were up 1% due to operational improvements at the Tomago smelter. Trading revenue of $565.5 million was up 11% reflecting 10% improvement the realised aluminium price.</w:t>
      </w:r>
    </w:p>
    <w:p w14:paraId="034D1313" w14:textId="4DB6247B" w:rsidR="003522ED" w:rsidRDefault="003522ED" w:rsidP="003522ED">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 xml:space="preserve"> Trading revenue from building products was $1.7 billion, up 6%, with higher volumes and improved pricing across most products and segments.</w:t>
      </w:r>
    </w:p>
    <w:p w14:paraId="5FA2545B" w14:textId="6FD77AC5" w:rsidR="003522ED" w:rsidRDefault="00BF2822" w:rsidP="003522ED">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EBIT was up 6% to 214.1 million with earnings, reflecting the benefits of improved factory performance, price increase and cost management. The result includes investment of approximately $10 million in a number of growth initiatives.</w:t>
      </w:r>
    </w:p>
    <w:p w14:paraId="388DCB2E" w14:textId="068AC89A" w:rsidR="00BF2822" w:rsidRDefault="00BF2822" w:rsidP="003522ED">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EBIT margin of 12.8% was down slightly from 12.9% as improved volume, pricing and product mix offset $9 million in higher energy costs.</w:t>
      </w:r>
    </w:p>
    <w:p w14:paraId="153E5CEB" w14:textId="212CB965" w:rsidR="00BF2822" w:rsidRPr="003522ED" w:rsidRDefault="00BF2822" w:rsidP="003522ED">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The balance of the viridian businesses improved performance with increased with increased pricing and product mix, offset by $4 million in the higher energy costs. In Australia, demand for higher performing glass in the residential market is also increasing following new BASIX energy targets in NSW which became effective in July 2017 while in Victoria, IGU sales accounted for over 60% of revenue in YEM18.</w:t>
      </w:r>
    </w:p>
    <w:p w14:paraId="59D2D211" w14:textId="77777777" w:rsidR="003522ED" w:rsidRPr="003522ED" w:rsidRDefault="003522ED" w:rsidP="003522ED">
      <w:pPr>
        <w:ind w:left="360"/>
        <w:rPr>
          <w:rFonts w:ascii="Arial" w:hAnsi="Arial" w:cs="Arial"/>
          <w:color w:val="000000" w:themeColor="text1"/>
          <w:sz w:val="24"/>
          <w:szCs w:val="24"/>
        </w:rPr>
      </w:pPr>
    </w:p>
    <w:p w14:paraId="7F87A85E" w14:textId="557C7AA0" w:rsidR="00571D25" w:rsidRPr="00962F08" w:rsidRDefault="00571D25">
      <w:pPr>
        <w:rPr>
          <w:rFonts w:ascii="Arial" w:hAnsi="Arial" w:cs="Arial"/>
          <w:color w:val="0070C0"/>
          <w:sz w:val="32"/>
          <w:szCs w:val="24"/>
        </w:rPr>
      </w:pPr>
      <w:r w:rsidRPr="00962F08">
        <w:rPr>
          <w:rFonts w:ascii="Arial" w:hAnsi="Arial" w:cs="Arial"/>
          <w:color w:val="0070C0"/>
          <w:sz w:val="32"/>
          <w:szCs w:val="24"/>
        </w:rPr>
        <w:t>CSR recent improvement YEM18</w:t>
      </w:r>
    </w:p>
    <w:p w14:paraId="270E89D2" w14:textId="141CEEFA" w:rsidR="00962F08" w:rsidRDefault="00962F08" w:rsidP="00962F08">
      <w:pPr>
        <w:pStyle w:val="ListParagraph"/>
        <w:numPr>
          <w:ilvl w:val="0"/>
          <w:numId w:val="3"/>
        </w:numPr>
        <w:rPr>
          <w:rFonts w:ascii="Arial" w:hAnsi="Arial" w:cs="Arial"/>
          <w:color w:val="000000" w:themeColor="text1"/>
          <w:sz w:val="24"/>
          <w:szCs w:val="24"/>
        </w:rPr>
      </w:pPr>
      <w:r>
        <w:rPr>
          <w:rFonts w:ascii="Arial" w:hAnsi="Arial" w:cs="Arial"/>
          <w:color w:val="000000" w:themeColor="text1"/>
          <w:sz w:val="24"/>
          <w:szCs w:val="24"/>
        </w:rPr>
        <w:t>Improvement in safety LTIFR.</w:t>
      </w:r>
    </w:p>
    <w:p w14:paraId="3508A6D1" w14:textId="2BD45A6F" w:rsidR="00962F08" w:rsidRDefault="00962F08" w:rsidP="00962F08">
      <w:pPr>
        <w:pStyle w:val="ListParagraph"/>
        <w:numPr>
          <w:ilvl w:val="0"/>
          <w:numId w:val="3"/>
        </w:numPr>
        <w:rPr>
          <w:rFonts w:ascii="Arial" w:hAnsi="Arial" w:cs="Arial"/>
          <w:color w:val="000000" w:themeColor="text1"/>
          <w:sz w:val="24"/>
          <w:szCs w:val="24"/>
        </w:rPr>
      </w:pPr>
      <w:r>
        <w:rPr>
          <w:rFonts w:ascii="Arial" w:hAnsi="Arial" w:cs="Arial"/>
          <w:color w:val="000000" w:themeColor="text1"/>
          <w:sz w:val="24"/>
          <w:szCs w:val="24"/>
        </w:rPr>
        <w:t>29% of CSR directors are women</w:t>
      </w:r>
    </w:p>
    <w:p w14:paraId="0C9E1D9C" w14:textId="5B35BCC3" w:rsidR="00962F08" w:rsidRDefault="00962F08" w:rsidP="00962F08">
      <w:pPr>
        <w:pStyle w:val="ListParagraph"/>
        <w:numPr>
          <w:ilvl w:val="0"/>
          <w:numId w:val="3"/>
        </w:numPr>
        <w:rPr>
          <w:rFonts w:ascii="Arial" w:hAnsi="Arial" w:cs="Arial"/>
          <w:color w:val="000000" w:themeColor="text1"/>
          <w:sz w:val="24"/>
          <w:szCs w:val="24"/>
        </w:rPr>
      </w:pPr>
      <w:r>
        <w:rPr>
          <w:rFonts w:ascii="Arial" w:hAnsi="Arial" w:cs="Arial"/>
          <w:color w:val="000000" w:themeColor="text1"/>
          <w:sz w:val="24"/>
          <w:szCs w:val="24"/>
        </w:rPr>
        <w:t>45% improvement in days lost as a result of work-related injuries</w:t>
      </w:r>
    </w:p>
    <w:p w14:paraId="37975DEE" w14:textId="00C38C3E" w:rsidR="00962F08" w:rsidRDefault="00962F08" w:rsidP="00962F08">
      <w:pPr>
        <w:pStyle w:val="ListParagraph"/>
        <w:numPr>
          <w:ilvl w:val="0"/>
          <w:numId w:val="3"/>
        </w:numPr>
        <w:rPr>
          <w:rFonts w:ascii="Arial" w:hAnsi="Arial" w:cs="Arial"/>
          <w:color w:val="000000" w:themeColor="text1"/>
          <w:sz w:val="24"/>
          <w:szCs w:val="24"/>
        </w:rPr>
      </w:pPr>
      <w:r>
        <w:rPr>
          <w:rFonts w:ascii="Arial" w:hAnsi="Arial" w:cs="Arial"/>
          <w:color w:val="000000" w:themeColor="text1"/>
          <w:sz w:val="24"/>
          <w:szCs w:val="24"/>
        </w:rPr>
        <w:t>20% in senior management positions – in line YEM17</w:t>
      </w:r>
    </w:p>
    <w:p w14:paraId="68E7D893" w14:textId="558B2FF6" w:rsidR="00962F08" w:rsidRDefault="00962F08" w:rsidP="00962F08">
      <w:pPr>
        <w:pStyle w:val="ListParagraph"/>
        <w:numPr>
          <w:ilvl w:val="0"/>
          <w:numId w:val="3"/>
        </w:numPr>
        <w:rPr>
          <w:rFonts w:ascii="Arial" w:hAnsi="Arial" w:cs="Arial"/>
          <w:color w:val="000000" w:themeColor="text1"/>
          <w:sz w:val="24"/>
          <w:szCs w:val="24"/>
        </w:rPr>
      </w:pPr>
      <w:r>
        <w:rPr>
          <w:rFonts w:ascii="Arial" w:hAnsi="Arial" w:cs="Arial"/>
          <w:color w:val="000000" w:themeColor="text1"/>
          <w:sz w:val="24"/>
          <w:szCs w:val="24"/>
        </w:rPr>
        <w:t>8 stars ongoing building science research at CSR house</w:t>
      </w:r>
    </w:p>
    <w:p w14:paraId="57BBC76F" w14:textId="004B8D48" w:rsidR="00962F08" w:rsidRDefault="00962F08" w:rsidP="00962F08">
      <w:pPr>
        <w:pStyle w:val="ListParagraph"/>
        <w:numPr>
          <w:ilvl w:val="0"/>
          <w:numId w:val="3"/>
        </w:numPr>
        <w:rPr>
          <w:rFonts w:ascii="Arial" w:hAnsi="Arial" w:cs="Arial"/>
          <w:color w:val="000000" w:themeColor="text1"/>
          <w:sz w:val="24"/>
          <w:szCs w:val="24"/>
        </w:rPr>
      </w:pPr>
      <w:r>
        <w:rPr>
          <w:rFonts w:ascii="Arial" w:hAnsi="Arial" w:cs="Arial"/>
          <w:color w:val="000000" w:themeColor="text1"/>
          <w:sz w:val="24"/>
          <w:szCs w:val="24"/>
        </w:rPr>
        <w:t>$3 million funding from the Federal government to support CSR in closet TM building façade system.</w:t>
      </w:r>
    </w:p>
    <w:p w14:paraId="6D77B7C1" w14:textId="59F67140" w:rsidR="00962F08" w:rsidRDefault="00962F08" w:rsidP="00962F08">
      <w:pPr>
        <w:pStyle w:val="ListParagraph"/>
        <w:numPr>
          <w:ilvl w:val="0"/>
          <w:numId w:val="3"/>
        </w:numPr>
        <w:rPr>
          <w:rFonts w:ascii="Arial" w:hAnsi="Arial" w:cs="Arial"/>
          <w:color w:val="000000" w:themeColor="text1"/>
          <w:sz w:val="24"/>
          <w:szCs w:val="24"/>
        </w:rPr>
      </w:pPr>
      <w:r>
        <w:rPr>
          <w:rFonts w:ascii="Arial" w:hAnsi="Arial" w:cs="Arial"/>
          <w:color w:val="000000" w:themeColor="text1"/>
          <w:sz w:val="24"/>
          <w:szCs w:val="24"/>
        </w:rPr>
        <w:t>CSR connect launched three years ago, providing 24/7 access to accounts, pricing, payment, and delivery tracking</w:t>
      </w:r>
    </w:p>
    <w:p w14:paraId="5E639A09" w14:textId="1AFA5160" w:rsidR="00962F08" w:rsidRDefault="00962F08" w:rsidP="00962F08">
      <w:pPr>
        <w:pStyle w:val="ListParagraph"/>
        <w:numPr>
          <w:ilvl w:val="0"/>
          <w:numId w:val="3"/>
        </w:numPr>
        <w:rPr>
          <w:rFonts w:ascii="Arial" w:hAnsi="Arial" w:cs="Arial"/>
          <w:color w:val="000000" w:themeColor="text1"/>
          <w:sz w:val="24"/>
          <w:szCs w:val="24"/>
        </w:rPr>
      </w:pPr>
      <w:r>
        <w:rPr>
          <w:rFonts w:ascii="Arial" w:hAnsi="Arial" w:cs="Arial"/>
          <w:color w:val="000000" w:themeColor="text1"/>
          <w:sz w:val="24"/>
          <w:szCs w:val="24"/>
        </w:rPr>
        <w:t>$20 million energy improvement fund established</w:t>
      </w:r>
    </w:p>
    <w:p w14:paraId="101089CC" w14:textId="67BFAA8E" w:rsidR="00962F08" w:rsidRDefault="00962F08" w:rsidP="00962F08">
      <w:pPr>
        <w:pStyle w:val="ListParagraph"/>
        <w:numPr>
          <w:ilvl w:val="0"/>
          <w:numId w:val="3"/>
        </w:numPr>
        <w:rPr>
          <w:rFonts w:ascii="Arial" w:hAnsi="Arial" w:cs="Arial"/>
          <w:color w:val="000000" w:themeColor="text1"/>
          <w:sz w:val="24"/>
          <w:szCs w:val="24"/>
        </w:rPr>
      </w:pPr>
      <w:r>
        <w:rPr>
          <w:rFonts w:ascii="Arial" w:hAnsi="Arial" w:cs="Arial"/>
          <w:color w:val="000000" w:themeColor="text1"/>
          <w:sz w:val="24"/>
          <w:szCs w:val="24"/>
        </w:rPr>
        <w:t>Reduction in waste sent to landfill in 2017</w:t>
      </w:r>
    </w:p>
    <w:p w14:paraId="58A431FD" w14:textId="13C447A1" w:rsidR="00962F08" w:rsidRDefault="00962F08" w:rsidP="00962F08">
      <w:pPr>
        <w:pStyle w:val="ListParagraph"/>
        <w:numPr>
          <w:ilvl w:val="0"/>
          <w:numId w:val="3"/>
        </w:numPr>
        <w:rPr>
          <w:rFonts w:ascii="Arial" w:hAnsi="Arial" w:cs="Arial"/>
          <w:color w:val="000000" w:themeColor="text1"/>
          <w:sz w:val="24"/>
          <w:szCs w:val="24"/>
        </w:rPr>
      </w:pPr>
      <w:r>
        <w:rPr>
          <w:rFonts w:ascii="Arial" w:hAnsi="Arial" w:cs="Arial"/>
          <w:color w:val="000000" w:themeColor="text1"/>
          <w:sz w:val="24"/>
          <w:szCs w:val="24"/>
        </w:rPr>
        <w:t>Exceeded 2020 target to minimise waste production and c02-e emissions per tonne of saleable product</w:t>
      </w:r>
    </w:p>
    <w:p w14:paraId="6BFC9F69" w14:textId="516F49CB" w:rsidR="00962F08" w:rsidRPr="00962F08" w:rsidRDefault="00DD1920" w:rsidP="00962F08">
      <w:pPr>
        <w:pStyle w:val="ListParagraph"/>
        <w:numPr>
          <w:ilvl w:val="0"/>
          <w:numId w:val="3"/>
        </w:numPr>
        <w:rPr>
          <w:rFonts w:ascii="Arial" w:hAnsi="Arial" w:cs="Arial"/>
          <w:color w:val="000000" w:themeColor="text1"/>
          <w:sz w:val="24"/>
          <w:szCs w:val="24"/>
        </w:rPr>
      </w:pPr>
      <w:r>
        <w:rPr>
          <w:rFonts w:ascii="Arial" w:hAnsi="Arial" w:cs="Arial"/>
          <w:color w:val="000000" w:themeColor="text1"/>
          <w:sz w:val="24"/>
          <w:szCs w:val="24"/>
        </w:rPr>
        <w:t>$108,670 donated to CSR community support program in YEM18</w:t>
      </w:r>
    </w:p>
    <w:p w14:paraId="24EB00C5" w14:textId="0A232E35" w:rsidR="008879FA" w:rsidRPr="00AD19C4" w:rsidRDefault="00AD19C4">
      <w:pPr>
        <w:rPr>
          <w:rFonts w:ascii="Arial" w:hAnsi="Arial" w:cs="Arial"/>
          <w:color w:val="FF0000"/>
          <w:sz w:val="32"/>
          <w:szCs w:val="24"/>
        </w:rPr>
      </w:pPr>
      <w:r w:rsidRPr="00AD19C4">
        <w:rPr>
          <w:rFonts w:ascii="Arial" w:hAnsi="Arial" w:cs="Arial"/>
          <w:color w:val="FF0000"/>
          <w:sz w:val="32"/>
          <w:szCs w:val="24"/>
        </w:rPr>
        <w:t>History of CSR share price of last 5 years</w:t>
      </w:r>
    </w:p>
    <w:p w14:paraId="3A4FA1CE" w14:textId="77777777" w:rsidR="008879FA" w:rsidRPr="0053605E" w:rsidRDefault="008879FA">
      <w:pPr>
        <w:rPr>
          <w:rFonts w:ascii="Arial" w:hAnsi="Arial" w:cs="Arial"/>
          <w:sz w:val="24"/>
          <w:szCs w:val="24"/>
        </w:rPr>
      </w:pPr>
    </w:p>
    <w:p w14:paraId="273974F7" w14:textId="6248EACA" w:rsidR="00A20879" w:rsidRPr="0053605E" w:rsidRDefault="00A20879">
      <w:pPr>
        <w:rPr>
          <w:rFonts w:ascii="Arial" w:hAnsi="Arial" w:cs="Arial"/>
          <w:sz w:val="24"/>
          <w:szCs w:val="24"/>
        </w:rPr>
      </w:pPr>
    </w:p>
    <w:p w14:paraId="21E62D9D" w14:textId="1B22043D" w:rsidR="00A20879" w:rsidRPr="0053605E" w:rsidRDefault="007337A7">
      <w:pPr>
        <w:rPr>
          <w:rFonts w:ascii="Arial" w:hAnsi="Arial" w:cs="Arial"/>
          <w:sz w:val="24"/>
          <w:szCs w:val="24"/>
        </w:rPr>
      </w:pPr>
      <w:r w:rsidRPr="0053605E">
        <w:rPr>
          <w:rFonts w:ascii="Arial" w:hAnsi="Arial" w:cs="Arial"/>
          <w:noProof/>
          <w:sz w:val="24"/>
          <w:szCs w:val="24"/>
          <w:lang w:eastAsia="en-AU"/>
        </w:rPr>
        <w:drawing>
          <wp:inline distT="0" distB="0" distL="0" distR="0" wp14:anchorId="7FE07AC4" wp14:editId="4A6BDF91">
            <wp:extent cx="5648325" cy="44500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8423" cy="4458036"/>
                    </a:xfrm>
                    <a:prstGeom prst="rect">
                      <a:avLst/>
                    </a:prstGeom>
                    <a:noFill/>
                    <a:ln>
                      <a:noFill/>
                    </a:ln>
                  </pic:spPr>
                </pic:pic>
              </a:graphicData>
            </a:graphic>
          </wp:inline>
        </w:drawing>
      </w:r>
    </w:p>
    <w:p w14:paraId="79CC03C1" w14:textId="288741D9" w:rsidR="00A20879" w:rsidRPr="0053605E" w:rsidRDefault="00A20879">
      <w:pPr>
        <w:rPr>
          <w:rFonts w:ascii="Arial" w:hAnsi="Arial" w:cs="Arial"/>
          <w:sz w:val="24"/>
          <w:szCs w:val="24"/>
        </w:rPr>
      </w:pPr>
    </w:p>
    <w:p w14:paraId="67F5F8AC" w14:textId="77777777" w:rsidR="008879FA" w:rsidRPr="0053605E" w:rsidRDefault="008879FA">
      <w:pPr>
        <w:rPr>
          <w:rFonts w:ascii="Arial" w:hAnsi="Arial" w:cs="Arial"/>
          <w:sz w:val="24"/>
          <w:szCs w:val="24"/>
        </w:rPr>
      </w:pPr>
    </w:p>
    <w:p w14:paraId="3075F884" w14:textId="27F633B6" w:rsidR="00A20879" w:rsidRDefault="007337A7">
      <w:pPr>
        <w:rPr>
          <w:rFonts w:ascii="Arial" w:hAnsi="Arial" w:cs="Arial"/>
          <w:sz w:val="24"/>
          <w:szCs w:val="24"/>
        </w:rPr>
      </w:pPr>
      <w:r w:rsidRPr="0053605E">
        <w:rPr>
          <w:rFonts w:ascii="Arial" w:hAnsi="Arial" w:cs="Arial"/>
          <w:sz w:val="24"/>
          <w:szCs w:val="24"/>
        </w:rPr>
        <w:t>As we can see according to the chart, October 4, 2013. Share price was 2.40</w:t>
      </w:r>
      <w:r w:rsidR="008879FA" w:rsidRPr="0053605E">
        <w:rPr>
          <w:rFonts w:ascii="Arial" w:hAnsi="Arial" w:cs="Arial"/>
          <w:sz w:val="24"/>
          <w:szCs w:val="24"/>
        </w:rPr>
        <w:t>, which increased until April 24, ($3.76) 2014. And the overall we can see the highest share price of CSR has been in May 4, 2018 ($5.74). However, it has been project that shares price will be decreasing so far.</w:t>
      </w:r>
      <w:r w:rsidR="009225E5">
        <w:rPr>
          <w:rFonts w:ascii="Arial" w:hAnsi="Arial" w:cs="Arial"/>
          <w:sz w:val="24"/>
          <w:szCs w:val="24"/>
        </w:rPr>
        <w:t xml:space="preserve"> The growth rate of earning last 5 years has delivered higher divi</w:t>
      </w:r>
      <w:r w:rsidR="00227842">
        <w:rPr>
          <w:rFonts w:ascii="Arial" w:hAnsi="Arial" w:cs="Arial"/>
          <w:sz w:val="24"/>
          <w:szCs w:val="24"/>
        </w:rPr>
        <w:t>dends for shareholders while company</w:t>
      </w:r>
      <w:r w:rsidR="009225E5">
        <w:rPr>
          <w:rFonts w:ascii="Arial" w:hAnsi="Arial" w:cs="Arial"/>
          <w:sz w:val="24"/>
          <w:szCs w:val="24"/>
        </w:rPr>
        <w:t xml:space="preserve"> financial position remains strong.</w:t>
      </w:r>
    </w:p>
    <w:p w14:paraId="2E818F76" w14:textId="3B697783" w:rsidR="00DB6BDE" w:rsidRDefault="00DB6BDE">
      <w:pPr>
        <w:rPr>
          <w:rFonts w:ascii="Arial" w:hAnsi="Arial" w:cs="Arial"/>
          <w:sz w:val="24"/>
          <w:szCs w:val="24"/>
        </w:rPr>
      </w:pPr>
    </w:p>
    <w:p w14:paraId="2C0977B7" w14:textId="6C15A55B" w:rsidR="00DB6BDE" w:rsidRPr="00DD1920" w:rsidRDefault="00DB6BDE" w:rsidP="00DB6BDE">
      <w:pPr>
        <w:shd w:val="clear" w:color="auto" w:fill="FFFFFF"/>
        <w:spacing w:after="0" w:line="240" w:lineRule="auto"/>
        <w:rPr>
          <w:rFonts w:ascii="Arial" w:eastAsia="Times New Roman" w:hAnsi="Arial" w:cs="Arial"/>
          <w:color w:val="FF0000"/>
          <w:sz w:val="36"/>
          <w:szCs w:val="24"/>
          <w:lang w:eastAsia="en-AU"/>
        </w:rPr>
      </w:pPr>
      <w:r w:rsidRPr="00DD1920">
        <w:rPr>
          <w:rFonts w:ascii="Arial" w:eastAsia="Times New Roman" w:hAnsi="Arial" w:cs="Arial"/>
          <w:color w:val="FF0000"/>
          <w:sz w:val="36"/>
          <w:szCs w:val="24"/>
          <w:lang w:eastAsia="en-AU"/>
        </w:rPr>
        <w:t>Property, Plants and equipment</w:t>
      </w:r>
    </w:p>
    <w:p w14:paraId="157591F1" w14:textId="77777777" w:rsidR="00DB6BDE" w:rsidRPr="00DB6BDE" w:rsidRDefault="00DB6BDE" w:rsidP="00DB6BDE">
      <w:pPr>
        <w:shd w:val="clear" w:color="auto" w:fill="FFFFFF"/>
        <w:spacing w:after="0" w:line="240" w:lineRule="auto"/>
        <w:rPr>
          <w:rFonts w:ascii="Arial" w:eastAsia="Times New Roman" w:hAnsi="Arial" w:cs="Arial"/>
          <w:sz w:val="24"/>
          <w:szCs w:val="24"/>
          <w:lang w:eastAsia="en-AU"/>
        </w:rPr>
      </w:pPr>
    </w:p>
    <w:p w14:paraId="02427689" w14:textId="06E133CF" w:rsidR="00DB6BDE" w:rsidRPr="00DB6BDE" w:rsidRDefault="00DB6BDE" w:rsidP="00DB6BDE">
      <w:pPr>
        <w:shd w:val="clear" w:color="auto" w:fill="FFFFFF"/>
        <w:spacing w:after="0" w:line="240" w:lineRule="auto"/>
        <w:rPr>
          <w:rFonts w:ascii="Arial" w:eastAsia="Times New Roman" w:hAnsi="Arial" w:cs="Arial"/>
          <w:sz w:val="24"/>
          <w:szCs w:val="24"/>
          <w:lang w:eastAsia="en-AU"/>
        </w:rPr>
      </w:pPr>
      <w:r w:rsidRPr="00DB6BDE">
        <w:rPr>
          <w:rFonts w:ascii="Arial" w:eastAsia="Times New Roman" w:hAnsi="Arial" w:cs="Arial"/>
          <w:sz w:val="24"/>
          <w:szCs w:val="24"/>
          <w:lang w:eastAsia="en-AU"/>
        </w:rPr>
        <w:t>Property, plants and equipment refers the fixed asset of the company which is not usually converted into cash within the 12-month period. Property, plants and equipment are long term physical assets like, land and buildings, furniture, machinery, vehicles etc. As this is the building company so it’s usually focuses on land and buildings.</w:t>
      </w:r>
    </w:p>
    <w:p w14:paraId="4ACA0B15" w14:textId="2C683053" w:rsidR="00DB6BDE" w:rsidRPr="00DB6BDE" w:rsidRDefault="00DB6BDE" w:rsidP="00DB6BDE">
      <w:pPr>
        <w:shd w:val="clear" w:color="auto" w:fill="FFFFFF"/>
        <w:spacing w:after="0" w:line="240" w:lineRule="auto"/>
        <w:rPr>
          <w:rFonts w:ascii="Arial" w:eastAsia="Times New Roman" w:hAnsi="Arial" w:cs="Arial"/>
          <w:sz w:val="24"/>
          <w:szCs w:val="24"/>
          <w:lang w:eastAsia="en-AU"/>
        </w:rPr>
      </w:pPr>
      <w:r w:rsidRPr="00DB6BDE">
        <w:rPr>
          <w:rFonts w:ascii="Arial" w:eastAsia="Times New Roman" w:hAnsi="Arial" w:cs="Arial"/>
          <w:sz w:val="24"/>
          <w:szCs w:val="24"/>
          <w:lang w:eastAsia="en-AU"/>
        </w:rPr>
        <w:t>As compared to financial statement 2017-18 of building company the property, plants and equipment seems to decrease from $848.2 to $834 million. The reasons for the decrease in assets may be Disposal, written down and impairment, exchange differences or acquisition through business combinations. During the period the assets is being impaired but while in case of acquisition some assets were revalued. As we go through the segment information, we can be building product, glass, aluminium, property. As given in statement some impairment has taken place due to different condition detail as per statement is as follows:</w:t>
      </w:r>
    </w:p>
    <w:p w14:paraId="44181001" w14:textId="77777777" w:rsidR="00DB6BDE" w:rsidRPr="00DB6BDE" w:rsidRDefault="00DB6BDE" w:rsidP="00DB6BDE">
      <w:pPr>
        <w:shd w:val="clear" w:color="auto" w:fill="FFFFFF"/>
        <w:spacing w:after="0" w:line="240" w:lineRule="auto"/>
        <w:rPr>
          <w:rFonts w:ascii="Arial" w:eastAsia="Times New Roman" w:hAnsi="Arial" w:cs="Arial"/>
          <w:sz w:val="24"/>
          <w:szCs w:val="24"/>
          <w:lang w:eastAsia="en-AU"/>
        </w:rPr>
      </w:pPr>
      <w:r w:rsidRPr="00DB6BDE">
        <w:rPr>
          <w:rFonts w:ascii="Arial" w:eastAsia="Times New Roman" w:hAnsi="Arial" w:cs="Arial"/>
          <w:sz w:val="24"/>
          <w:szCs w:val="24"/>
          <w:lang w:eastAsia="en-AU"/>
        </w:rPr>
        <w:t>During the year ended 31 March 2018, the Glass segment divested sites in Western Australia, Darwin and Cairns. Significant items recorded include the loss on disposal and associated restructuring expenditure of $8.7 million and a provision for onerous lease costs of $8.7 million. In addition, the Aluminium segment recorded a charge of $1.0 million for restructuring costs. During the financial year ended 31 March 2017, restructuring and relocation programs took place across the Building Products, Glass and Aluminium segments to align the business cost base with current market conditions and secure ongoing efficiencies. In addition, in the year ended 31 March 2017, following a routine review of plant and equipment, asset impairments were recorded in the Building Products segment to reduce the carrying value of assets to their recoverable amount.</w:t>
      </w:r>
    </w:p>
    <w:p w14:paraId="581AA7AB" w14:textId="77777777" w:rsidR="00DB6BDE" w:rsidRPr="0053605E" w:rsidRDefault="00DB6BDE">
      <w:pPr>
        <w:rPr>
          <w:rFonts w:ascii="Arial" w:hAnsi="Arial" w:cs="Arial"/>
          <w:sz w:val="24"/>
          <w:szCs w:val="24"/>
        </w:rPr>
      </w:pPr>
    </w:p>
    <w:p w14:paraId="79BA9CE4" w14:textId="341298CD" w:rsidR="00A20879" w:rsidRDefault="00A20879"/>
    <w:p w14:paraId="487CB03D" w14:textId="7281DDBD" w:rsidR="00DB6BDE" w:rsidRDefault="00DB6BDE"/>
    <w:p w14:paraId="7B2483BB" w14:textId="42DEA8AD" w:rsidR="00DB6BDE" w:rsidRDefault="00DB6BDE"/>
    <w:p w14:paraId="5AC90019" w14:textId="2C0F817C" w:rsidR="00DB6BDE" w:rsidRDefault="00DB6BDE"/>
    <w:p w14:paraId="1BF46844" w14:textId="538A54A4" w:rsidR="0053605E" w:rsidRPr="008C4B46" w:rsidRDefault="0053605E">
      <w:pPr>
        <w:rPr>
          <w:color w:val="FF0000"/>
          <w:sz w:val="32"/>
          <w:szCs w:val="32"/>
        </w:rPr>
      </w:pPr>
      <w:r w:rsidRPr="008C4B46">
        <w:rPr>
          <w:color w:val="FF0000"/>
          <w:sz w:val="32"/>
          <w:szCs w:val="32"/>
        </w:rPr>
        <w:t>Provision</w:t>
      </w:r>
    </w:p>
    <w:tbl>
      <w:tblPr>
        <w:tblStyle w:val="TableGrid"/>
        <w:tblW w:w="0" w:type="auto"/>
        <w:tblLook w:val="04A0" w:firstRow="1" w:lastRow="0" w:firstColumn="1" w:lastColumn="0" w:noHBand="0" w:noVBand="1"/>
      </w:tblPr>
      <w:tblGrid>
        <w:gridCol w:w="3251"/>
        <w:gridCol w:w="817"/>
        <w:gridCol w:w="1604"/>
        <w:gridCol w:w="1377"/>
        <w:gridCol w:w="1150"/>
        <w:gridCol w:w="817"/>
      </w:tblGrid>
      <w:tr w:rsidR="0053605E" w:rsidRPr="007253C4" w14:paraId="6280634A" w14:textId="77777777" w:rsidTr="00C55AE9">
        <w:tc>
          <w:tcPr>
            <w:tcW w:w="3898" w:type="dxa"/>
          </w:tcPr>
          <w:p w14:paraId="63534E44" w14:textId="0C8D0AC0" w:rsidR="0053605E" w:rsidRPr="007253C4" w:rsidRDefault="0053605E">
            <w:pPr>
              <w:rPr>
                <w:rFonts w:ascii="Arial" w:hAnsi="Arial" w:cs="Arial"/>
                <w:b/>
                <w:sz w:val="24"/>
                <w:szCs w:val="24"/>
              </w:rPr>
            </w:pPr>
            <w:r w:rsidRPr="007253C4">
              <w:rPr>
                <w:rFonts w:ascii="Arial" w:hAnsi="Arial" w:cs="Arial"/>
                <w:b/>
                <w:sz w:val="24"/>
                <w:szCs w:val="24"/>
              </w:rPr>
              <w:t>$ million</w:t>
            </w:r>
          </w:p>
        </w:tc>
        <w:tc>
          <w:tcPr>
            <w:tcW w:w="721" w:type="dxa"/>
          </w:tcPr>
          <w:p w14:paraId="0DEE70E1" w14:textId="701A9FEA" w:rsidR="0053605E" w:rsidRPr="007253C4" w:rsidRDefault="0053605E">
            <w:pPr>
              <w:rPr>
                <w:rFonts w:ascii="Arial" w:hAnsi="Arial" w:cs="Arial"/>
                <w:sz w:val="24"/>
                <w:szCs w:val="24"/>
              </w:rPr>
            </w:pPr>
            <w:r w:rsidRPr="007253C4">
              <w:rPr>
                <w:rFonts w:ascii="Arial" w:hAnsi="Arial" w:cs="Arial"/>
                <w:sz w:val="24"/>
                <w:szCs w:val="24"/>
              </w:rPr>
              <w:t>2017</w:t>
            </w:r>
          </w:p>
        </w:tc>
        <w:tc>
          <w:tcPr>
            <w:tcW w:w="1438" w:type="dxa"/>
          </w:tcPr>
          <w:p w14:paraId="0F6D29FA" w14:textId="35839414" w:rsidR="0053605E" w:rsidRPr="007253C4" w:rsidRDefault="008C5B08">
            <w:pPr>
              <w:rPr>
                <w:rFonts w:ascii="Arial" w:hAnsi="Arial" w:cs="Arial"/>
                <w:sz w:val="24"/>
                <w:szCs w:val="24"/>
              </w:rPr>
            </w:pPr>
            <w:r w:rsidRPr="007253C4">
              <w:rPr>
                <w:rFonts w:ascii="Arial" w:hAnsi="Arial" w:cs="Arial"/>
                <w:sz w:val="24"/>
                <w:szCs w:val="24"/>
              </w:rPr>
              <w:t>Recolonized</w:t>
            </w:r>
            <w:r w:rsidR="0053605E" w:rsidRPr="007253C4">
              <w:rPr>
                <w:rFonts w:ascii="Arial" w:hAnsi="Arial" w:cs="Arial"/>
                <w:sz w:val="24"/>
                <w:szCs w:val="24"/>
              </w:rPr>
              <w:t>/ remeasured</w:t>
            </w:r>
          </w:p>
        </w:tc>
        <w:tc>
          <w:tcPr>
            <w:tcW w:w="1236" w:type="dxa"/>
          </w:tcPr>
          <w:p w14:paraId="69F0252C" w14:textId="00860024" w:rsidR="0053605E" w:rsidRPr="007253C4" w:rsidRDefault="0053605E">
            <w:pPr>
              <w:rPr>
                <w:rFonts w:ascii="Arial" w:hAnsi="Arial" w:cs="Arial"/>
                <w:sz w:val="24"/>
                <w:szCs w:val="24"/>
              </w:rPr>
            </w:pPr>
            <w:r w:rsidRPr="007253C4">
              <w:rPr>
                <w:rFonts w:ascii="Arial" w:hAnsi="Arial" w:cs="Arial"/>
                <w:sz w:val="24"/>
                <w:szCs w:val="24"/>
              </w:rPr>
              <w:t xml:space="preserve">Settled </w:t>
            </w:r>
            <w:r w:rsidR="008C5B08" w:rsidRPr="007253C4">
              <w:rPr>
                <w:rFonts w:ascii="Arial" w:hAnsi="Arial" w:cs="Arial"/>
                <w:sz w:val="24"/>
                <w:szCs w:val="24"/>
              </w:rPr>
              <w:t>transferred</w:t>
            </w:r>
          </w:p>
        </w:tc>
        <w:tc>
          <w:tcPr>
            <w:tcW w:w="1002" w:type="dxa"/>
          </w:tcPr>
          <w:p w14:paraId="3CCF0285" w14:textId="38D374D7" w:rsidR="0053605E" w:rsidRPr="007253C4" w:rsidRDefault="0053605E">
            <w:pPr>
              <w:rPr>
                <w:rFonts w:ascii="Arial" w:hAnsi="Arial" w:cs="Arial"/>
                <w:sz w:val="24"/>
                <w:szCs w:val="24"/>
              </w:rPr>
            </w:pPr>
            <w:r w:rsidRPr="007253C4">
              <w:rPr>
                <w:rFonts w:ascii="Arial" w:hAnsi="Arial" w:cs="Arial"/>
                <w:sz w:val="24"/>
                <w:szCs w:val="24"/>
              </w:rPr>
              <w:t>Discount unwind</w:t>
            </w:r>
          </w:p>
        </w:tc>
        <w:tc>
          <w:tcPr>
            <w:tcW w:w="721" w:type="dxa"/>
          </w:tcPr>
          <w:p w14:paraId="6CA0739E" w14:textId="79721E52" w:rsidR="0053605E" w:rsidRPr="007253C4" w:rsidRDefault="0053605E">
            <w:pPr>
              <w:rPr>
                <w:rFonts w:ascii="Arial" w:hAnsi="Arial" w:cs="Arial"/>
                <w:sz w:val="24"/>
                <w:szCs w:val="24"/>
              </w:rPr>
            </w:pPr>
            <w:r w:rsidRPr="007253C4">
              <w:rPr>
                <w:rFonts w:ascii="Arial" w:hAnsi="Arial" w:cs="Arial"/>
                <w:sz w:val="24"/>
                <w:szCs w:val="24"/>
              </w:rPr>
              <w:t>2018</w:t>
            </w:r>
          </w:p>
        </w:tc>
      </w:tr>
      <w:tr w:rsidR="0053605E" w:rsidRPr="007253C4" w14:paraId="08494FDE" w14:textId="77777777" w:rsidTr="00C55AE9">
        <w:tc>
          <w:tcPr>
            <w:tcW w:w="3898" w:type="dxa"/>
          </w:tcPr>
          <w:p w14:paraId="726E077D" w14:textId="2551366B" w:rsidR="0053605E" w:rsidRPr="007253C4" w:rsidRDefault="0053605E">
            <w:pPr>
              <w:rPr>
                <w:rFonts w:ascii="Arial" w:hAnsi="Arial" w:cs="Arial"/>
                <w:sz w:val="24"/>
                <w:szCs w:val="24"/>
              </w:rPr>
            </w:pPr>
            <w:r w:rsidRPr="007253C4">
              <w:rPr>
                <w:rFonts w:ascii="Arial" w:hAnsi="Arial" w:cs="Arial"/>
                <w:sz w:val="24"/>
                <w:szCs w:val="24"/>
              </w:rPr>
              <w:t>Employee benefit</w:t>
            </w:r>
          </w:p>
        </w:tc>
        <w:tc>
          <w:tcPr>
            <w:tcW w:w="721" w:type="dxa"/>
          </w:tcPr>
          <w:p w14:paraId="02223F0C" w14:textId="583D1991" w:rsidR="0053605E" w:rsidRPr="007253C4" w:rsidRDefault="0053605E">
            <w:pPr>
              <w:rPr>
                <w:rFonts w:ascii="Arial" w:hAnsi="Arial" w:cs="Arial"/>
                <w:sz w:val="24"/>
                <w:szCs w:val="24"/>
              </w:rPr>
            </w:pPr>
            <w:r w:rsidRPr="007253C4">
              <w:rPr>
                <w:rFonts w:ascii="Arial" w:hAnsi="Arial" w:cs="Arial"/>
                <w:sz w:val="24"/>
                <w:szCs w:val="24"/>
              </w:rPr>
              <w:t>113.5</w:t>
            </w:r>
          </w:p>
        </w:tc>
        <w:tc>
          <w:tcPr>
            <w:tcW w:w="1438" w:type="dxa"/>
          </w:tcPr>
          <w:p w14:paraId="76D973EA" w14:textId="3CBEC2B8" w:rsidR="0053605E" w:rsidRPr="007253C4" w:rsidRDefault="0053605E">
            <w:pPr>
              <w:rPr>
                <w:rFonts w:ascii="Arial" w:hAnsi="Arial" w:cs="Arial"/>
                <w:sz w:val="24"/>
                <w:szCs w:val="24"/>
              </w:rPr>
            </w:pPr>
            <w:r w:rsidRPr="007253C4">
              <w:rPr>
                <w:rFonts w:ascii="Arial" w:hAnsi="Arial" w:cs="Arial"/>
                <w:sz w:val="24"/>
                <w:szCs w:val="24"/>
              </w:rPr>
              <w:t>58.2</w:t>
            </w:r>
          </w:p>
        </w:tc>
        <w:tc>
          <w:tcPr>
            <w:tcW w:w="1236" w:type="dxa"/>
          </w:tcPr>
          <w:p w14:paraId="0F40DFEF" w14:textId="036EADDE" w:rsidR="0053605E" w:rsidRPr="007253C4" w:rsidRDefault="0053605E">
            <w:pPr>
              <w:rPr>
                <w:rFonts w:ascii="Arial" w:hAnsi="Arial" w:cs="Arial"/>
                <w:sz w:val="24"/>
                <w:szCs w:val="24"/>
              </w:rPr>
            </w:pPr>
            <w:r w:rsidRPr="007253C4">
              <w:rPr>
                <w:rFonts w:ascii="Arial" w:hAnsi="Arial" w:cs="Arial"/>
                <w:sz w:val="24"/>
                <w:szCs w:val="24"/>
              </w:rPr>
              <w:t>(60.9)</w:t>
            </w:r>
          </w:p>
        </w:tc>
        <w:tc>
          <w:tcPr>
            <w:tcW w:w="1002" w:type="dxa"/>
          </w:tcPr>
          <w:p w14:paraId="46DB8B0C" w14:textId="4810CAE8" w:rsidR="0053605E" w:rsidRPr="007253C4" w:rsidRDefault="0053605E">
            <w:pPr>
              <w:rPr>
                <w:rFonts w:ascii="Arial" w:hAnsi="Arial" w:cs="Arial"/>
                <w:sz w:val="24"/>
                <w:szCs w:val="24"/>
              </w:rPr>
            </w:pPr>
            <w:r w:rsidRPr="007253C4">
              <w:rPr>
                <w:rFonts w:ascii="Arial" w:hAnsi="Arial" w:cs="Arial"/>
                <w:sz w:val="24"/>
                <w:szCs w:val="24"/>
              </w:rPr>
              <w:t>-</w:t>
            </w:r>
          </w:p>
        </w:tc>
        <w:tc>
          <w:tcPr>
            <w:tcW w:w="721" w:type="dxa"/>
          </w:tcPr>
          <w:p w14:paraId="6F72202D" w14:textId="39195E65" w:rsidR="0053605E" w:rsidRPr="007253C4" w:rsidRDefault="0053605E">
            <w:pPr>
              <w:rPr>
                <w:rFonts w:ascii="Arial" w:hAnsi="Arial" w:cs="Arial"/>
                <w:sz w:val="24"/>
                <w:szCs w:val="24"/>
              </w:rPr>
            </w:pPr>
            <w:r w:rsidRPr="007253C4">
              <w:rPr>
                <w:rFonts w:ascii="Arial" w:hAnsi="Arial" w:cs="Arial"/>
                <w:sz w:val="24"/>
                <w:szCs w:val="24"/>
              </w:rPr>
              <w:t>110.8</w:t>
            </w:r>
          </w:p>
        </w:tc>
      </w:tr>
      <w:tr w:rsidR="0053605E" w:rsidRPr="007253C4" w14:paraId="17F87BF0" w14:textId="77777777" w:rsidTr="00C55AE9">
        <w:tc>
          <w:tcPr>
            <w:tcW w:w="3898" w:type="dxa"/>
          </w:tcPr>
          <w:p w14:paraId="7F89B250" w14:textId="2CDDD29E" w:rsidR="0053605E" w:rsidRPr="007253C4" w:rsidRDefault="0053605E">
            <w:pPr>
              <w:rPr>
                <w:rFonts w:ascii="Arial" w:hAnsi="Arial" w:cs="Arial"/>
                <w:sz w:val="24"/>
                <w:szCs w:val="24"/>
              </w:rPr>
            </w:pPr>
            <w:r w:rsidRPr="007253C4">
              <w:rPr>
                <w:rFonts w:ascii="Arial" w:hAnsi="Arial" w:cs="Arial"/>
                <w:sz w:val="24"/>
                <w:szCs w:val="24"/>
              </w:rPr>
              <w:t>Restructure and rationalisation</w:t>
            </w:r>
          </w:p>
        </w:tc>
        <w:tc>
          <w:tcPr>
            <w:tcW w:w="721" w:type="dxa"/>
          </w:tcPr>
          <w:p w14:paraId="608AAFE1" w14:textId="1F12C855" w:rsidR="0053605E" w:rsidRPr="007253C4" w:rsidRDefault="0053605E">
            <w:pPr>
              <w:rPr>
                <w:rFonts w:ascii="Arial" w:hAnsi="Arial" w:cs="Arial"/>
                <w:sz w:val="24"/>
                <w:szCs w:val="24"/>
              </w:rPr>
            </w:pPr>
            <w:r w:rsidRPr="007253C4">
              <w:rPr>
                <w:rFonts w:ascii="Arial" w:hAnsi="Arial" w:cs="Arial"/>
                <w:sz w:val="24"/>
                <w:szCs w:val="24"/>
              </w:rPr>
              <w:t>9.3</w:t>
            </w:r>
          </w:p>
        </w:tc>
        <w:tc>
          <w:tcPr>
            <w:tcW w:w="1438" w:type="dxa"/>
          </w:tcPr>
          <w:p w14:paraId="438A3EA7" w14:textId="58AC50B3" w:rsidR="0053605E" w:rsidRPr="007253C4" w:rsidRDefault="00C55AE9">
            <w:pPr>
              <w:rPr>
                <w:rFonts w:ascii="Arial" w:hAnsi="Arial" w:cs="Arial"/>
                <w:sz w:val="24"/>
                <w:szCs w:val="24"/>
              </w:rPr>
            </w:pPr>
            <w:r w:rsidRPr="007253C4">
              <w:rPr>
                <w:rFonts w:ascii="Arial" w:hAnsi="Arial" w:cs="Arial"/>
                <w:sz w:val="24"/>
                <w:szCs w:val="24"/>
              </w:rPr>
              <w:t>6.2</w:t>
            </w:r>
          </w:p>
        </w:tc>
        <w:tc>
          <w:tcPr>
            <w:tcW w:w="1236" w:type="dxa"/>
          </w:tcPr>
          <w:p w14:paraId="2992666F" w14:textId="19141CE9" w:rsidR="0053605E" w:rsidRPr="007253C4" w:rsidRDefault="00C55AE9">
            <w:pPr>
              <w:rPr>
                <w:rFonts w:ascii="Arial" w:hAnsi="Arial" w:cs="Arial"/>
                <w:sz w:val="24"/>
                <w:szCs w:val="24"/>
              </w:rPr>
            </w:pPr>
            <w:r w:rsidRPr="007253C4">
              <w:rPr>
                <w:rFonts w:ascii="Arial" w:hAnsi="Arial" w:cs="Arial"/>
                <w:sz w:val="24"/>
                <w:szCs w:val="24"/>
              </w:rPr>
              <w:t>(4.4)</w:t>
            </w:r>
          </w:p>
        </w:tc>
        <w:tc>
          <w:tcPr>
            <w:tcW w:w="1002" w:type="dxa"/>
          </w:tcPr>
          <w:p w14:paraId="70707B06" w14:textId="63313C5B" w:rsidR="0053605E" w:rsidRPr="007253C4" w:rsidRDefault="00C55AE9">
            <w:pPr>
              <w:rPr>
                <w:rFonts w:ascii="Arial" w:hAnsi="Arial" w:cs="Arial"/>
                <w:sz w:val="24"/>
                <w:szCs w:val="24"/>
              </w:rPr>
            </w:pPr>
            <w:r w:rsidRPr="007253C4">
              <w:rPr>
                <w:rFonts w:ascii="Arial" w:hAnsi="Arial" w:cs="Arial"/>
                <w:sz w:val="24"/>
                <w:szCs w:val="24"/>
              </w:rPr>
              <w:t>-</w:t>
            </w:r>
          </w:p>
        </w:tc>
        <w:tc>
          <w:tcPr>
            <w:tcW w:w="721" w:type="dxa"/>
          </w:tcPr>
          <w:p w14:paraId="262C990E" w14:textId="3FDAD54D" w:rsidR="0053605E" w:rsidRPr="007253C4" w:rsidRDefault="00C55AE9">
            <w:pPr>
              <w:rPr>
                <w:rFonts w:ascii="Arial" w:hAnsi="Arial" w:cs="Arial"/>
                <w:sz w:val="24"/>
                <w:szCs w:val="24"/>
              </w:rPr>
            </w:pPr>
            <w:r w:rsidRPr="007253C4">
              <w:rPr>
                <w:rFonts w:ascii="Arial" w:hAnsi="Arial" w:cs="Arial"/>
                <w:sz w:val="24"/>
                <w:szCs w:val="24"/>
              </w:rPr>
              <w:t>11.1</w:t>
            </w:r>
          </w:p>
        </w:tc>
      </w:tr>
      <w:tr w:rsidR="0053605E" w:rsidRPr="007253C4" w14:paraId="04F96328" w14:textId="77777777" w:rsidTr="00C55AE9">
        <w:tc>
          <w:tcPr>
            <w:tcW w:w="3898" w:type="dxa"/>
          </w:tcPr>
          <w:p w14:paraId="32B77576" w14:textId="0DBE29CD" w:rsidR="0053605E" w:rsidRPr="007253C4" w:rsidRDefault="0053605E">
            <w:pPr>
              <w:rPr>
                <w:rFonts w:ascii="Arial" w:hAnsi="Arial" w:cs="Arial"/>
                <w:sz w:val="24"/>
                <w:szCs w:val="24"/>
              </w:rPr>
            </w:pPr>
            <w:r w:rsidRPr="007253C4">
              <w:rPr>
                <w:rFonts w:ascii="Arial" w:hAnsi="Arial" w:cs="Arial"/>
                <w:sz w:val="24"/>
                <w:szCs w:val="24"/>
              </w:rPr>
              <w:t>Product liability</w:t>
            </w:r>
          </w:p>
        </w:tc>
        <w:tc>
          <w:tcPr>
            <w:tcW w:w="721" w:type="dxa"/>
          </w:tcPr>
          <w:p w14:paraId="43221073" w14:textId="5FC7D807" w:rsidR="0053605E" w:rsidRPr="007253C4" w:rsidRDefault="00C55AE9">
            <w:pPr>
              <w:rPr>
                <w:rFonts w:ascii="Arial" w:hAnsi="Arial" w:cs="Arial"/>
                <w:sz w:val="24"/>
                <w:szCs w:val="24"/>
              </w:rPr>
            </w:pPr>
            <w:r w:rsidRPr="007253C4">
              <w:rPr>
                <w:rFonts w:ascii="Arial" w:hAnsi="Arial" w:cs="Arial"/>
                <w:sz w:val="24"/>
                <w:szCs w:val="24"/>
              </w:rPr>
              <w:t>29.2</w:t>
            </w:r>
          </w:p>
        </w:tc>
        <w:tc>
          <w:tcPr>
            <w:tcW w:w="1438" w:type="dxa"/>
          </w:tcPr>
          <w:p w14:paraId="0CDDEACA" w14:textId="6DFB0A8C" w:rsidR="0053605E" w:rsidRPr="007253C4" w:rsidRDefault="00C55AE9">
            <w:pPr>
              <w:rPr>
                <w:rFonts w:ascii="Arial" w:hAnsi="Arial" w:cs="Arial"/>
                <w:sz w:val="24"/>
                <w:szCs w:val="24"/>
              </w:rPr>
            </w:pPr>
            <w:r w:rsidRPr="007253C4">
              <w:rPr>
                <w:rFonts w:ascii="Arial" w:hAnsi="Arial" w:cs="Arial"/>
                <w:sz w:val="24"/>
                <w:szCs w:val="24"/>
              </w:rPr>
              <w:t>32.5</w:t>
            </w:r>
          </w:p>
        </w:tc>
        <w:tc>
          <w:tcPr>
            <w:tcW w:w="1236" w:type="dxa"/>
          </w:tcPr>
          <w:p w14:paraId="38850726" w14:textId="42890846" w:rsidR="0053605E" w:rsidRPr="007253C4" w:rsidRDefault="00C55AE9">
            <w:pPr>
              <w:rPr>
                <w:rFonts w:ascii="Arial" w:hAnsi="Arial" w:cs="Arial"/>
                <w:sz w:val="24"/>
                <w:szCs w:val="24"/>
              </w:rPr>
            </w:pPr>
            <w:r w:rsidRPr="007253C4">
              <w:rPr>
                <w:rFonts w:ascii="Arial" w:hAnsi="Arial" w:cs="Arial"/>
                <w:sz w:val="24"/>
                <w:szCs w:val="24"/>
              </w:rPr>
              <w:t>(31.7)</w:t>
            </w:r>
          </w:p>
        </w:tc>
        <w:tc>
          <w:tcPr>
            <w:tcW w:w="1002" w:type="dxa"/>
          </w:tcPr>
          <w:p w14:paraId="62700662" w14:textId="72E549A5" w:rsidR="0053605E" w:rsidRPr="007253C4" w:rsidRDefault="00C55AE9">
            <w:pPr>
              <w:rPr>
                <w:rFonts w:ascii="Arial" w:hAnsi="Arial" w:cs="Arial"/>
                <w:sz w:val="24"/>
                <w:szCs w:val="24"/>
              </w:rPr>
            </w:pPr>
            <w:r w:rsidRPr="007253C4">
              <w:rPr>
                <w:rFonts w:ascii="Arial" w:hAnsi="Arial" w:cs="Arial"/>
                <w:sz w:val="24"/>
                <w:szCs w:val="24"/>
              </w:rPr>
              <w:t>-</w:t>
            </w:r>
          </w:p>
        </w:tc>
        <w:tc>
          <w:tcPr>
            <w:tcW w:w="721" w:type="dxa"/>
          </w:tcPr>
          <w:p w14:paraId="7EB1C5AC" w14:textId="6A5886AF" w:rsidR="0053605E" w:rsidRPr="007253C4" w:rsidRDefault="00C55AE9">
            <w:pPr>
              <w:rPr>
                <w:rFonts w:ascii="Arial" w:hAnsi="Arial" w:cs="Arial"/>
                <w:sz w:val="24"/>
                <w:szCs w:val="24"/>
              </w:rPr>
            </w:pPr>
            <w:r w:rsidRPr="007253C4">
              <w:rPr>
                <w:rFonts w:ascii="Arial" w:hAnsi="Arial" w:cs="Arial"/>
                <w:sz w:val="24"/>
                <w:szCs w:val="24"/>
              </w:rPr>
              <w:t>30.0</w:t>
            </w:r>
          </w:p>
        </w:tc>
      </w:tr>
      <w:tr w:rsidR="0053605E" w:rsidRPr="007253C4" w14:paraId="2613B6D1" w14:textId="77777777" w:rsidTr="00C55AE9">
        <w:tc>
          <w:tcPr>
            <w:tcW w:w="3898" w:type="dxa"/>
          </w:tcPr>
          <w:p w14:paraId="6E5D98D2" w14:textId="502B5369" w:rsidR="0053605E" w:rsidRPr="007253C4" w:rsidRDefault="0053605E">
            <w:pPr>
              <w:rPr>
                <w:rFonts w:ascii="Arial" w:hAnsi="Arial" w:cs="Arial"/>
                <w:sz w:val="24"/>
                <w:szCs w:val="24"/>
              </w:rPr>
            </w:pPr>
            <w:r w:rsidRPr="007253C4">
              <w:rPr>
                <w:rFonts w:ascii="Arial" w:hAnsi="Arial" w:cs="Arial"/>
                <w:sz w:val="24"/>
                <w:szCs w:val="24"/>
              </w:rPr>
              <w:t>Restoration and environmental rehabilitation</w:t>
            </w:r>
          </w:p>
        </w:tc>
        <w:tc>
          <w:tcPr>
            <w:tcW w:w="721" w:type="dxa"/>
          </w:tcPr>
          <w:p w14:paraId="17BC9F56" w14:textId="4095CBB1" w:rsidR="0053605E" w:rsidRPr="007253C4" w:rsidRDefault="00C55AE9">
            <w:pPr>
              <w:rPr>
                <w:rFonts w:ascii="Arial" w:hAnsi="Arial" w:cs="Arial"/>
                <w:sz w:val="24"/>
                <w:szCs w:val="24"/>
              </w:rPr>
            </w:pPr>
            <w:r w:rsidRPr="007253C4">
              <w:rPr>
                <w:rFonts w:ascii="Arial" w:hAnsi="Arial" w:cs="Arial"/>
                <w:sz w:val="24"/>
                <w:szCs w:val="24"/>
              </w:rPr>
              <w:t>8.2</w:t>
            </w:r>
          </w:p>
        </w:tc>
        <w:tc>
          <w:tcPr>
            <w:tcW w:w="1438" w:type="dxa"/>
          </w:tcPr>
          <w:p w14:paraId="3A396136" w14:textId="252CE095" w:rsidR="0053605E" w:rsidRPr="007253C4" w:rsidRDefault="00C55AE9">
            <w:pPr>
              <w:rPr>
                <w:rFonts w:ascii="Arial" w:hAnsi="Arial" w:cs="Arial"/>
                <w:sz w:val="24"/>
                <w:szCs w:val="24"/>
              </w:rPr>
            </w:pPr>
            <w:r w:rsidRPr="007253C4">
              <w:rPr>
                <w:rFonts w:ascii="Arial" w:hAnsi="Arial" w:cs="Arial"/>
                <w:sz w:val="24"/>
                <w:szCs w:val="24"/>
              </w:rPr>
              <w:t>3.5</w:t>
            </w:r>
          </w:p>
        </w:tc>
        <w:tc>
          <w:tcPr>
            <w:tcW w:w="1236" w:type="dxa"/>
          </w:tcPr>
          <w:p w14:paraId="46532C95" w14:textId="67926968" w:rsidR="0053605E" w:rsidRPr="007253C4" w:rsidRDefault="00C55AE9">
            <w:pPr>
              <w:rPr>
                <w:rFonts w:ascii="Arial" w:hAnsi="Arial" w:cs="Arial"/>
                <w:sz w:val="24"/>
                <w:szCs w:val="24"/>
              </w:rPr>
            </w:pPr>
            <w:r w:rsidRPr="007253C4">
              <w:rPr>
                <w:rFonts w:ascii="Arial" w:hAnsi="Arial" w:cs="Arial"/>
                <w:sz w:val="24"/>
                <w:szCs w:val="24"/>
              </w:rPr>
              <w:t>(9.7)</w:t>
            </w:r>
          </w:p>
        </w:tc>
        <w:tc>
          <w:tcPr>
            <w:tcW w:w="1002" w:type="dxa"/>
          </w:tcPr>
          <w:p w14:paraId="7FE23368" w14:textId="61472FEE" w:rsidR="0053605E" w:rsidRPr="007253C4" w:rsidRDefault="00C55AE9">
            <w:pPr>
              <w:rPr>
                <w:rFonts w:ascii="Arial" w:hAnsi="Arial" w:cs="Arial"/>
                <w:sz w:val="24"/>
                <w:szCs w:val="24"/>
              </w:rPr>
            </w:pPr>
            <w:r w:rsidRPr="007253C4">
              <w:rPr>
                <w:rFonts w:ascii="Arial" w:hAnsi="Arial" w:cs="Arial"/>
                <w:sz w:val="24"/>
                <w:szCs w:val="24"/>
              </w:rPr>
              <w:t>-</w:t>
            </w:r>
          </w:p>
        </w:tc>
        <w:tc>
          <w:tcPr>
            <w:tcW w:w="721" w:type="dxa"/>
          </w:tcPr>
          <w:p w14:paraId="23DB1079" w14:textId="3CDC36AC" w:rsidR="0053605E" w:rsidRPr="007253C4" w:rsidRDefault="00C55AE9">
            <w:pPr>
              <w:rPr>
                <w:rFonts w:ascii="Arial" w:hAnsi="Arial" w:cs="Arial"/>
                <w:sz w:val="24"/>
                <w:szCs w:val="24"/>
              </w:rPr>
            </w:pPr>
            <w:r w:rsidRPr="007253C4">
              <w:rPr>
                <w:rFonts w:ascii="Arial" w:hAnsi="Arial" w:cs="Arial"/>
                <w:sz w:val="24"/>
                <w:szCs w:val="24"/>
              </w:rPr>
              <w:t>2.5</w:t>
            </w:r>
          </w:p>
        </w:tc>
      </w:tr>
      <w:tr w:rsidR="0053605E" w:rsidRPr="007253C4" w14:paraId="7C98006E" w14:textId="77777777" w:rsidTr="00C55AE9">
        <w:tc>
          <w:tcPr>
            <w:tcW w:w="3898" w:type="dxa"/>
          </w:tcPr>
          <w:p w14:paraId="5D5946FE" w14:textId="62CEF7C3" w:rsidR="0053605E" w:rsidRPr="007253C4" w:rsidRDefault="0053605E">
            <w:pPr>
              <w:rPr>
                <w:rFonts w:ascii="Arial" w:hAnsi="Arial" w:cs="Arial"/>
                <w:sz w:val="24"/>
                <w:szCs w:val="24"/>
              </w:rPr>
            </w:pPr>
            <w:r w:rsidRPr="007253C4">
              <w:rPr>
                <w:rFonts w:ascii="Arial" w:hAnsi="Arial" w:cs="Arial"/>
                <w:sz w:val="24"/>
                <w:szCs w:val="24"/>
              </w:rPr>
              <w:t>Uninsured losses and future claims</w:t>
            </w:r>
          </w:p>
        </w:tc>
        <w:tc>
          <w:tcPr>
            <w:tcW w:w="721" w:type="dxa"/>
          </w:tcPr>
          <w:p w14:paraId="45055AA9" w14:textId="15896212" w:rsidR="0053605E" w:rsidRPr="007253C4" w:rsidRDefault="00C55AE9">
            <w:pPr>
              <w:rPr>
                <w:rFonts w:ascii="Arial" w:hAnsi="Arial" w:cs="Arial"/>
                <w:sz w:val="24"/>
                <w:szCs w:val="24"/>
              </w:rPr>
            </w:pPr>
            <w:r w:rsidRPr="007253C4">
              <w:rPr>
                <w:rFonts w:ascii="Arial" w:hAnsi="Arial" w:cs="Arial"/>
                <w:sz w:val="24"/>
                <w:szCs w:val="24"/>
              </w:rPr>
              <w:t>5.6</w:t>
            </w:r>
          </w:p>
        </w:tc>
        <w:tc>
          <w:tcPr>
            <w:tcW w:w="1438" w:type="dxa"/>
          </w:tcPr>
          <w:p w14:paraId="7973DDCF" w14:textId="51AE0302" w:rsidR="0053605E" w:rsidRPr="007253C4" w:rsidRDefault="00C55AE9">
            <w:pPr>
              <w:rPr>
                <w:rFonts w:ascii="Arial" w:hAnsi="Arial" w:cs="Arial"/>
                <w:sz w:val="24"/>
                <w:szCs w:val="24"/>
              </w:rPr>
            </w:pPr>
            <w:r w:rsidRPr="007253C4">
              <w:rPr>
                <w:rFonts w:ascii="Arial" w:hAnsi="Arial" w:cs="Arial"/>
                <w:sz w:val="24"/>
                <w:szCs w:val="24"/>
              </w:rPr>
              <w:t>10.9</w:t>
            </w:r>
          </w:p>
        </w:tc>
        <w:tc>
          <w:tcPr>
            <w:tcW w:w="1236" w:type="dxa"/>
          </w:tcPr>
          <w:p w14:paraId="6D1134EC" w14:textId="00904A2F" w:rsidR="0053605E" w:rsidRPr="007253C4" w:rsidRDefault="00C55AE9">
            <w:pPr>
              <w:rPr>
                <w:rFonts w:ascii="Arial" w:hAnsi="Arial" w:cs="Arial"/>
                <w:sz w:val="24"/>
                <w:szCs w:val="24"/>
              </w:rPr>
            </w:pPr>
            <w:r w:rsidRPr="007253C4">
              <w:rPr>
                <w:rFonts w:ascii="Arial" w:hAnsi="Arial" w:cs="Arial"/>
                <w:sz w:val="24"/>
                <w:szCs w:val="24"/>
              </w:rPr>
              <w:t>(10.7)</w:t>
            </w:r>
          </w:p>
        </w:tc>
        <w:tc>
          <w:tcPr>
            <w:tcW w:w="1002" w:type="dxa"/>
          </w:tcPr>
          <w:p w14:paraId="48284323" w14:textId="0306BA5F" w:rsidR="0053605E" w:rsidRPr="007253C4" w:rsidRDefault="00C55AE9">
            <w:pPr>
              <w:rPr>
                <w:rFonts w:ascii="Arial" w:hAnsi="Arial" w:cs="Arial"/>
                <w:sz w:val="24"/>
                <w:szCs w:val="24"/>
              </w:rPr>
            </w:pPr>
            <w:r w:rsidRPr="007253C4">
              <w:rPr>
                <w:rFonts w:ascii="Arial" w:hAnsi="Arial" w:cs="Arial"/>
                <w:sz w:val="24"/>
                <w:szCs w:val="24"/>
              </w:rPr>
              <w:t>-</w:t>
            </w:r>
          </w:p>
        </w:tc>
        <w:tc>
          <w:tcPr>
            <w:tcW w:w="721" w:type="dxa"/>
          </w:tcPr>
          <w:p w14:paraId="4BA463DD" w14:textId="4437CFD0" w:rsidR="0053605E" w:rsidRPr="007253C4" w:rsidRDefault="00C55AE9">
            <w:pPr>
              <w:rPr>
                <w:rFonts w:ascii="Arial" w:hAnsi="Arial" w:cs="Arial"/>
                <w:sz w:val="24"/>
                <w:szCs w:val="24"/>
              </w:rPr>
            </w:pPr>
            <w:r w:rsidRPr="007253C4">
              <w:rPr>
                <w:rFonts w:ascii="Arial" w:hAnsi="Arial" w:cs="Arial"/>
                <w:sz w:val="24"/>
                <w:szCs w:val="24"/>
              </w:rPr>
              <w:t>5.8</w:t>
            </w:r>
          </w:p>
        </w:tc>
      </w:tr>
      <w:tr w:rsidR="0053605E" w:rsidRPr="007253C4" w14:paraId="2F5DCE8B" w14:textId="77777777" w:rsidTr="00C55AE9">
        <w:tc>
          <w:tcPr>
            <w:tcW w:w="3898" w:type="dxa"/>
          </w:tcPr>
          <w:p w14:paraId="6E55726C" w14:textId="2B0239D6" w:rsidR="0053605E" w:rsidRPr="007253C4" w:rsidRDefault="0053605E">
            <w:pPr>
              <w:rPr>
                <w:rFonts w:ascii="Arial" w:hAnsi="Arial" w:cs="Arial"/>
                <w:sz w:val="24"/>
                <w:szCs w:val="24"/>
              </w:rPr>
            </w:pPr>
            <w:r w:rsidRPr="007253C4">
              <w:rPr>
                <w:rFonts w:ascii="Arial" w:hAnsi="Arial" w:cs="Arial"/>
                <w:sz w:val="24"/>
                <w:szCs w:val="24"/>
              </w:rPr>
              <w:t xml:space="preserve">Other </w:t>
            </w:r>
          </w:p>
        </w:tc>
        <w:tc>
          <w:tcPr>
            <w:tcW w:w="721" w:type="dxa"/>
          </w:tcPr>
          <w:p w14:paraId="5F1379D1" w14:textId="2655A978" w:rsidR="0053605E" w:rsidRPr="007253C4" w:rsidRDefault="00C55AE9">
            <w:pPr>
              <w:rPr>
                <w:rFonts w:ascii="Arial" w:hAnsi="Arial" w:cs="Arial"/>
                <w:sz w:val="24"/>
                <w:szCs w:val="24"/>
              </w:rPr>
            </w:pPr>
            <w:r w:rsidRPr="007253C4">
              <w:rPr>
                <w:rFonts w:ascii="Arial" w:hAnsi="Arial" w:cs="Arial"/>
                <w:sz w:val="24"/>
                <w:szCs w:val="24"/>
              </w:rPr>
              <w:t>19.8</w:t>
            </w:r>
          </w:p>
        </w:tc>
        <w:tc>
          <w:tcPr>
            <w:tcW w:w="1438" w:type="dxa"/>
          </w:tcPr>
          <w:p w14:paraId="09352603" w14:textId="41A8FDE7" w:rsidR="0053605E" w:rsidRPr="007253C4" w:rsidRDefault="00C55AE9">
            <w:pPr>
              <w:rPr>
                <w:rFonts w:ascii="Arial" w:hAnsi="Arial" w:cs="Arial"/>
                <w:sz w:val="24"/>
                <w:szCs w:val="24"/>
              </w:rPr>
            </w:pPr>
            <w:r w:rsidRPr="007253C4">
              <w:rPr>
                <w:rFonts w:ascii="Arial" w:hAnsi="Arial" w:cs="Arial"/>
                <w:sz w:val="24"/>
                <w:szCs w:val="24"/>
              </w:rPr>
              <w:t>15.9</w:t>
            </w:r>
          </w:p>
        </w:tc>
        <w:tc>
          <w:tcPr>
            <w:tcW w:w="1236" w:type="dxa"/>
          </w:tcPr>
          <w:p w14:paraId="570007D2" w14:textId="470AACC7" w:rsidR="0053605E" w:rsidRPr="007253C4" w:rsidRDefault="00C55AE9">
            <w:pPr>
              <w:rPr>
                <w:rFonts w:ascii="Arial" w:hAnsi="Arial" w:cs="Arial"/>
                <w:sz w:val="24"/>
                <w:szCs w:val="24"/>
              </w:rPr>
            </w:pPr>
            <w:r w:rsidRPr="007253C4">
              <w:rPr>
                <w:rFonts w:ascii="Arial" w:hAnsi="Arial" w:cs="Arial"/>
                <w:sz w:val="24"/>
                <w:szCs w:val="24"/>
              </w:rPr>
              <w:t>(18.9)</w:t>
            </w:r>
          </w:p>
        </w:tc>
        <w:tc>
          <w:tcPr>
            <w:tcW w:w="1002" w:type="dxa"/>
          </w:tcPr>
          <w:p w14:paraId="3738EF1D" w14:textId="34287A1F" w:rsidR="0053605E" w:rsidRPr="007253C4" w:rsidRDefault="00C55AE9">
            <w:pPr>
              <w:rPr>
                <w:rFonts w:ascii="Arial" w:hAnsi="Arial" w:cs="Arial"/>
                <w:sz w:val="24"/>
                <w:szCs w:val="24"/>
              </w:rPr>
            </w:pPr>
            <w:r w:rsidRPr="007253C4">
              <w:rPr>
                <w:rFonts w:ascii="Arial" w:hAnsi="Arial" w:cs="Arial"/>
                <w:sz w:val="24"/>
                <w:szCs w:val="24"/>
              </w:rPr>
              <w:t>-</w:t>
            </w:r>
          </w:p>
        </w:tc>
        <w:tc>
          <w:tcPr>
            <w:tcW w:w="721" w:type="dxa"/>
          </w:tcPr>
          <w:p w14:paraId="1E39EDA0" w14:textId="4384610A" w:rsidR="0053605E" w:rsidRPr="007253C4" w:rsidRDefault="00C55AE9">
            <w:pPr>
              <w:rPr>
                <w:rFonts w:ascii="Arial" w:hAnsi="Arial" w:cs="Arial"/>
                <w:sz w:val="24"/>
                <w:szCs w:val="24"/>
              </w:rPr>
            </w:pPr>
            <w:r w:rsidRPr="007253C4">
              <w:rPr>
                <w:rFonts w:ascii="Arial" w:hAnsi="Arial" w:cs="Arial"/>
                <w:sz w:val="24"/>
                <w:szCs w:val="24"/>
              </w:rPr>
              <w:t>16.8</w:t>
            </w:r>
          </w:p>
        </w:tc>
      </w:tr>
      <w:tr w:rsidR="0053605E" w:rsidRPr="007253C4" w14:paraId="386897E3" w14:textId="77777777" w:rsidTr="00C55AE9">
        <w:tc>
          <w:tcPr>
            <w:tcW w:w="3898" w:type="dxa"/>
          </w:tcPr>
          <w:p w14:paraId="3CC985E9" w14:textId="446DC703" w:rsidR="0053605E" w:rsidRPr="007253C4" w:rsidRDefault="0053605E">
            <w:pPr>
              <w:rPr>
                <w:rFonts w:ascii="Arial" w:hAnsi="Arial" w:cs="Arial"/>
                <w:b/>
                <w:sz w:val="24"/>
                <w:szCs w:val="24"/>
              </w:rPr>
            </w:pPr>
            <w:r w:rsidRPr="007253C4">
              <w:rPr>
                <w:rFonts w:ascii="Arial" w:hAnsi="Arial" w:cs="Arial"/>
                <w:b/>
                <w:sz w:val="24"/>
                <w:szCs w:val="24"/>
              </w:rPr>
              <w:t>Total current provisions</w:t>
            </w:r>
          </w:p>
        </w:tc>
        <w:tc>
          <w:tcPr>
            <w:tcW w:w="721" w:type="dxa"/>
          </w:tcPr>
          <w:p w14:paraId="1A230633" w14:textId="29261111" w:rsidR="0053605E" w:rsidRPr="007253C4" w:rsidRDefault="00C55AE9">
            <w:pPr>
              <w:rPr>
                <w:rFonts w:ascii="Arial" w:hAnsi="Arial" w:cs="Arial"/>
                <w:b/>
                <w:sz w:val="24"/>
                <w:szCs w:val="24"/>
              </w:rPr>
            </w:pPr>
            <w:r w:rsidRPr="007253C4">
              <w:rPr>
                <w:rFonts w:ascii="Arial" w:hAnsi="Arial" w:cs="Arial"/>
                <w:b/>
                <w:sz w:val="24"/>
                <w:szCs w:val="24"/>
              </w:rPr>
              <w:t>186.1</w:t>
            </w:r>
          </w:p>
        </w:tc>
        <w:tc>
          <w:tcPr>
            <w:tcW w:w="1438" w:type="dxa"/>
          </w:tcPr>
          <w:p w14:paraId="4CB1A21A" w14:textId="2FBA00A8" w:rsidR="0053605E" w:rsidRPr="007253C4" w:rsidRDefault="00C55AE9">
            <w:pPr>
              <w:rPr>
                <w:rFonts w:ascii="Arial" w:hAnsi="Arial" w:cs="Arial"/>
                <w:b/>
                <w:sz w:val="24"/>
                <w:szCs w:val="24"/>
              </w:rPr>
            </w:pPr>
            <w:r w:rsidRPr="007253C4">
              <w:rPr>
                <w:rFonts w:ascii="Arial" w:hAnsi="Arial" w:cs="Arial"/>
                <w:b/>
                <w:sz w:val="24"/>
                <w:szCs w:val="24"/>
              </w:rPr>
              <w:t>127.2</w:t>
            </w:r>
          </w:p>
        </w:tc>
        <w:tc>
          <w:tcPr>
            <w:tcW w:w="1236" w:type="dxa"/>
          </w:tcPr>
          <w:p w14:paraId="55A49589" w14:textId="2E613B6B" w:rsidR="0053605E" w:rsidRPr="007253C4" w:rsidRDefault="00C55AE9">
            <w:pPr>
              <w:rPr>
                <w:rFonts w:ascii="Arial" w:hAnsi="Arial" w:cs="Arial"/>
                <w:b/>
                <w:sz w:val="24"/>
                <w:szCs w:val="24"/>
              </w:rPr>
            </w:pPr>
            <w:r w:rsidRPr="007253C4">
              <w:rPr>
                <w:rFonts w:ascii="Arial" w:hAnsi="Arial" w:cs="Arial"/>
                <w:b/>
                <w:sz w:val="24"/>
                <w:szCs w:val="24"/>
              </w:rPr>
              <w:t>(136.3)</w:t>
            </w:r>
          </w:p>
        </w:tc>
        <w:tc>
          <w:tcPr>
            <w:tcW w:w="1002" w:type="dxa"/>
          </w:tcPr>
          <w:p w14:paraId="26099DA9" w14:textId="0FE1C62B" w:rsidR="0053605E" w:rsidRPr="007253C4" w:rsidRDefault="00C55AE9">
            <w:pPr>
              <w:rPr>
                <w:rFonts w:ascii="Arial" w:hAnsi="Arial" w:cs="Arial"/>
                <w:b/>
                <w:sz w:val="24"/>
                <w:szCs w:val="24"/>
              </w:rPr>
            </w:pPr>
            <w:r w:rsidRPr="007253C4">
              <w:rPr>
                <w:rFonts w:ascii="Arial" w:hAnsi="Arial" w:cs="Arial"/>
                <w:b/>
                <w:sz w:val="24"/>
                <w:szCs w:val="24"/>
              </w:rPr>
              <w:t>-</w:t>
            </w:r>
          </w:p>
        </w:tc>
        <w:tc>
          <w:tcPr>
            <w:tcW w:w="721" w:type="dxa"/>
          </w:tcPr>
          <w:p w14:paraId="59F21DA8" w14:textId="33C07DE3" w:rsidR="0053605E" w:rsidRPr="007253C4" w:rsidRDefault="00C55AE9">
            <w:pPr>
              <w:rPr>
                <w:rFonts w:ascii="Arial" w:hAnsi="Arial" w:cs="Arial"/>
                <w:b/>
                <w:sz w:val="24"/>
                <w:szCs w:val="24"/>
              </w:rPr>
            </w:pPr>
            <w:r w:rsidRPr="007253C4">
              <w:rPr>
                <w:rFonts w:ascii="Arial" w:hAnsi="Arial" w:cs="Arial"/>
                <w:b/>
                <w:sz w:val="24"/>
                <w:szCs w:val="24"/>
              </w:rPr>
              <w:t>177.0</w:t>
            </w:r>
          </w:p>
        </w:tc>
      </w:tr>
      <w:tr w:rsidR="00C55AE9" w:rsidRPr="007253C4" w14:paraId="022D2021" w14:textId="77777777" w:rsidTr="00C55AE9">
        <w:tc>
          <w:tcPr>
            <w:tcW w:w="3898" w:type="dxa"/>
          </w:tcPr>
          <w:p w14:paraId="712A6B15" w14:textId="77777777" w:rsidR="00C55AE9" w:rsidRPr="007253C4" w:rsidRDefault="00C55AE9">
            <w:pPr>
              <w:rPr>
                <w:rFonts w:ascii="Arial" w:hAnsi="Arial" w:cs="Arial"/>
                <w:b/>
                <w:sz w:val="24"/>
                <w:szCs w:val="24"/>
              </w:rPr>
            </w:pPr>
          </w:p>
        </w:tc>
        <w:tc>
          <w:tcPr>
            <w:tcW w:w="721" w:type="dxa"/>
          </w:tcPr>
          <w:p w14:paraId="035B0463" w14:textId="77777777" w:rsidR="00C55AE9" w:rsidRPr="007253C4" w:rsidRDefault="00C55AE9">
            <w:pPr>
              <w:rPr>
                <w:rFonts w:ascii="Arial" w:hAnsi="Arial" w:cs="Arial"/>
                <w:b/>
                <w:sz w:val="24"/>
                <w:szCs w:val="24"/>
              </w:rPr>
            </w:pPr>
          </w:p>
        </w:tc>
        <w:tc>
          <w:tcPr>
            <w:tcW w:w="1438" w:type="dxa"/>
          </w:tcPr>
          <w:p w14:paraId="55C3F1E7" w14:textId="77777777" w:rsidR="00C55AE9" w:rsidRPr="007253C4" w:rsidRDefault="00C55AE9">
            <w:pPr>
              <w:rPr>
                <w:rFonts w:ascii="Arial" w:hAnsi="Arial" w:cs="Arial"/>
                <w:b/>
                <w:sz w:val="24"/>
                <w:szCs w:val="24"/>
              </w:rPr>
            </w:pPr>
          </w:p>
        </w:tc>
        <w:tc>
          <w:tcPr>
            <w:tcW w:w="1236" w:type="dxa"/>
          </w:tcPr>
          <w:p w14:paraId="5923FDA3" w14:textId="77777777" w:rsidR="00C55AE9" w:rsidRPr="007253C4" w:rsidRDefault="00C55AE9">
            <w:pPr>
              <w:rPr>
                <w:rFonts w:ascii="Arial" w:hAnsi="Arial" w:cs="Arial"/>
                <w:b/>
                <w:sz w:val="24"/>
                <w:szCs w:val="24"/>
              </w:rPr>
            </w:pPr>
          </w:p>
        </w:tc>
        <w:tc>
          <w:tcPr>
            <w:tcW w:w="1002" w:type="dxa"/>
          </w:tcPr>
          <w:p w14:paraId="54C6446F" w14:textId="77777777" w:rsidR="00C55AE9" w:rsidRPr="007253C4" w:rsidRDefault="00C55AE9">
            <w:pPr>
              <w:rPr>
                <w:rFonts w:ascii="Arial" w:hAnsi="Arial" w:cs="Arial"/>
                <w:b/>
                <w:sz w:val="24"/>
                <w:szCs w:val="24"/>
              </w:rPr>
            </w:pPr>
          </w:p>
        </w:tc>
        <w:tc>
          <w:tcPr>
            <w:tcW w:w="721" w:type="dxa"/>
          </w:tcPr>
          <w:p w14:paraId="553C3795" w14:textId="77777777" w:rsidR="00C55AE9" w:rsidRPr="007253C4" w:rsidRDefault="00C55AE9">
            <w:pPr>
              <w:rPr>
                <w:rFonts w:ascii="Arial" w:hAnsi="Arial" w:cs="Arial"/>
                <w:b/>
                <w:sz w:val="24"/>
                <w:szCs w:val="24"/>
              </w:rPr>
            </w:pPr>
          </w:p>
        </w:tc>
      </w:tr>
      <w:tr w:rsidR="00C55AE9" w:rsidRPr="007253C4" w14:paraId="1FD00F9B" w14:textId="77777777" w:rsidTr="00C55AE9">
        <w:tc>
          <w:tcPr>
            <w:tcW w:w="3898" w:type="dxa"/>
          </w:tcPr>
          <w:p w14:paraId="4C45B9FF" w14:textId="5297F42F" w:rsidR="00C55AE9" w:rsidRPr="007253C4" w:rsidRDefault="00C55AE9">
            <w:pPr>
              <w:rPr>
                <w:rFonts w:ascii="Arial" w:hAnsi="Arial" w:cs="Arial"/>
                <w:sz w:val="24"/>
                <w:szCs w:val="24"/>
              </w:rPr>
            </w:pPr>
            <w:r w:rsidRPr="007253C4">
              <w:rPr>
                <w:rFonts w:ascii="Arial" w:hAnsi="Arial" w:cs="Arial"/>
                <w:sz w:val="24"/>
                <w:szCs w:val="24"/>
              </w:rPr>
              <w:t>Employee benefit</w:t>
            </w:r>
          </w:p>
        </w:tc>
        <w:tc>
          <w:tcPr>
            <w:tcW w:w="721" w:type="dxa"/>
          </w:tcPr>
          <w:p w14:paraId="29FD5C2E" w14:textId="084BE786" w:rsidR="00C55AE9" w:rsidRPr="007253C4" w:rsidRDefault="00C55AE9">
            <w:pPr>
              <w:rPr>
                <w:rFonts w:ascii="Arial" w:hAnsi="Arial" w:cs="Arial"/>
                <w:sz w:val="24"/>
                <w:szCs w:val="24"/>
              </w:rPr>
            </w:pPr>
            <w:r w:rsidRPr="007253C4">
              <w:rPr>
                <w:rFonts w:ascii="Arial" w:hAnsi="Arial" w:cs="Arial"/>
                <w:sz w:val="24"/>
                <w:szCs w:val="24"/>
              </w:rPr>
              <w:t>5.2</w:t>
            </w:r>
          </w:p>
        </w:tc>
        <w:tc>
          <w:tcPr>
            <w:tcW w:w="1438" w:type="dxa"/>
          </w:tcPr>
          <w:p w14:paraId="77C623CE" w14:textId="23978E61" w:rsidR="00C55AE9" w:rsidRPr="007253C4" w:rsidRDefault="00C55AE9">
            <w:pPr>
              <w:rPr>
                <w:rFonts w:ascii="Arial" w:hAnsi="Arial" w:cs="Arial"/>
                <w:sz w:val="24"/>
                <w:szCs w:val="24"/>
              </w:rPr>
            </w:pPr>
            <w:r w:rsidRPr="007253C4">
              <w:rPr>
                <w:rFonts w:ascii="Arial" w:hAnsi="Arial" w:cs="Arial"/>
                <w:sz w:val="24"/>
                <w:szCs w:val="24"/>
              </w:rPr>
              <w:t>0.1</w:t>
            </w:r>
          </w:p>
        </w:tc>
        <w:tc>
          <w:tcPr>
            <w:tcW w:w="1236" w:type="dxa"/>
          </w:tcPr>
          <w:p w14:paraId="0758808A" w14:textId="1E1F0800" w:rsidR="00C55AE9" w:rsidRPr="007253C4" w:rsidRDefault="00C55AE9">
            <w:pPr>
              <w:rPr>
                <w:rFonts w:ascii="Arial" w:hAnsi="Arial" w:cs="Arial"/>
                <w:sz w:val="24"/>
                <w:szCs w:val="24"/>
              </w:rPr>
            </w:pPr>
            <w:r w:rsidRPr="007253C4">
              <w:rPr>
                <w:rFonts w:ascii="Arial" w:hAnsi="Arial" w:cs="Arial"/>
                <w:sz w:val="24"/>
                <w:szCs w:val="24"/>
              </w:rPr>
              <w:t>2.6</w:t>
            </w:r>
          </w:p>
        </w:tc>
        <w:tc>
          <w:tcPr>
            <w:tcW w:w="1002" w:type="dxa"/>
          </w:tcPr>
          <w:p w14:paraId="6947D46B" w14:textId="27829961" w:rsidR="00C55AE9" w:rsidRPr="007253C4" w:rsidRDefault="00C55AE9">
            <w:pPr>
              <w:rPr>
                <w:rFonts w:ascii="Arial" w:hAnsi="Arial" w:cs="Arial"/>
                <w:sz w:val="24"/>
                <w:szCs w:val="24"/>
              </w:rPr>
            </w:pPr>
            <w:r w:rsidRPr="007253C4">
              <w:rPr>
                <w:rFonts w:ascii="Arial" w:hAnsi="Arial" w:cs="Arial"/>
                <w:sz w:val="24"/>
                <w:szCs w:val="24"/>
              </w:rPr>
              <w:t>-</w:t>
            </w:r>
          </w:p>
        </w:tc>
        <w:tc>
          <w:tcPr>
            <w:tcW w:w="721" w:type="dxa"/>
          </w:tcPr>
          <w:p w14:paraId="03AD061C" w14:textId="2666CF4F" w:rsidR="00C55AE9" w:rsidRPr="007253C4" w:rsidRDefault="00C55AE9">
            <w:pPr>
              <w:rPr>
                <w:rFonts w:ascii="Arial" w:hAnsi="Arial" w:cs="Arial"/>
                <w:sz w:val="24"/>
                <w:szCs w:val="24"/>
              </w:rPr>
            </w:pPr>
            <w:r w:rsidRPr="007253C4">
              <w:rPr>
                <w:rFonts w:ascii="Arial" w:hAnsi="Arial" w:cs="Arial"/>
                <w:sz w:val="24"/>
                <w:szCs w:val="24"/>
              </w:rPr>
              <w:t>7.9</w:t>
            </w:r>
          </w:p>
        </w:tc>
      </w:tr>
      <w:tr w:rsidR="00C55AE9" w:rsidRPr="007253C4" w14:paraId="3CC14D7D" w14:textId="77777777" w:rsidTr="00C55AE9">
        <w:tc>
          <w:tcPr>
            <w:tcW w:w="3898" w:type="dxa"/>
          </w:tcPr>
          <w:p w14:paraId="3FC38A2D" w14:textId="2D6BF56B" w:rsidR="00C55AE9" w:rsidRPr="007253C4" w:rsidRDefault="00C55AE9">
            <w:pPr>
              <w:rPr>
                <w:rFonts w:ascii="Arial" w:hAnsi="Arial" w:cs="Arial"/>
                <w:sz w:val="24"/>
                <w:szCs w:val="24"/>
              </w:rPr>
            </w:pPr>
            <w:r w:rsidRPr="007253C4">
              <w:rPr>
                <w:rFonts w:ascii="Arial" w:hAnsi="Arial" w:cs="Arial"/>
                <w:sz w:val="24"/>
                <w:szCs w:val="24"/>
              </w:rPr>
              <w:t>Product liability</w:t>
            </w:r>
          </w:p>
        </w:tc>
        <w:tc>
          <w:tcPr>
            <w:tcW w:w="721" w:type="dxa"/>
          </w:tcPr>
          <w:p w14:paraId="4B98B6BD" w14:textId="479F0193" w:rsidR="00C55AE9" w:rsidRPr="007253C4" w:rsidRDefault="00C55AE9">
            <w:pPr>
              <w:rPr>
                <w:rFonts w:ascii="Arial" w:hAnsi="Arial" w:cs="Arial"/>
                <w:sz w:val="24"/>
                <w:szCs w:val="24"/>
              </w:rPr>
            </w:pPr>
            <w:r w:rsidRPr="007253C4">
              <w:rPr>
                <w:rFonts w:ascii="Arial" w:hAnsi="Arial" w:cs="Arial"/>
                <w:sz w:val="24"/>
                <w:szCs w:val="24"/>
              </w:rPr>
              <w:t>283.2</w:t>
            </w:r>
          </w:p>
        </w:tc>
        <w:tc>
          <w:tcPr>
            <w:tcW w:w="1438" w:type="dxa"/>
          </w:tcPr>
          <w:p w14:paraId="3CA75B0F" w14:textId="7BFC31C3" w:rsidR="00C55AE9" w:rsidRPr="007253C4" w:rsidRDefault="00C55AE9">
            <w:pPr>
              <w:rPr>
                <w:rFonts w:ascii="Arial" w:hAnsi="Arial" w:cs="Arial"/>
                <w:sz w:val="24"/>
                <w:szCs w:val="24"/>
              </w:rPr>
            </w:pPr>
            <w:r w:rsidRPr="007253C4">
              <w:rPr>
                <w:rFonts w:ascii="Arial" w:hAnsi="Arial" w:cs="Arial"/>
                <w:sz w:val="24"/>
                <w:szCs w:val="24"/>
              </w:rPr>
              <w:t>(32.5)</w:t>
            </w:r>
          </w:p>
        </w:tc>
        <w:tc>
          <w:tcPr>
            <w:tcW w:w="1236" w:type="dxa"/>
          </w:tcPr>
          <w:p w14:paraId="7B5D2596" w14:textId="54475A1F" w:rsidR="00C55AE9" w:rsidRPr="007253C4" w:rsidRDefault="00C55AE9">
            <w:pPr>
              <w:rPr>
                <w:rFonts w:ascii="Arial" w:hAnsi="Arial" w:cs="Arial"/>
                <w:sz w:val="24"/>
                <w:szCs w:val="24"/>
              </w:rPr>
            </w:pPr>
            <w:r w:rsidRPr="007253C4">
              <w:rPr>
                <w:rFonts w:ascii="Arial" w:hAnsi="Arial" w:cs="Arial"/>
                <w:sz w:val="24"/>
                <w:szCs w:val="24"/>
              </w:rPr>
              <w:t xml:space="preserve">- </w:t>
            </w:r>
          </w:p>
        </w:tc>
        <w:tc>
          <w:tcPr>
            <w:tcW w:w="1002" w:type="dxa"/>
          </w:tcPr>
          <w:p w14:paraId="3F77F536" w14:textId="3A0A3627" w:rsidR="00C55AE9" w:rsidRPr="007253C4" w:rsidRDefault="00C55AE9">
            <w:pPr>
              <w:rPr>
                <w:rFonts w:ascii="Arial" w:hAnsi="Arial" w:cs="Arial"/>
                <w:sz w:val="24"/>
                <w:szCs w:val="24"/>
              </w:rPr>
            </w:pPr>
            <w:r w:rsidRPr="007253C4">
              <w:rPr>
                <w:rFonts w:ascii="Arial" w:hAnsi="Arial" w:cs="Arial"/>
                <w:sz w:val="24"/>
                <w:szCs w:val="24"/>
              </w:rPr>
              <w:t>8.3</w:t>
            </w:r>
          </w:p>
        </w:tc>
        <w:tc>
          <w:tcPr>
            <w:tcW w:w="721" w:type="dxa"/>
          </w:tcPr>
          <w:p w14:paraId="7806ED0F" w14:textId="3A343501" w:rsidR="00C55AE9" w:rsidRPr="007253C4" w:rsidRDefault="00C55AE9">
            <w:pPr>
              <w:rPr>
                <w:rFonts w:ascii="Arial" w:hAnsi="Arial" w:cs="Arial"/>
                <w:sz w:val="24"/>
                <w:szCs w:val="24"/>
              </w:rPr>
            </w:pPr>
            <w:r w:rsidRPr="007253C4">
              <w:rPr>
                <w:rFonts w:ascii="Arial" w:hAnsi="Arial" w:cs="Arial"/>
                <w:sz w:val="24"/>
                <w:szCs w:val="24"/>
              </w:rPr>
              <w:t>259.0</w:t>
            </w:r>
          </w:p>
        </w:tc>
      </w:tr>
      <w:tr w:rsidR="00C55AE9" w:rsidRPr="007253C4" w14:paraId="4D0EF92F" w14:textId="77777777" w:rsidTr="00C55AE9">
        <w:tc>
          <w:tcPr>
            <w:tcW w:w="3898" w:type="dxa"/>
          </w:tcPr>
          <w:p w14:paraId="40C72025" w14:textId="2D005ED9" w:rsidR="00C55AE9" w:rsidRPr="007253C4" w:rsidRDefault="00C55AE9">
            <w:pPr>
              <w:rPr>
                <w:rFonts w:ascii="Arial" w:hAnsi="Arial" w:cs="Arial"/>
                <w:b/>
                <w:sz w:val="24"/>
                <w:szCs w:val="24"/>
              </w:rPr>
            </w:pPr>
            <w:r w:rsidRPr="007253C4">
              <w:rPr>
                <w:rFonts w:ascii="Arial" w:hAnsi="Arial" w:cs="Arial"/>
                <w:sz w:val="24"/>
                <w:szCs w:val="24"/>
              </w:rPr>
              <w:t>Restoration and environmental rehabilitation</w:t>
            </w:r>
          </w:p>
        </w:tc>
        <w:tc>
          <w:tcPr>
            <w:tcW w:w="721" w:type="dxa"/>
          </w:tcPr>
          <w:p w14:paraId="3228F672" w14:textId="3787B442" w:rsidR="00C55AE9" w:rsidRPr="007253C4" w:rsidRDefault="00C55AE9">
            <w:pPr>
              <w:rPr>
                <w:rFonts w:ascii="Arial" w:hAnsi="Arial" w:cs="Arial"/>
                <w:sz w:val="24"/>
                <w:szCs w:val="24"/>
              </w:rPr>
            </w:pPr>
            <w:r w:rsidRPr="007253C4">
              <w:rPr>
                <w:rFonts w:ascii="Arial" w:hAnsi="Arial" w:cs="Arial"/>
                <w:sz w:val="24"/>
                <w:szCs w:val="24"/>
              </w:rPr>
              <w:t>1.0</w:t>
            </w:r>
          </w:p>
        </w:tc>
        <w:tc>
          <w:tcPr>
            <w:tcW w:w="1438" w:type="dxa"/>
          </w:tcPr>
          <w:p w14:paraId="6883466F" w14:textId="4067613F" w:rsidR="00C55AE9" w:rsidRPr="007253C4" w:rsidRDefault="00C55AE9">
            <w:pPr>
              <w:rPr>
                <w:rFonts w:ascii="Arial" w:hAnsi="Arial" w:cs="Arial"/>
                <w:sz w:val="24"/>
                <w:szCs w:val="24"/>
              </w:rPr>
            </w:pPr>
            <w:r w:rsidRPr="007253C4">
              <w:rPr>
                <w:rFonts w:ascii="Arial" w:hAnsi="Arial" w:cs="Arial"/>
                <w:sz w:val="24"/>
                <w:szCs w:val="24"/>
              </w:rPr>
              <w:t>0.2</w:t>
            </w:r>
          </w:p>
        </w:tc>
        <w:tc>
          <w:tcPr>
            <w:tcW w:w="1236" w:type="dxa"/>
          </w:tcPr>
          <w:p w14:paraId="0F31F40F" w14:textId="39B475B7" w:rsidR="00C55AE9" w:rsidRPr="007253C4" w:rsidRDefault="00C55AE9">
            <w:pPr>
              <w:rPr>
                <w:rFonts w:ascii="Arial" w:hAnsi="Arial" w:cs="Arial"/>
                <w:sz w:val="24"/>
                <w:szCs w:val="24"/>
              </w:rPr>
            </w:pPr>
            <w:r w:rsidRPr="007253C4">
              <w:rPr>
                <w:rFonts w:ascii="Arial" w:hAnsi="Arial" w:cs="Arial"/>
                <w:sz w:val="24"/>
                <w:szCs w:val="24"/>
              </w:rPr>
              <w:t>2.2</w:t>
            </w:r>
          </w:p>
        </w:tc>
        <w:tc>
          <w:tcPr>
            <w:tcW w:w="1002" w:type="dxa"/>
          </w:tcPr>
          <w:p w14:paraId="0A6C8DDD" w14:textId="5B14B170" w:rsidR="00C55AE9" w:rsidRPr="007253C4" w:rsidRDefault="00C55AE9">
            <w:pPr>
              <w:rPr>
                <w:rFonts w:ascii="Arial" w:hAnsi="Arial" w:cs="Arial"/>
                <w:sz w:val="24"/>
                <w:szCs w:val="24"/>
              </w:rPr>
            </w:pPr>
            <w:r w:rsidRPr="007253C4">
              <w:rPr>
                <w:rFonts w:ascii="Arial" w:hAnsi="Arial" w:cs="Arial"/>
                <w:sz w:val="24"/>
                <w:szCs w:val="24"/>
              </w:rPr>
              <w:t>-</w:t>
            </w:r>
          </w:p>
        </w:tc>
        <w:tc>
          <w:tcPr>
            <w:tcW w:w="721" w:type="dxa"/>
          </w:tcPr>
          <w:p w14:paraId="018B036C" w14:textId="36D7B4FF" w:rsidR="00C55AE9" w:rsidRPr="007253C4" w:rsidRDefault="00C55AE9">
            <w:pPr>
              <w:rPr>
                <w:rFonts w:ascii="Arial" w:hAnsi="Arial" w:cs="Arial"/>
                <w:sz w:val="24"/>
                <w:szCs w:val="24"/>
              </w:rPr>
            </w:pPr>
            <w:r w:rsidRPr="007253C4">
              <w:rPr>
                <w:rFonts w:ascii="Arial" w:hAnsi="Arial" w:cs="Arial"/>
                <w:sz w:val="24"/>
                <w:szCs w:val="24"/>
              </w:rPr>
              <w:t>3.4</w:t>
            </w:r>
          </w:p>
        </w:tc>
      </w:tr>
      <w:tr w:rsidR="00C55AE9" w:rsidRPr="007253C4" w14:paraId="6ACA3E57" w14:textId="77777777" w:rsidTr="00C55AE9">
        <w:tc>
          <w:tcPr>
            <w:tcW w:w="3898" w:type="dxa"/>
          </w:tcPr>
          <w:p w14:paraId="03EA1590" w14:textId="5C9BE9C0" w:rsidR="00C55AE9" w:rsidRPr="007253C4" w:rsidRDefault="00C55AE9" w:rsidP="00C55AE9">
            <w:pPr>
              <w:rPr>
                <w:rFonts w:ascii="Arial" w:hAnsi="Arial" w:cs="Arial"/>
                <w:b/>
                <w:sz w:val="24"/>
                <w:szCs w:val="24"/>
              </w:rPr>
            </w:pPr>
            <w:r w:rsidRPr="007253C4">
              <w:rPr>
                <w:rFonts w:ascii="Arial" w:hAnsi="Arial" w:cs="Arial"/>
                <w:sz w:val="24"/>
                <w:szCs w:val="24"/>
              </w:rPr>
              <w:t>Uninsured losses and future claims</w:t>
            </w:r>
          </w:p>
        </w:tc>
        <w:tc>
          <w:tcPr>
            <w:tcW w:w="721" w:type="dxa"/>
          </w:tcPr>
          <w:p w14:paraId="4649EEEF" w14:textId="3E1BD78F" w:rsidR="00C55AE9" w:rsidRPr="007253C4" w:rsidRDefault="00C55AE9" w:rsidP="00C55AE9">
            <w:pPr>
              <w:rPr>
                <w:rFonts w:ascii="Arial" w:hAnsi="Arial" w:cs="Arial"/>
                <w:sz w:val="24"/>
                <w:szCs w:val="24"/>
              </w:rPr>
            </w:pPr>
            <w:r w:rsidRPr="007253C4">
              <w:rPr>
                <w:rFonts w:ascii="Arial" w:hAnsi="Arial" w:cs="Arial"/>
                <w:sz w:val="24"/>
                <w:szCs w:val="24"/>
              </w:rPr>
              <w:t>22.2</w:t>
            </w:r>
          </w:p>
        </w:tc>
        <w:tc>
          <w:tcPr>
            <w:tcW w:w="1438" w:type="dxa"/>
          </w:tcPr>
          <w:p w14:paraId="1D601474" w14:textId="4D296F60" w:rsidR="00C55AE9" w:rsidRPr="007253C4" w:rsidRDefault="00C55AE9" w:rsidP="00C55AE9">
            <w:pPr>
              <w:rPr>
                <w:rFonts w:ascii="Arial" w:hAnsi="Arial" w:cs="Arial"/>
                <w:sz w:val="24"/>
                <w:szCs w:val="24"/>
              </w:rPr>
            </w:pPr>
            <w:r w:rsidRPr="007253C4">
              <w:rPr>
                <w:rFonts w:ascii="Arial" w:hAnsi="Arial" w:cs="Arial"/>
                <w:sz w:val="24"/>
                <w:szCs w:val="24"/>
              </w:rPr>
              <w:t>-</w:t>
            </w:r>
          </w:p>
        </w:tc>
        <w:tc>
          <w:tcPr>
            <w:tcW w:w="1236" w:type="dxa"/>
          </w:tcPr>
          <w:p w14:paraId="09FD6083" w14:textId="3BBC9B9C" w:rsidR="00C55AE9" w:rsidRPr="007253C4" w:rsidRDefault="00C55AE9" w:rsidP="00C55AE9">
            <w:pPr>
              <w:rPr>
                <w:rFonts w:ascii="Arial" w:hAnsi="Arial" w:cs="Arial"/>
                <w:sz w:val="24"/>
                <w:szCs w:val="24"/>
              </w:rPr>
            </w:pPr>
            <w:r w:rsidRPr="007253C4">
              <w:rPr>
                <w:rFonts w:ascii="Arial" w:hAnsi="Arial" w:cs="Arial"/>
                <w:sz w:val="24"/>
                <w:szCs w:val="24"/>
              </w:rPr>
              <w:t>0.5</w:t>
            </w:r>
          </w:p>
        </w:tc>
        <w:tc>
          <w:tcPr>
            <w:tcW w:w="1002" w:type="dxa"/>
          </w:tcPr>
          <w:p w14:paraId="586C482C" w14:textId="65B1E7EB" w:rsidR="00C55AE9" w:rsidRPr="007253C4" w:rsidRDefault="00C55AE9" w:rsidP="00C55AE9">
            <w:pPr>
              <w:rPr>
                <w:rFonts w:ascii="Arial" w:hAnsi="Arial" w:cs="Arial"/>
                <w:sz w:val="24"/>
                <w:szCs w:val="24"/>
              </w:rPr>
            </w:pPr>
            <w:r w:rsidRPr="007253C4">
              <w:rPr>
                <w:rFonts w:ascii="Arial" w:hAnsi="Arial" w:cs="Arial"/>
                <w:sz w:val="24"/>
                <w:szCs w:val="24"/>
              </w:rPr>
              <w:t>0.6</w:t>
            </w:r>
          </w:p>
        </w:tc>
        <w:tc>
          <w:tcPr>
            <w:tcW w:w="721" w:type="dxa"/>
          </w:tcPr>
          <w:p w14:paraId="4D199DDE" w14:textId="1307D698" w:rsidR="00C55AE9" w:rsidRPr="007253C4" w:rsidRDefault="00C55AE9" w:rsidP="00C55AE9">
            <w:pPr>
              <w:rPr>
                <w:rFonts w:ascii="Arial" w:hAnsi="Arial" w:cs="Arial"/>
                <w:sz w:val="24"/>
                <w:szCs w:val="24"/>
              </w:rPr>
            </w:pPr>
            <w:r w:rsidRPr="007253C4">
              <w:rPr>
                <w:rFonts w:ascii="Arial" w:hAnsi="Arial" w:cs="Arial"/>
                <w:sz w:val="24"/>
                <w:szCs w:val="24"/>
              </w:rPr>
              <w:t>23.3</w:t>
            </w:r>
          </w:p>
        </w:tc>
      </w:tr>
      <w:tr w:rsidR="00C55AE9" w:rsidRPr="007253C4" w14:paraId="02514694" w14:textId="77777777" w:rsidTr="00C55AE9">
        <w:tc>
          <w:tcPr>
            <w:tcW w:w="3898" w:type="dxa"/>
          </w:tcPr>
          <w:p w14:paraId="7EE91D7A" w14:textId="52426456" w:rsidR="00C55AE9" w:rsidRPr="007253C4" w:rsidRDefault="00C55AE9" w:rsidP="00C55AE9">
            <w:pPr>
              <w:rPr>
                <w:rFonts w:ascii="Arial" w:hAnsi="Arial" w:cs="Arial"/>
                <w:sz w:val="24"/>
                <w:szCs w:val="24"/>
              </w:rPr>
            </w:pPr>
            <w:r w:rsidRPr="007253C4">
              <w:rPr>
                <w:rFonts w:ascii="Arial" w:hAnsi="Arial" w:cs="Arial"/>
                <w:sz w:val="24"/>
                <w:szCs w:val="24"/>
              </w:rPr>
              <w:t xml:space="preserve">Other </w:t>
            </w:r>
          </w:p>
        </w:tc>
        <w:tc>
          <w:tcPr>
            <w:tcW w:w="721" w:type="dxa"/>
          </w:tcPr>
          <w:p w14:paraId="501CDD70" w14:textId="39455C5B" w:rsidR="00C55AE9" w:rsidRPr="007253C4" w:rsidRDefault="00C55AE9" w:rsidP="00C55AE9">
            <w:pPr>
              <w:rPr>
                <w:rFonts w:ascii="Arial" w:hAnsi="Arial" w:cs="Arial"/>
                <w:sz w:val="24"/>
                <w:szCs w:val="24"/>
              </w:rPr>
            </w:pPr>
            <w:r w:rsidRPr="007253C4">
              <w:rPr>
                <w:rFonts w:ascii="Arial" w:hAnsi="Arial" w:cs="Arial"/>
                <w:sz w:val="24"/>
                <w:szCs w:val="24"/>
              </w:rPr>
              <w:t>8.2</w:t>
            </w:r>
          </w:p>
        </w:tc>
        <w:tc>
          <w:tcPr>
            <w:tcW w:w="1438" w:type="dxa"/>
          </w:tcPr>
          <w:p w14:paraId="7E67DEEF" w14:textId="1F7BBB00" w:rsidR="00C55AE9" w:rsidRPr="007253C4" w:rsidRDefault="00C55AE9" w:rsidP="00C55AE9">
            <w:pPr>
              <w:rPr>
                <w:rFonts w:ascii="Arial" w:hAnsi="Arial" w:cs="Arial"/>
                <w:sz w:val="24"/>
                <w:szCs w:val="24"/>
              </w:rPr>
            </w:pPr>
            <w:r w:rsidRPr="007253C4">
              <w:rPr>
                <w:rFonts w:ascii="Arial" w:hAnsi="Arial" w:cs="Arial"/>
                <w:sz w:val="24"/>
                <w:szCs w:val="24"/>
              </w:rPr>
              <w:t>0.4</w:t>
            </w:r>
          </w:p>
        </w:tc>
        <w:tc>
          <w:tcPr>
            <w:tcW w:w="1236" w:type="dxa"/>
          </w:tcPr>
          <w:p w14:paraId="71E08170" w14:textId="4BD9104B" w:rsidR="00C55AE9" w:rsidRPr="007253C4" w:rsidRDefault="00C55AE9" w:rsidP="00C55AE9">
            <w:pPr>
              <w:rPr>
                <w:rFonts w:ascii="Arial" w:hAnsi="Arial" w:cs="Arial"/>
                <w:sz w:val="24"/>
                <w:szCs w:val="24"/>
              </w:rPr>
            </w:pPr>
            <w:r w:rsidRPr="007253C4">
              <w:rPr>
                <w:rFonts w:ascii="Arial" w:hAnsi="Arial" w:cs="Arial"/>
                <w:sz w:val="24"/>
                <w:szCs w:val="24"/>
              </w:rPr>
              <w:t>6.1</w:t>
            </w:r>
          </w:p>
        </w:tc>
        <w:tc>
          <w:tcPr>
            <w:tcW w:w="1002" w:type="dxa"/>
          </w:tcPr>
          <w:p w14:paraId="4CD2A763" w14:textId="53C1F9DA" w:rsidR="00C55AE9" w:rsidRPr="007253C4" w:rsidRDefault="00C55AE9" w:rsidP="00C55AE9">
            <w:pPr>
              <w:rPr>
                <w:rFonts w:ascii="Arial" w:hAnsi="Arial" w:cs="Arial"/>
                <w:sz w:val="24"/>
                <w:szCs w:val="24"/>
              </w:rPr>
            </w:pPr>
            <w:r w:rsidRPr="007253C4">
              <w:rPr>
                <w:rFonts w:ascii="Arial" w:hAnsi="Arial" w:cs="Arial"/>
                <w:sz w:val="24"/>
                <w:szCs w:val="24"/>
              </w:rPr>
              <w:t xml:space="preserve">0.1 </w:t>
            </w:r>
          </w:p>
        </w:tc>
        <w:tc>
          <w:tcPr>
            <w:tcW w:w="721" w:type="dxa"/>
          </w:tcPr>
          <w:p w14:paraId="486C6AFD" w14:textId="539B0340" w:rsidR="00C55AE9" w:rsidRPr="007253C4" w:rsidRDefault="00C55AE9" w:rsidP="00C55AE9">
            <w:pPr>
              <w:rPr>
                <w:rFonts w:ascii="Arial" w:hAnsi="Arial" w:cs="Arial"/>
                <w:sz w:val="24"/>
                <w:szCs w:val="24"/>
              </w:rPr>
            </w:pPr>
            <w:r w:rsidRPr="007253C4">
              <w:rPr>
                <w:rFonts w:ascii="Arial" w:hAnsi="Arial" w:cs="Arial"/>
                <w:sz w:val="24"/>
                <w:szCs w:val="24"/>
              </w:rPr>
              <w:t>14.8</w:t>
            </w:r>
          </w:p>
        </w:tc>
      </w:tr>
      <w:tr w:rsidR="00C55AE9" w:rsidRPr="007253C4" w14:paraId="4216EC4C" w14:textId="77777777" w:rsidTr="00C55AE9">
        <w:tc>
          <w:tcPr>
            <w:tcW w:w="3898" w:type="dxa"/>
          </w:tcPr>
          <w:p w14:paraId="0619F665" w14:textId="07D773F3" w:rsidR="00C55AE9" w:rsidRPr="007253C4" w:rsidRDefault="00C55AE9" w:rsidP="00C55AE9">
            <w:pPr>
              <w:rPr>
                <w:rFonts w:ascii="Arial" w:hAnsi="Arial" w:cs="Arial"/>
                <w:b/>
                <w:sz w:val="24"/>
                <w:szCs w:val="24"/>
              </w:rPr>
            </w:pPr>
            <w:r w:rsidRPr="007253C4">
              <w:rPr>
                <w:rFonts w:ascii="Arial" w:hAnsi="Arial" w:cs="Arial"/>
                <w:b/>
                <w:sz w:val="24"/>
                <w:szCs w:val="24"/>
              </w:rPr>
              <w:t>Total non- current provision</w:t>
            </w:r>
          </w:p>
        </w:tc>
        <w:tc>
          <w:tcPr>
            <w:tcW w:w="721" w:type="dxa"/>
          </w:tcPr>
          <w:p w14:paraId="2D0E2E2D" w14:textId="17B430D5" w:rsidR="00C55AE9" w:rsidRPr="007253C4" w:rsidRDefault="00C55AE9" w:rsidP="00C55AE9">
            <w:pPr>
              <w:rPr>
                <w:rFonts w:ascii="Arial" w:hAnsi="Arial" w:cs="Arial"/>
                <w:b/>
                <w:sz w:val="24"/>
                <w:szCs w:val="24"/>
              </w:rPr>
            </w:pPr>
            <w:r w:rsidRPr="007253C4">
              <w:rPr>
                <w:rFonts w:ascii="Arial" w:hAnsi="Arial" w:cs="Arial"/>
                <w:b/>
                <w:sz w:val="24"/>
                <w:szCs w:val="24"/>
              </w:rPr>
              <w:t>319.8</w:t>
            </w:r>
          </w:p>
        </w:tc>
        <w:tc>
          <w:tcPr>
            <w:tcW w:w="1438" w:type="dxa"/>
          </w:tcPr>
          <w:p w14:paraId="140E31A4" w14:textId="77D7F39E" w:rsidR="00C55AE9" w:rsidRPr="007253C4" w:rsidRDefault="00C55AE9" w:rsidP="00C55AE9">
            <w:pPr>
              <w:rPr>
                <w:rFonts w:ascii="Arial" w:hAnsi="Arial" w:cs="Arial"/>
                <w:b/>
                <w:sz w:val="24"/>
                <w:szCs w:val="24"/>
              </w:rPr>
            </w:pPr>
            <w:r w:rsidRPr="007253C4">
              <w:rPr>
                <w:rFonts w:ascii="Arial" w:hAnsi="Arial" w:cs="Arial"/>
                <w:b/>
                <w:sz w:val="24"/>
                <w:szCs w:val="24"/>
              </w:rPr>
              <w:t>(31.8)</w:t>
            </w:r>
          </w:p>
        </w:tc>
        <w:tc>
          <w:tcPr>
            <w:tcW w:w="1236" w:type="dxa"/>
          </w:tcPr>
          <w:p w14:paraId="7F932A61" w14:textId="555E54C1" w:rsidR="00C55AE9" w:rsidRPr="007253C4" w:rsidRDefault="00C55AE9" w:rsidP="00C55AE9">
            <w:pPr>
              <w:rPr>
                <w:rFonts w:ascii="Arial" w:hAnsi="Arial" w:cs="Arial"/>
                <w:b/>
                <w:sz w:val="24"/>
                <w:szCs w:val="24"/>
              </w:rPr>
            </w:pPr>
            <w:r w:rsidRPr="007253C4">
              <w:rPr>
                <w:rFonts w:ascii="Arial" w:hAnsi="Arial" w:cs="Arial"/>
                <w:b/>
                <w:sz w:val="24"/>
                <w:szCs w:val="24"/>
              </w:rPr>
              <w:t>11.4</w:t>
            </w:r>
          </w:p>
        </w:tc>
        <w:tc>
          <w:tcPr>
            <w:tcW w:w="1002" w:type="dxa"/>
          </w:tcPr>
          <w:p w14:paraId="4BCDC838" w14:textId="04C945D4" w:rsidR="00C55AE9" w:rsidRPr="007253C4" w:rsidRDefault="00C55AE9" w:rsidP="00C55AE9">
            <w:pPr>
              <w:rPr>
                <w:rFonts w:ascii="Arial" w:hAnsi="Arial" w:cs="Arial"/>
                <w:b/>
                <w:sz w:val="24"/>
                <w:szCs w:val="24"/>
              </w:rPr>
            </w:pPr>
            <w:r w:rsidRPr="007253C4">
              <w:rPr>
                <w:rFonts w:ascii="Arial" w:hAnsi="Arial" w:cs="Arial"/>
                <w:b/>
                <w:sz w:val="24"/>
                <w:szCs w:val="24"/>
              </w:rPr>
              <w:t>9.0</w:t>
            </w:r>
          </w:p>
        </w:tc>
        <w:tc>
          <w:tcPr>
            <w:tcW w:w="721" w:type="dxa"/>
          </w:tcPr>
          <w:p w14:paraId="3086E549" w14:textId="69CA485C" w:rsidR="00C55AE9" w:rsidRPr="007253C4" w:rsidRDefault="008C5B08" w:rsidP="00C55AE9">
            <w:pPr>
              <w:rPr>
                <w:rFonts w:ascii="Arial" w:hAnsi="Arial" w:cs="Arial"/>
                <w:b/>
                <w:sz w:val="24"/>
                <w:szCs w:val="24"/>
              </w:rPr>
            </w:pPr>
            <w:r w:rsidRPr="007253C4">
              <w:rPr>
                <w:rFonts w:ascii="Arial" w:hAnsi="Arial" w:cs="Arial"/>
                <w:b/>
                <w:sz w:val="24"/>
                <w:szCs w:val="24"/>
              </w:rPr>
              <w:t>308.4</w:t>
            </w:r>
          </w:p>
        </w:tc>
      </w:tr>
    </w:tbl>
    <w:p w14:paraId="58576D17" w14:textId="0B2E6D69" w:rsidR="00BF2822" w:rsidRDefault="00BF2822">
      <w:pPr>
        <w:rPr>
          <w:rFonts w:ascii="Arial" w:hAnsi="Arial" w:cs="Arial"/>
          <w:sz w:val="24"/>
          <w:szCs w:val="24"/>
        </w:rPr>
      </w:pPr>
    </w:p>
    <w:p w14:paraId="7A597F5E" w14:textId="6B6D3A03" w:rsidR="00A20879" w:rsidRPr="007253C4" w:rsidRDefault="008C5B08">
      <w:pPr>
        <w:rPr>
          <w:rFonts w:ascii="Arial" w:hAnsi="Arial" w:cs="Arial"/>
          <w:sz w:val="24"/>
          <w:szCs w:val="24"/>
        </w:rPr>
      </w:pPr>
      <w:r w:rsidRPr="007253C4">
        <w:rPr>
          <w:rFonts w:ascii="Arial" w:hAnsi="Arial" w:cs="Arial"/>
          <w:sz w:val="24"/>
          <w:szCs w:val="24"/>
        </w:rPr>
        <w:t xml:space="preserve">As we know that the provision </w:t>
      </w:r>
      <w:r w:rsidR="007253C4" w:rsidRPr="007253C4">
        <w:rPr>
          <w:rFonts w:ascii="Arial" w:hAnsi="Arial" w:cs="Arial"/>
          <w:sz w:val="24"/>
          <w:szCs w:val="24"/>
        </w:rPr>
        <w:t>is</w:t>
      </w:r>
      <w:r w:rsidRPr="007253C4">
        <w:rPr>
          <w:rFonts w:ascii="Arial" w:hAnsi="Arial" w:cs="Arial"/>
          <w:sz w:val="24"/>
          <w:szCs w:val="24"/>
        </w:rPr>
        <w:t xml:space="preserve"> recognised when the CSR group has </w:t>
      </w:r>
      <w:r w:rsidR="007253C4" w:rsidRPr="007253C4">
        <w:rPr>
          <w:rFonts w:ascii="Arial" w:hAnsi="Arial" w:cs="Arial"/>
          <w:sz w:val="24"/>
          <w:szCs w:val="24"/>
        </w:rPr>
        <w:t>a present</w:t>
      </w:r>
      <w:r w:rsidRPr="007253C4">
        <w:rPr>
          <w:rFonts w:ascii="Arial" w:hAnsi="Arial" w:cs="Arial"/>
          <w:sz w:val="24"/>
          <w:szCs w:val="24"/>
        </w:rPr>
        <w:t xml:space="preserve"> obligation because of the past event</w:t>
      </w:r>
      <w:r w:rsidR="007253C4" w:rsidRPr="007253C4">
        <w:rPr>
          <w:rFonts w:ascii="Arial" w:hAnsi="Arial" w:cs="Arial"/>
          <w:sz w:val="24"/>
          <w:szCs w:val="24"/>
        </w:rPr>
        <w:t>, it is probable that settlement will be required and the obligation can be reliably estimated. And the CSR have the provision for uninsured losses and future claim which is related to the CSR groups self-insurance of their workers compensation program.</w:t>
      </w:r>
    </w:p>
    <w:p w14:paraId="41558A80" w14:textId="62282986" w:rsidR="007253C4" w:rsidRDefault="007253C4">
      <w:pPr>
        <w:rPr>
          <w:rFonts w:ascii="Arial" w:hAnsi="Arial" w:cs="Arial"/>
        </w:rPr>
      </w:pPr>
      <w:r w:rsidRPr="007253C4">
        <w:rPr>
          <w:rFonts w:ascii="Arial" w:hAnsi="Arial" w:cs="Arial"/>
          <w:sz w:val="24"/>
          <w:szCs w:val="24"/>
        </w:rPr>
        <w:t>A potential asset associated with a contingent gain is known as contingent assets. Examples of a contingent assets and gain might be lawsuit field by CSR against another company ‘Y’ for infringement of company CSR patient. If it is probable that the CSR will win the lawsuit and will receive some estimated amount of money and we recorded as them contingent gain that amount of money</w:t>
      </w:r>
      <w:r w:rsidRPr="007253C4">
        <w:rPr>
          <w:rFonts w:ascii="Arial" w:hAnsi="Arial" w:cs="Arial"/>
        </w:rPr>
        <w:t xml:space="preserve">. </w:t>
      </w:r>
    </w:p>
    <w:p w14:paraId="39CDD52B" w14:textId="79F32DA2" w:rsidR="007253C4" w:rsidRDefault="009F5E6A">
      <w:pPr>
        <w:rPr>
          <w:rFonts w:ascii="Arial" w:hAnsi="Arial" w:cs="Arial"/>
          <w:sz w:val="24"/>
          <w:szCs w:val="24"/>
        </w:rPr>
      </w:pPr>
      <w:r w:rsidRPr="009F5E6A">
        <w:rPr>
          <w:rFonts w:ascii="Arial" w:hAnsi="Arial" w:cs="Arial"/>
          <w:sz w:val="24"/>
          <w:szCs w:val="24"/>
        </w:rPr>
        <w:t xml:space="preserve">The liability which may rise depending on the outcomes of some specific events are known as the contingent liability. These are the possible obligation which can be raised by the future event. When it can be estimated then it will have recorded or should be disclosed.  Example: product warranties &amp; potential lawsuit or some pending investigations, etc. Examples: if I took education loan of $300000 from my own bank to fund my child’s higher education and this amount will be contingent liability if my child failed to pay the amount after getting a job. And I </w:t>
      </w:r>
      <w:r w:rsidR="00571CFD" w:rsidRPr="009F5E6A">
        <w:rPr>
          <w:rFonts w:ascii="Arial" w:hAnsi="Arial" w:cs="Arial"/>
          <w:sz w:val="24"/>
          <w:szCs w:val="24"/>
        </w:rPr>
        <w:t>must</w:t>
      </w:r>
      <w:r w:rsidRPr="009F5E6A">
        <w:rPr>
          <w:rFonts w:ascii="Arial" w:hAnsi="Arial" w:cs="Arial"/>
          <w:sz w:val="24"/>
          <w:szCs w:val="24"/>
        </w:rPr>
        <w:t xml:space="preserve"> pay the remaining amount to my bank. </w:t>
      </w:r>
    </w:p>
    <w:p w14:paraId="60178DDD" w14:textId="2581CB75" w:rsidR="009F5E6A" w:rsidRDefault="009F5E6A">
      <w:pPr>
        <w:rPr>
          <w:rFonts w:ascii="Arial" w:hAnsi="Arial" w:cs="Arial"/>
          <w:sz w:val="24"/>
          <w:szCs w:val="24"/>
        </w:rPr>
      </w:pPr>
      <w:r>
        <w:rPr>
          <w:rFonts w:ascii="Arial" w:hAnsi="Arial" w:cs="Arial"/>
          <w:sz w:val="24"/>
          <w:szCs w:val="24"/>
        </w:rPr>
        <w:t xml:space="preserve">We know that the </w:t>
      </w:r>
      <w:r w:rsidR="00801C03">
        <w:rPr>
          <w:rFonts w:ascii="Arial" w:hAnsi="Arial" w:cs="Arial"/>
          <w:sz w:val="24"/>
          <w:szCs w:val="24"/>
        </w:rPr>
        <w:t>provision</w:t>
      </w:r>
      <w:r>
        <w:rPr>
          <w:rFonts w:ascii="Arial" w:hAnsi="Arial" w:cs="Arial"/>
          <w:sz w:val="24"/>
          <w:szCs w:val="24"/>
        </w:rPr>
        <w:t xml:space="preserve"> is a liability with uncertain amount or timing but it satisfie</w:t>
      </w:r>
      <w:r w:rsidR="00801C03">
        <w:rPr>
          <w:rFonts w:ascii="Arial" w:hAnsi="Arial" w:cs="Arial"/>
          <w:sz w:val="24"/>
          <w:szCs w:val="24"/>
        </w:rPr>
        <w:t xml:space="preserve">s the definition of a liability and most importantly it satisfies the recognition criteria whereas contingent liability cannot fulfil the definition of liability or could a present obligation. </w:t>
      </w:r>
    </w:p>
    <w:p w14:paraId="7F67107B" w14:textId="4C16A739" w:rsidR="00026CFF" w:rsidRDefault="000927DC">
      <w:pPr>
        <w:rPr>
          <w:rFonts w:ascii="Arial" w:hAnsi="Arial" w:cs="Arial"/>
          <w:color w:val="FF0000"/>
          <w:sz w:val="28"/>
          <w:szCs w:val="24"/>
        </w:rPr>
      </w:pPr>
      <w:r>
        <w:rPr>
          <w:rFonts w:ascii="Arial" w:hAnsi="Arial" w:cs="Arial"/>
          <w:sz w:val="24"/>
          <w:szCs w:val="24"/>
        </w:rPr>
        <w:br/>
      </w:r>
      <w:r w:rsidRPr="000927DC">
        <w:rPr>
          <w:rFonts w:ascii="Arial" w:hAnsi="Arial" w:cs="Arial"/>
          <w:color w:val="FF0000"/>
          <w:sz w:val="28"/>
          <w:szCs w:val="24"/>
        </w:rPr>
        <w:t>BASIS OF PROVISION</w:t>
      </w:r>
    </w:p>
    <w:p w14:paraId="1C1A07C2" w14:textId="6DBF325A" w:rsidR="000927DC" w:rsidRDefault="000927DC">
      <w:pPr>
        <w:rPr>
          <w:rFonts w:ascii="Arial" w:hAnsi="Arial" w:cs="Arial"/>
          <w:color w:val="000000" w:themeColor="text1"/>
          <w:szCs w:val="24"/>
        </w:rPr>
      </w:pPr>
      <w:r>
        <w:rPr>
          <w:rFonts w:ascii="Arial" w:hAnsi="Arial" w:cs="Arial"/>
          <w:color w:val="000000" w:themeColor="text1"/>
          <w:szCs w:val="24"/>
        </w:rPr>
        <w:t>CSR includes in its financial statements a products liability provision covering all known claims and reasonably foreseeable future asbestos related claims. This provision is reviewed every six months. CSR does not believe there is any significant source of insurance available to meet its asbestos liability. CSR no longer has general insurance coverage in relation to its ongoing asbestos liability.</w:t>
      </w:r>
    </w:p>
    <w:p w14:paraId="5AFB9B48" w14:textId="289C7CC8" w:rsidR="000927DC" w:rsidRDefault="000927DC">
      <w:pPr>
        <w:rPr>
          <w:rFonts w:ascii="Arial" w:hAnsi="Arial" w:cs="Arial"/>
          <w:color w:val="000000" w:themeColor="text1"/>
          <w:szCs w:val="24"/>
        </w:rPr>
      </w:pPr>
    </w:p>
    <w:p w14:paraId="0EE14C88" w14:textId="4ABA21D9" w:rsidR="000927DC" w:rsidRDefault="002B313A">
      <w:pPr>
        <w:rPr>
          <w:rFonts w:ascii="Arial" w:hAnsi="Arial" w:cs="Arial"/>
          <w:color w:val="000000" w:themeColor="text1"/>
          <w:szCs w:val="24"/>
        </w:rPr>
      </w:pPr>
      <w:r>
        <w:rPr>
          <w:rFonts w:ascii="Arial" w:hAnsi="Arial" w:cs="Arial"/>
          <w:color w:val="000000" w:themeColor="text1"/>
          <w:szCs w:val="24"/>
        </w:rPr>
        <w:t>At 31 march 2018, a provision of $289 million (31 march 2017: $312.4 million) has been made for all known claims and reasonably foreseeable future claims, and includes a prudential margin of $55.7 million (31 march 2017: $60 million) above the aggregate most likely estimate of the future asbestos liabilities in Australia and the Nathan Associates, Inc. respectively.</w:t>
      </w:r>
    </w:p>
    <w:p w14:paraId="61B1560D" w14:textId="6B3F10DA" w:rsidR="00D81ED6" w:rsidRDefault="00D81ED6">
      <w:pPr>
        <w:rPr>
          <w:rFonts w:ascii="Arial" w:hAnsi="Arial" w:cs="Arial"/>
          <w:color w:val="000000" w:themeColor="text1"/>
          <w:szCs w:val="24"/>
        </w:rPr>
      </w:pPr>
    </w:p>
    <w:p w14:paraId="64AABA63" w14:textId="77777777" w:rsidR="00D81ED6" w:rsidRDefault="00D81ED6">
      <w:pPr>
        <w:rPr>
          <w:rFonts w:ascii="Arial" w:hAnsi="Arial" w:cs="Arial"/>
          <w:color w:val="000000" w:themeColor="text1"/>
          <w:szCs w:val="24"/>
        </w:rPr>
      </w:pPr>
    </w:p>
    <w:p w14:paraId="6E2B0794" w14:textId="77777777" w:rsidR="00D81ED6" w:rsidRDefault="00D81ED6">
      <w:pPr>
        <w:rPr>
          <w:rFonts w:ascii="Arial" w:hAnsi="Arial" w:cs="Arial"/>
          <w:color w:val="000000" w:themeColor="text1"/>
          <w:szCs w:val="24"/>
        </w:rPr>
      </w:pPr>
    </w:p>
    <w:p w14:paraId="2D304D1E" w14:textId="77777777" w:rsidR="00D81ED6" w:rsidRDefault="00D81ED6">
      <w:pPr>
        <w:rPr>
          <w:rFonts w:ascii="Arial" w:hAnsi="Arial" w:cs="Arial"/>
          <w:color w:val="000000" w:themeColor="text1"/>
          <w:szCs w:val="24"/>
        </w:rPr>
      </w:pPr>
    </w:p>
    <w:p w14:paraId="17E74CE2" w14:textId="77777777" w:rsidR="00D81ED6" w:rsidRDefault="00D81ED6">
      <w:pPr>
        <w:rPr>
          <w:rFonts w:ascii="Arial" w:hAnsi="Arial" w:cs="Arial"/>
          <w:color w:val="000000" w:themeColor="text1"/>
          <w:szCs w:val="24"/>
        </w:rPr>
      </w:pPr>
    </w:p>
    <w:p w14:paraId="1F89C11B" w14:textId="77777777" w:rsidR="00D81ED6" w:rsidRDefault="00D81ED6">
      <w:pPr>
        <w:rPr>
          <w:rFonts w:ascii="Arial" w:hAnsi="Arial" w:cs="Arial"/>
          <w:color w:val="000000" w:themeColor="text1"/>
          <w:szCs w:val="24"/>
        </w:rPr>
      </w:pPr>
    </w:p>
    <w:p w14:paraId="6D767D1E" w14:textId="0C7256C2" w:rsidR="00D81ED6" w:rsidRPr="00571D25" w:rsidRDefault="00D81ED6">
      <w:pPr>
        <w:rPr>
          <w:rFonts w:ascii="Arial" w:hAnsi="Arial" w:cs="Arial"/>
          <w:color w:val="2E74B5" w:themeColor="accent5" w:themeShade="BF"/>
          <w:sz w:val="28"/>
          <w:szCs w:val="24"/>
        </w:rPr>
      </w:pPr>
      <w:r w:rsidRPr="00571D25">
        <w:rPr>
          <w:rFonts w:ascii="Arial" w:hAnsi="Arial" w:cs="Arial"/>
          <w:color w:val="2E74B5" w:themeColor="accent5" w:themeShade="BF"/>
          <w:sz w:val="28"/>
          <w:szCs w:val="24"/>
        </w:rPr>
        <w:t>Table shows Five years’ history – asbestos provision</w:t>
      </w:r>
    </w:p>
    <w:p w14:paraId="3FFD80A6" w14:textId="7B3D3F29" w:rsidR="002B313A" w:rsidRDefault="002B313A">
      <w:pPr>
        <w:rPr>
          <w:rFonts w:ascii="Arial" w:hAnsi="Arial" w:cs="Arial"/>
          <w:color w:val="000000" w:themeColor="text1"/>
          <w:szCs w:val="24"/>
        </w:rPr>
      </w:pPr>
    </w:p>
    <w:tbl>
      <w:tblPr>
        <w:tblStyle w:val="TableGrid"/>
        <w:tblW w:w="0" w:type="auto"/>
        <w:tblLook w:val="04A0" w:firstRow="1" w:lastRow="0" w:firstColumn="1" w:lastColumn="0" w:noHBand="0" w:noVBand="1"/>
      </w:tblPr>
      <w:tblGrid>
        <w:gridCol w:w="3397"/>
        <w:gridCol w:w="993"/>
        <w:gridCol w:w="1134"/>
        <w:gridCol w:w="1134"/>
        <w:gridCol w:w="1134"/>
        <w:gridCol w:w="1224"/>
      </w:tblGrid>
      <w:tr w:rsidR="00D81ED6" w14:paraId="61A150FC" w14:textId="77777777" w:rsidTr="00D81ED6">
        <w:tc>
          <w:tcPr>
            <w:tcW w:w="3397" w:type="dxa"/>
          </w:tcPr>
          <w:p w14:paraId="396C1CB8" w14:textId="5353A3A7" w:rsidR="00D81ED6" w:rsidRDefault="00D81ED6">
            <w:pPr>
              <w:rPr>
                <w:rFonts w:ascii="Arial" w:hAnsi="Arial" w:cs="Arial"/>
                <w:color w:val="000000" w:themeColor="text1"/>
                <w:szCs w:val="24"/>
              </w:rPr>
            </w:pPr>
            <w:r w:rsidRPr="00571D25">
              <w:rPr>
                <w:rFonts w:ascii="Arial" w:hAnsi="Arial" w:cs="Arial"/>
                <w:color w:val="FF0000"/>
                <w:szCs w:val="24"/>
              </w:rPr>
              <w:t>millions</w:t>
            </w:r>
          </w:p>
        </w:tc>
        <w:tc>
          <w:tcPr>
            <w:tcW w:w="993" w:type="dxa"/>
          </w:tcPr>
          <w:p w14:paraId="03967FE3" w14:textId="22815DF2" w:rsidR="00D81ED6" w:rsidRDefault="00D81ED6">
            <w:pPr>
              <w:rPr>
                <w:rFonts w:ascii="Arial" w:hAnsi="Arial" w:cs="Arial"/>
                <w:color w:val="000000" w:themeColor="text1"/>
                <w:szCs w:val="24"/>
              </w:rPr>
            </w:pPr>
            <w:r>
              <w:rPr>
                <w:rFonts w:ascii="Arial" w:hAnsi="Arial" w:cs="Arial"/>
                <w:color w:val="000000" w:themeColor="text1"/>
                <w:szCs w:val="24"/>
              </w:rPr>
              <w:t>2104</w:t>
            </w:r>
          </w:p>
        </w:tc>
        <w:tc>
          <w:tcPr>
            <w:tcW w:w="1134" w:type="dxa"/>
          </w:tcPr>
          <w:p w14:paraId="3FB4CE0E" w14:textId="6C4A1A61" w:rsidR="00D81ED6" w:rsidRDefault="00D81ED6">
            <w:pPr>
              <w:rPr>
                <w:rFonts w:ascii="Arial" w:hAnsi="Arial" w:cs="Arial"/>
                <w:color w:val="000000" w:themeColor="text1"/>
                <w:szCs w:val="24"/>
              </w:rPr>
            </w:pPr>
            <w:r>
              <w:rPr>
                <w:rFonts w:ascii="Arial" w:hAnsi="Arial" w:cs="Arial"/>
                <w:color w:val="000000" w:themeColor="text1"/>
                <w:szCs w:val="24"/>
              </w:rPr>
              <w:t>2105</w:t>
            </w:r>
          </w:p>
        </w:tc>
        <w:tc>
          <w:tcPr>
            <w:tcW w:w="1134" w:type="dxa"/>
          </w:tcPr>
          <w:p w14:paraId="1651B778" w14:textId="7AC7C04C" w:rsidR="00D81ED6" w:rsidRDefault="00D81ED6">
            <w:pPr>
              <w:rPr>
                <w:rFonts w:ascii="Arial" w:hAnsi="Arial" w:cs="Arial"/>
                <w:color w:val="000000" w:themeColor="text1"/>
                <w:szCs w:val="24"/>
              </w:rPr>
            </w:pPr>
            <w:r>
              <w:rPr>
                <w:rFonts w:ascii="Arial" w:hAnsi="Arial" w:cs="Arial"/>
                <w:color w:val="000000" w:themeColor="text1"/>
                <w:szCs w:val="24"/>
              </w:rPr>
              <w:t>2106</w:t>
            </w:r>
          </w:p>
        </w:tc>
        <w:tc>
          <w:tcPr>
            <w:tcW w:w="1134" w:type="dxa"/>
          </w:tcPr>
          <w:p w14:paraId="57F83BE7" w14:textId="535885EF" w:rsidR="00D81ED6" w:rsidRDefault="00D81ED6">
            <w:pPr>
              <w:rPr>
                <w:rFonts w:ascii="Arial" w:hAnsi="Arial" w:cs="Arial"/>
                <w:color w:val="000000" w:themeColor="text1"/>
                <w:szCs w:val="24"/>
              </w:rPr>
            </w:pPr>
            <w:r>
              <w:rPr>
                <w:rFonts w:ascii="Arial" w:hAnsi="Arial" w:cs="Arial"/>
                <w:color w:val="000000" w:themeColor="text1"/>
                <w:szCs w:val="24"/>
              </w:rPr>
              <w:t>2017</w:t>
            </w:r>
          </w:p>
        </w:tc>
        <w:tc>
          <w:tcPr>
            <w:tcW w:w="1224" w:type="dxa"/>
          </w:tcPr>
          <w:p w14:paraId="691EE76E" w14:textId="2FB907E4" w:rsidR="00D81ED6" w:rsidRDefault="00D81ED6">
            <w:pPr>
              <w:rPr>
                <w:rFonts w:ascii="Arial" w:hAnsi="Arial" w:cs="Arial"/>
                <w:color w:val="000000" w:themeColor="text1"/>
                <w:szCs w:val="24"/>
              </w:rPr>
            </w:pPr>
            <w:r>
              <w:rPr>
                <w:rFonts w:ascii="Arial" w:hAnsi="Arial" w:cs="Arial"/>
                <w:color w:val="000000" w:themeColor="text1"/>
                <w:szCs w:val="24"/>
              </w:rPr>
              <w:t>2018</w:t>
            </w:r>
          </w:p>
        </w:tc>
      </w:tr>
      <w:tr w:rsidR="00D81ED6" w14:paraId="2FE3A89D" w14:textId="77777777" w:rsidTr="00D81ED6">
        <w:tc>
          <w:tcPr>
            <w:tcW w:w="3397" w:type="dxa"/>
          </w:tcPr>
          <w:p w14:paraId="04ACAE37" w14:textId="21DD5F94" w:rsidR="00D81ED6" w:rsidRPr="00571D25" w:rsidRDefault="00D81ED6">
            <w:pPr>
              <w:rPr>
                <w:rFonts w:ascii="Arial" w:hAnsi="Arial" w:cs="Arial"/>
                <w:color w:val="0070C0"/>
                <w:szCs w:val="24"/>
              </w:rPr>
            </w:pPr>
            <w:r w:rsidRPr="00571D25">
              <w:rPr>
                <w:rFonts w:ascii="Arial" w:hAnsi="Arial" w:cs="Arial"/>
                <w:color w:val="0070C0"/>
                <w:szCs w:val="24"/>
              </w:rPr>
              <w:t>United states base case estimate US $</w:t>
            </w:r>
          </w:p>
        </w:tc>
        <w:tc>
          <w:tcPr>
            <w:tcW w:w="993" w:type="dxa"/>
          </w:tcPr>
          <w:p w14:paraId="6FA41F36" w14:textId="0B352BE9" w:rsidR="00D81ED6" w:rsidRDefault="00571D25">
            <w:pPr>
              <w:rPr>
                <w:rFonts w:ascii="Arial" w:hAnsi="Arial" w:cs="Arial"/>
                <w:color w:val="000000" w:themeColor="text1"/>
                <w:szCs w:val="24"/>
              </w:rPr>
            </w:pPr>
            <w:r>
              <w:rPr>
                <w:rFonts w:ascii="Arial" w:hAnsi="Arial" w:cs="Arial"/>
                <w:color w:val="000000" w:themeColor="text1"/>
                <w:szCs w:val="24"/>
              </w:rPr>
              <w:t>123.5</w:t>
            </w:r>
          </w:p>
        </w:tc>
        <w:tc>
          <w:tcPr>
            <w:tcW w:w="1134" w:type="dxa"/>
          </w:tcPr>
          <w:p w14:paraId="064E5368" w14:textId="7AD0AD8D" w:rsidR="00D81ED6" w:rsidRDefault="00D81ED6">
            <w:pPr>
              <w:rPr>
                <w:rFonts w:ascii="Arial" w:hAnsi="Arial" w:cs="Arial"/>
                <w:color w:val="000000" w:themeColor="text1"/>
                <w:szCs w:val="24"/>
              </w:rPr>
            </w:pPr>
            <w:r>
              <w:rPr>
                <w:rFonts w:ascii="Arial" w:hAnsi="Arial" w:cs="Arial"/>
                <w:color w:val="000000" w:themeColor="text1"/>
                <w:szCs w:val="24"/>
              </w:rPr>
              <w:t>104.9</w:t>
            </w:r>
          </w:p>
        </w:tc>
        <w:tc>
          <w:tcPr>
            <w:tcW w:w="1134" w:type="dxa"/>
          </w:tcPr>
          <w:p w14:paraId="05E268C5" w14:textId="14D68D75" w:rsidR="00D81ED6" w:rsidRDefault="00D81ED6">
            <w:pPr>
              <w:rPr>
                <w:rFonts w:ascii="Arial" w:hAnsi="Arial" w:cs="Arial"/>
                <w:color w:val="000000" w:themeColor="text1"/>
                <w:szCs w:val="24"/>
              </w:rPr>
            </w:pPr>
            <w:r>
              <w:rPr>
                <w:rFonts w:ascii="Arial" w:hAnsi="Arial" w:cs="Arial"/>
                <w:color w:val="000000" w:themeColor="text1"/>
                <w:szCs w:val="24"/>
              </w:rPr>
              <w:t>86</w:t>
            </w:r>
          </w:p>
        </w:tc>
        <w:tc>
          <w:tcPr>
            <w:tcW w:w="1134" w:type="dxa"/>
          </w:tcPr>
          <w:p w14:paraId="59D9F294" w14:textId="55323740" w:rsidR="00D81ED6" w:rsidRDefault="00D81ED6">
            <w:pPr>
              <w:rPr>
                <w:rFonts w:ascii="Arial" w:hAnsi="Arial" w:cs="Arial"/>
                <w:color w:val="000000" w:themeColor="text1"/>
                <w:szCs w:val="24"/>
              </w:rPr>
            </w:pPr>
            <w:r>
              <w:rPr>
                <w:rFonts w:ascii="Arial" w:hAnsi="Arial" w:cs="Arial"/>
                <w:color w:val="000000" w:themeColor="text1"/>
                <w:szCs w:val="24"/>
              </w:rPr>
              <w:t>72.2</w:t>
            </w:r>
          </w:p>
        </w:tc>
        <w:tc>
          <w:tcPr>
            <w:tcW w:w="1224" w:type="dxa"/>
          </w:tcPr>
          <w:p w14:paraId="193C0DA1" w14:textId="45AF6F6B" w:rsidR="00D81ED6" w:rsidRDefault="00D81ED6">
            <w:pPr>
              <w:rPr>
                <w:rFonts w:ascii="Arial" w:hAnsi="Arial" w:cs="Arial"/>
                <w:color w:val="000000" w:themeColor="text1"/>
                <w:szCs w:val="24"/>
              </w:rPr>
            </w:pPr>
            <w:r>
              <w:rPr>
                <w:rFonts w:ascii="Arial" w:hAnsi="Arial" w:cs="Arial"/>
                <w:color w:val="000000" w:themeColor="text1"/>
                <w:szCs w:val="24"/>
              </w:rPr>
              <w:t>51</w:t>
            </w:r>
          </w:p>
        </w:tc>
      </w:tr>
      <w:tr w:rsidR="00D81ED6" w14:paraId="3C33374B" w14:textId="77777777" w:rsidTr="00D81ED6">
        <w:tc>
          <w:tcPr>
            <w:tcW w:w="3397" w:type="dxa"/>
          </w:tcPr>
          <w:p w14:paraId="4BC861AE" w14:textId="5B81514B" w:rsidR="00D81ED6" w:rsidRPr="00571D25" w:rsidRDefault="00D81ED6">
            <w:pPr>
              <w:rPr>
                <w:rFonts w:ascii="Arial" w:hAnsi="Arial" w:cs="Arial"/>
                <w:color w:val="0070C0"/>
                <w:szCs w:val="24"/>
              </w:rPr>
            </w:pPr>
            <w:r w:rsidRPr="00571D25">
              <w:rPr>
                <w:rFonts w:ascii="Arial" w:hAnsi="Arial" w:cs="Arial"/>
                <w:color w:val="0070C0"/>
                <w:szCs w:val="24"/>
              </w:rPr>
              <w:t>United states base case estimate A$ Australian central estimate A$</w:t>
            </w:r>
          </w:p>
        </w:tc>
        <w:tc>
          <w:tcPr>
            <w:tcW w:w="993" w:type="dxa"/>
          </w:tcPr>
          <w:p w14:paraId="4BD5D72A" w14:textId="77777777" w:rsidR="00D81ED6" w:rsidRDefault="00D81ED6">
            <w:pPr>
              <w:rPr>
                <w:rFonts w:ascii="Arial" w:hAnsi="Arial" w:cs="Arial"/>
                <w:color w:val="000000" w:themeColor="text1"/>
                <w:szCs w:val="24"/>
              </w:rPr>
            </w:pPr>
            <w:r>
              <w:rPr>
                <w:rFonts w:ascii="Arial" w:hAnsi="Arial" w:cs="Arial"/>
                <w:color w:val="000000" w:themeColor="text1"/>
                <w:szCs w:val="24"/>
              </w:rPr>
              <w:t>133.5</w:t>
            </w:r>
          </w:p>
          <w:p w14:paraId="61583776" w14:textId="453F599C" w:rsidR="00D81ED6" w:rsidRDefault="00D81ED6">
            <w:pPr>
              <w:rPr>
                <w:rFonts w:ascii="Arial" w:hAnsi="Arial" w:cs="Arial"/>
                <w:color w:val="000000" w:themeColor="text1"/>
                <w:szCs w:val="24"/>
              </w:rPr>
            </w:pPr>
            <w:r>
              <w:rPr>
                <w:rFonts w:ascii="Arial" w:hAnsi="Arial" w:cs="Arial"/>
                <w:color w:val="000000" w:themeColor="text1"/>
                <w:szCs w:val="24"/>
              </w:rPr>
              <w:t>161.8</w:t>
            </w:r>
          </w:p>
        </w:tc>
        <w:tc>
          <w:tcPr>
            <w:tcW w:w="1134" w:type="dxa"/>
          </w:tcPr>
          <w:p w14:paraId="60467E0E" w14:textId="77777777" w:rsidR="00D81ED6" w:rsidRDefault="00D81ED6">
            <w:pPr>
              <w:rPr>
                <w:rFonts w:ascii="Arial" w:hAnsi="Arial" w:cs="Arial"/>
                <w:color w:val="000000" w:themeColor="text1"/>
                <w:szCs w:val="24"/>
              </w:rPr>
            </w:pPr>
            <w:r>
              <w:rPr>
                <w:rFonts w:ascii="Arial" w:hAnsi="Arial" w:cs="Arial"/>
                <w:color w:val="000000" w:themeColor="text1"/>
                <w:szCs w:val="24"/>
              </w:rPr>
              <w:t>137</w:t>
            </w:r>
          </w:p>
          <w:p w14:paraId="10548F40" w14:textId="46769F9E" w:rsidR="00D81ED6" w:rsidRDefault="00D81ED6">
            <w:pPr>
              <w:rPr>
                <w:rFonts w:ascii="Arial" w:hAnsi="Arial" w:cs="Arial"/>
                <w:color w:val="000000" w:themeColor="text1"/>
                <w:szCs w:val="24"/>
              </w:rPr>
            </w:pPr>
            <w:r>
              <w:rPr>
                <w:rFonts w:ascii="Arial" w:hAnsi="Arial" w:cs="Arial"/>
                <w:color w:val="000000" w:themeColor="text1"/>
                <w:szCs w:val="24"/>
              </w:rPr>
              <w:t>157.2</w:t>
            </w:r>
          </w:p>
        </w:tc>
        <w:tc>
          <w:tcPr>
            <w:tcW w:w="1134" w:type="dxa"/>
          </w:tcPr>
          <w:p w14:paraId="6AA5DAEF" w14:textId="77777777" w:rsidR="00D81ED6" w:rsidRDefault="00D81ED6">
            <w:pPr>
              <w:rPr>
                <w:rFonts w:ascii="Arial" w:hAnsi="Arial" w:cs="Arial"/>
                <w:color w:val="000000" w:themeColor="text1"/>
                <w:szCs w:val="24"/>
              </w:rPr>
            </w:pPr>
            <w:r>
              <w:rPr>
                <w:rFonts w:ascii="Arial" w:hAnsi="Arial" w:cs="Arial"/>
                <w:color w:val="000000" w:themeColor="text1"/>
                <w:szCs w:val="24"/>
              </w:rPr>
              <w:t>112.2</w:t>
            </w:r>
          </w:p>
          <w:p w14:paraId="17083483" w14:textId="37D0D47F" w:rsidR="00D81ED6" w:rsidRDefault="00D81ED6">
            <w:pPr>
              <w:rPr>
                <w:rFonts w:ascii="Arial" w:hAnsi="Arial" w:cs="Arial"/>
                <w:color w:val="000000" w:themeColor="text1"/>
                <w:szCs w:val="24"/>
              </w:rPr>
            </w:pPr>
            <w:r>
              <w:rPr>
                <w:rFonts w:ascii="Arial" w:hAnsi="Arial" w:cs="Arial"/>
                <w:color w:val="000000" w:themeColor="text1"/>
                <w:szCs w:val="24"/>
              </w:rPr>
              <w:t>157.1</w:t>
            </w:r>
          </w:p>
        </w:tc>
        <w:tc>
          <w:tcPr>
            <w:tcW w:w="1134" w:type="dxa"/>
          </w:tcPr>
          <w:p w14:paraId="5BF261A3" w14:textId="77777777" w:rsidR="00D81ED6" w:rsidRDefault="00D81ED6">
            <w:pPr>
              <w:rPr>
                <w:rFonts w:ascii="Arial" w:hAnsi="Arial" w:cs="Arial"/>
                <w:color w:val="000000" w:themeColor="text1"/>
                <w:szCs w:val="24"/>
              </w:rPr>
            </w:pPr>
            <w:r>
              <w:rPr>
                <w:rFonts w:ascii="Arial" w:hAnsi="Arial" w:cs="Arial"/>
                <w:color w:val="000000" w:themeColor="text1"/>
                <w:szCs w:val="24"/>
              </w:rPr>
              <w:t>94.5</w:t>
            </w:r>
          </w:p>
          <w:p w14:paraId="30D34A27" w14:textId="1C48A0C3" w:rsidR="00D81ED6" w:rsidRDefault="00D81ED6">
            <w:pPr>
              <w:rPr>
                <w:rFonts w:ascii="Arial" w:hAnsi="Arial" w:cs="Arial"/>
                <w:color w:val="000000" w:themeColor="text1"/>
                <w:szCs w:val="24"/>
              </w:rPr>
            </w:pPr>
            <w:r>
              <w:rPr>
                <w:rFonts w:ascii="Arial" w:hAnsi="Arial" w:cs="Arial"/>
                <w:color w:val="000000" w:themeColor="text1"/>
                <w:szCs w:val="24"/>
              </w:rPr>
              <w:t>157.9</w:t>
            </w:r>
          </w:p>
        </w:tc>
        <w:tc>
          <w:tcPr>
            <w:tcW w:w="1224" w:type="dxa"/>
          </w:tcPr>
          <w:p w14:paraId="67363D70" w14:textId="77777777" w:rsidR="00D81ED6" w:rsidRDefault="00D81ED6">
            <w:pPr>
              <w:rPr>
                <w:rFonts w:ascii="Arial" w:hAnsi="Arial" w:cs="Arial"/>
                <w:color w:val="000000" w:themeColor="text1"/>
                <w:szCs w:val="24"/>
              </w:rPr>
            </w:pPr>
            <w:r>
              <w:rPr>
                <w:rFonts w:ascii="Arial" w:hAnsi="Arial" w:cs="Arial"/>
                <w:color w:val="000000" w:themeColor="text1"/>
                <w:szCs w:val="24"/>
              </w:rPr>
              <w:t>66.6</w:t>
            </w:r>
          </w:p>
          <w:p w14:paraId="34D0755D" w14:textId="04AC0382" w:rsidR="00D81ED6" w:rsidRDefault="00D81ED6">
            <w:pPr>
              <w:rPr>
                <w:rFonts w:ascii="Arial" w:hAnsi="Arial" w:cs="Arial"/>
                <w:color w:val="000000" w:themeColor="text1"/>
                <w:szCs w:val="24"/>
              </w:rPr>
            </w:pPr>
            <w:r>
              <w:rPr>
                <w:rFonts w:ascii="Arial" w:hAnsi="Arial" w:cs="Arial"/>
                <w:color w:val="000000" w:themeColor="text1"/>
                <w:szCs w:val="24"/>
              </w:rPr>
              <w:t>166.7</w:t>
            </w:r>
          </w:p>
        </w:tc>
      </w:tr>
      <w:tr w:rsidR="00D81ED6" w14:paraId="6860665E" w14:textId="77777777" w:rsidTr="00D81ED6">
        <w:tc>
          <w:tcPr>
            <w:tcW w:w="3397" w:type="dxa"/>
          </w:tcPr>
          <w:p w14:paraId="39B53F28" w14:textId="77777777" w:rsidR="00D81ED6" w:rsidRPr="00571D25" w:rsidRDefault="00D81ED6">
            <w:pPr>
              <w:rPr>
                <w:rFonts w:ascii="Arial" w:hAnsi="Arial" w:cs="Arial"/>
                <w:color w:val="0070C0"/>
                <w:szCs w:val="24"/>
              </w:rPr>
            </w:pPr>
            <w:r w:rsidRPr="00571D25">
              <w:rPr>
                <w:rFonts w:ascii="Arial" w:hAnsi="Arial" w:cs="Arial"/>
                <w:color w:val="0070C0"/>
                <w:szCs w:val="24"/>
              </w:rPr>
              <w:t>Subtotal A$</w:t>
            </w:r>
          </w:p>
          <w:p w14:paraId="4C46F1A3" w14:textId="77777777" w:rsidR="00D81ED6" w:rsidRPr="00571D25" w:rsidRDefault="00D81ED6">
            <w:pPr>
              <w:rPr>
                <w:rFonts w:ascii="Arial" w:hAnsi="Arial" w:cs="Arial"/>
                <w:color w:val="0070C0"/>
                <w:szCs w:val="24"/>
              </w:rPr>
            </w:pPr>
            <w:r w:rsidRPr="00571D25">
              <w:rPr>
                <w:rFonts w:ascii="Arial" w:hAnsi="Arial" w:cs="Arial"/>
                <w:color w:val="0070C0"/>
                <w:szCs w:val="24"/>
              </w:rPr>
              <w:t>Prudential margin A$</w:t>
            </w:r>
          </w:p>
          <w:p w14:paraId="13DD0F2A" w14:textId="41687110" w:rsidR="00D81ED6" w:rsidRPr="00571D25" w:rsidRDefault="00D81ED6">
            <w:pPr>
              <w:rPr>
                <w:rFonts w:ascii="Arial" w:hAnsi="Arial" w:cs="Arial"/>
                <w:color w:val="0070C0"/>
                <w:szCs w:val="24"/>
              </w:rPr>
            </w:pPr>
            <w:r w:rsidRPr="00571D25">
              <w:rPr>
                <w:rFonts w:ascii="Arial" w:hAnsi="Arial" w:cs="Arial"/>
                <w:color w:val="0070C0"/>
                <w:szCs w:val="24"/>
              </w:rPr>
              <w:t>Prudential margin %</w:t>
            </w:r>
          </w:p>
        </w:tc>
        <w:tc>
          <w:tcPr>
            <w:tcW w:w="993" w:type="dxa"/>
          </w:tcPr>
          <w:p w14:paraId="3FFA95E6" w14:textId="77777777" w:rsidR="00D81ED6" w:rsidRDefault="00D81ED6">
            <w:pPr>
              <w:rPr>
                <w:rFonts w:ascii="Arial" w:hAnsi="Arial" w:cs="Arial"/>
                <w:color w:val="000000" w:themeColor="text1"/>
                <w:szCs w:val="24"/>
              </w:rPr>
            </w:pPr>
            <w:r>
              <w:rPr>
                <w:rFonts w:ascii="Arial" w:hAnsi="Arial" w:cs="Arial"/>
                <w:color w:val="000000" w:themeColor="text1"/>
                <w:szCs w:val="24"/>
              </w:rPr>
              <w:t>295.3</w:t>
            </w:r>
          </w:p>
          <w:p w14:paraId="50C7C336" w14:textId="77777777" w:rsidR="00D81ED6" w:rsidRDefault="00D81ED6">
            <w:pPr>
              <w:rPr>
                <w:rFonts w:ascii="Arial" w:hAnsi="Arial" w:cs="Arial"/>
                <w:color w:val="000000" w:themeColor="text1"/>
                <w:szCs w:val="24"/>
              </w:rPr>
            </w:pPr>
            <w:r>
              <w:rPr>
                <w:rFonts w:ascii="Arial" w:hAnsi="Arial" w:cs="Arial"/>
                <w:color w:val="000000" w:themeColor="text1"/>
                <w:szCs w:val="24"/>
              </w:rPr>
              <w:t>73.8</w:t>
            </w:r>
          </w:p>
          <w:p w14:paraId="229B8CB6" w14:textId="6E167BA7" w:rsidR="00D81ED6" w:rsidRDefault="00D81ED6">
            <w:pPr>
              <w:rPr>
                <w:rFonts w:ascii="Arial" w:hAnsi="Arial" w:cs="Arial"/>
                <w:color w:val="000000" w:themeColor="text1"/>
                <w:szCs w:val="24"/>
              </w:rPr>
            </w:pPr>
            <w:r>
              <w:rPr>
                <w:rFonts w:ascii="Arial" w:hAnsi="Arial" w:cs="Arial"/>
                <w:color w:val="000000" w:themeColor="text1"/>
                <w:szCs w:val="24"/>
              </w:rPr>
              <w:t>25.0%</w:t>
            </w:r>
          </w:p>
        </w:tc>
        <w:tc>
          <w:tcPr>
            <w:tcW w:w="1134" w:type="dxa"/>
          </w:tcPr>
          <w:p w14:paraId="2A7282BF" w14:textId="77777777" w:rsidR="00D81ED6" w:rsidRDefault="00D81ED6">
            <w:pPr>
              <w:rPr>
                <w:rFonts w:ascii="Arial" w:hAnsi="Arial" w:cs="Arial"/>
                <w:color w:val="000000" w:themeColor="text1"/>
                <w:szCs w:val="24"/>
              </w:rPr>
            </w:pPr>
            <w:r>
              <w:rPr>
                <w:rFonts w:ascii="Arial" w:hAnsi="Arial" w:cs="Arial"/>
                <w:color w:val="000000" w:themeColor="text1"/>
                <w:szCs w:val="24"/>
              </w:rPr>
              <w:t>294.2</w:t>
            </w:r>
          </w:p>
          <w:p w14:paraId="69890711" w14:textId="77777777" w:rsidR="00D81ED6" w:rsidRDefault="00D81ED6">
            <w:pPr>
              <w:rPr>
                <w:rFonts w:ascii="Arial" w:hAnsi="Arial" w:cs="Arial"/>
                <w:color w:val="000000" w:themeColor="text1"/>
                <w:szCs w:val="24"/>
              </w:rPr>
            </w:pPr>
            <w:r>
              <w:rPr>
                <w:rFonts w:ascii="Arial" w:hAnsi="Arial" w:cs="Arial"/>
                <w:color w:val="000000" w:themeColor="text1"/>
                <w:szCs w:val="24"/>
              </w:rPr>
              <w:t>56.5</w:t>
            </w:r>
          </w:p>
          <w:p w14:paraId="4471DC69" w14:textId="26FAEA0D" w:rsidR="00D81ED6" w:rsidRDefault="00D81ED6">
            <w:pPr>
              <w:rPr>
                <w:rFonts w:ascii="Arial" w:hAnsi="Arial" w:cs="Arial"/>
                <w:color w:val="000000" w:themeColor="text1"/>
                <w:szCs w:val="24"/>
              </w:rPr>
            </w:pPr>
            <w:r>
              <w:rPr>
                <w:rFonts w:ascii="Arial" w:hAnsi="Arial" w:cs="Arial"/>
                <w:color w:val="000000" w:themeColor="text1"/>
                <w:szCs w:val="24"/>
              </w:rPr>
              <w:t>19.2%</w:t>
            </w:r>
          </w:p>
        </w:tc>
        <w:tc>
          <w:tcPr>
            <w:tcW w:w="1134" w:type="dxa"/>
          </w:tcPr>
          <w:p w14:paraId="65273E26" w14:textId="77777777" w:rsidR="00D81ED6" w:rsidRDefault="00D81ED6">
            <w:pPr>
              <w:rPr>
                <w:rFonts w:ascii="Arial" w:hAnsi="Arial" w:cs="Arial"/>
                <w:color w:val="000000" w:themeColor="text1"/>
                <w:szCs w:val="24"/>
              </w:rPr>
            </w:pPr>
            <w:r>
              <w:rPr>
                <w:rFonts w:ascii="Arial" w:hAnsi="Arial" w:cs="Arial"/>
                <w:color w:val="000000" w:themeColor="text1"/>
                <w:szCs w:val="24"/>
              </w:rPr>
              <w:t>269.3</w:t>
            </w:r>
          </w:p>
          <w:p w14:paraId="0D9A6983" w14:textId="77777777" w:rsidR="00D81ED6" w:rsidRDefault="00D81ED6">
            <w:pPr>
              <w:rPr>
                <w:rFonts w:ascii="Arial" w:hAnsi="Arial" w:cs="Arial"/>
                <w:color w:val="000000" w:themeColor="text1"/>
                <w:szCs w:val="24"/>
              </w:rPr>
            </w:pPr>
            <w:r>
              <w:rPr>
                <w:rFonts w:ascii="Arial" w:hAnsi="Arial" w:cs="Arial"/>
                <w:color w:val="000000" w:themeColor="text1"/>
                <w:szCs w:val="24"/>
              </w:rPr>
              <w:t>65.2</w:t>
            </w:r>
          </w:p>
          <w:p w14:paraId="5F218E1F" w14:textId="24579615" w:rsidR="00D81ED6" w:rsidRDefault="00D81ED6">
            <w:pPr>
              <w:rPr>
                <w:rFonts w:ascii="Arial" w:hAnsi="Arial" w:cs="Arial"/>
                <w:color w:val="000000" w:themeColor="text1"/>
                <w:szCs w:val="24"/>
              </w:rPr>
            </w:pPr>
            <w:r>
              <w:rPr>
                <w:rFonts w:ascii="Arial" w:hAnsi="Arial" w:cs="Arial"/>
                <w:color w:val="000000" w:themeColor="text1"/>
                <w:szCs w:val="24"/>
              </w:rPr>
              <w:t>24.2%</w:t>
            </w:r>
          </w:p>
        </w:tc>
        <w:tc>
          <w:tcPr>
            <w:tcW w:w="1134" w:type="dxa"/>
          </w:tcPr>
          <w:p w14:paraId="27FFA9E0" w14:textId="77777777" w:rsidR="00D81ED6" w:rsidRDefault="00D81ED6">
            <w:pPr>
              <w:rPr>
                <w:rFonts w:ascii="Arial" w:hAnsi="Arial" w:cs="Arial"/>
                <w:color w:val="000000" w:themeColor="text1"/>
                <w:szCs w:val="24"/>
              </w:rPr>
            </w:pPr>
            <w:r>
              <w:rPr>
                <w:rFonts w:ascii="Arial" w:hAnsi="Arial" w:cs="Arial"/>
                <w:color w:val="000000" w:themeColor="text1"/>
                <w:szCs w:val="24"/>
              </w:rPr>
              <w:t>252.4</w:t>
            </w:r>
          </w:p>
          <w:p w14:paraId="67FE47CC" w14:textId="77777777" w:rsidR="00D81ED6" w:rsidRDefault="00D81ED6">
            <w:pPr>
              <w:rPr>
                <w:rFonts w:ascii="Arial" w:hAnsi="Arial" w:cs="Arial"/>
                <w:color w:val="000000" w:themeColor="text1"/>
                <w:szCs w:val="24"/>
              </w:rPr>
            </w:pPr>
            <w:r>
              <w:rPr>
                <w:rFonts w:ascii="Arial" w:hAnsi="Arial" w:cs="Arial"/>
                <w:color w:val="000000" w:themeColor="text1"/>
                <w:szCs w:val="24"/>
              </w:rPr>
              <w:t>60</w:t>
            </w:r>
          </w:p>
          <w:p w14:paraId="25561D45" w14:textId="07BA4DD0" w:rsidR="00D81ED6" w:rsidRDefault="00D81ED6">
            <w:pPr>
              <w:rPr>
                <w:rFonts w:ascii="Arial" w:hAnsi="Arial" w:cs="Arial"/>
                <w:color w:val="000000" w:themeColor="text1"/>
                <w:szCs w:val="24"/>
              </w:rPr>
            </w:pPr>
            <w:r>
              <w:rPr>
                <w:rFonts w:ascii="Arial" w:hAnsi="Arial" w:cs="Arial"/>
                <w:color w:val="000000" w:themeColor="text1"/>
                <w:szCs w:val="24"/>
              </w:rPr>
              <w:t>23.8%</w:t>
            </w:r>
          </w:p>
        </w:tc>
        <w:tc>
          <w:tcPr>
            <w:tcW w:w="1224" w:type="dxa"/>
          </w:tcPr>
          <w:p w14:paraId="470A7FC8" w14:textId="77777777" w:rsidR="00D81ED6" w:rsidRDefault="00D81ED6">
            <w:pPr>
              <w:rPr>
                <w:rFonts w:ascii="Arial" w:hAnsi="Arial" w:cs="Arial"/>
                <w:color w:val="000000" w:themeColor="text1"/>
                <w:szCs w:val="24"/>
              </w:rPr>
            </w:pPr>
            <w:r>
              <w:rPr>
                <w:rFonts w:ascii="Arial" w:hAnsi="Arial" w:cs="Arial"/>
                <w:color w:val="000000" w:themeColor="text1"/>
                <w:szCs w:val="24"/>
              </w:rPr>
              <w:t>233.3</w:t>
            </w:r>
          </w:p>
          <w:p w14:paraId="0A382054" w14:textId="77777777" w:rsidR="00D81ED6" w:rsidRDefault="00D81ED6">
            <w:pPr>
              <w:rPr>
                <w:rFonts w:ascii="Arial" w:hAnsi="Arial" w:cs="Arial"/>
                <w:color w:val="000000" w:themeColor="text1"/>
                <w:szCs w:val="24"/>
              </w:rPr>
            </w:pPr>
            <w:r>
              <w:rPr>
                <w:rFonts w:ascii="Arial" w:hAnsi="Arial" w:cs="Arial"/>
                <w:color w:val="000000" w:themeColor="text1"/>
                <w:szCs w:val="24"/>
              </w:rPr>
              <w:t>55.7</w:t>
            </w:r>
          </w:p>
          <w:p w14:paraId="73ADAA05" w14:textId="5C23A5BA" w:rsidR="00D81ED6" w:rsidRDefault="00D81ED6">
            <w:pPr>
              <w:rPr>
                <w:rFonts w:ascii="Arial" w:hAnsi="Arial" w:cs="Arial"/>
                <w:color w:val="000000" w:themeColor="text1"/>
                <w:szCs w:val="24"/>
              </w:rPr>
            </w:pPr>
            <w:r>
              <w:rPr>
                <w:rFonts w:ascii="Arial" w:hAnsi="Arial" w:cs="Arial"/>
                <w:color w:val="000000" w:themeColor="text1"/>
                <w:szCs w:val="24"/>
              </w:rPr>
              <w:t>23.9%</w:t>
            </w:r>
          </w:p>
        </w:tc>
      </w:tr>
      <w:tr w:rsidR="00D81ED6" w14:paraId="460BA280" w14:textId="77777777" w:rsidTr="00D81ED6">
        <w:tc>
          <w:tcPr>
            <w:tcW w:w="3397" w:type="dxa"/>
          </w:tcPr>
          <w:p w14:paraId="55441B5C" w14:textId="0F3E9FD1" w:rsidR="00D81ED6" w:rsidRPr="00571D25" w:rsidRDefault="00D81ED6">
            <w:pPr>
              <w:rPr>
                <w:rFonts w:ascii="Arial" w:hAnsi="Arial" w:cs="Arial"/>
                <w:color w:val="0070C0"/>
                <w:szCs w:val="24"/>
              </w:rPr>
            </w:pPr>
            <w:r w:rsidRPr="00571D25">
              <w:rPr>
                <w:rFonts w:ascii="Arial" w:hAnsi="Arial" w:cs="Arial"/>
                <w:color w:val="0070C0"/>
                <w:szCs w:val="24"/>
              </w:rPr>
              <w:t>Total product liability provision A$</w:t>
            </w:r>
          </w:p>
        </w:tc>
        <w:tc>
          <w:tcPr>
            <w:tcW w:w="993" w:type="dxa"/>
          </w:tcPr>
          <w:p w14:paraId="30DA71E3" w14:textId="7D6FAF67" w:rsidR="00D81ED6" w:rsidRDefault="00571D25">
            <w:pPr>
              <w:rPr>
                <w:rFonts w:ascii="Arial" w:hAnsi="Arial" w:cs="Arial"/>
                <w:color w:val="000000" w:themeColor="text1"/>
                <w:szCs w:val="24"/>
              </w:rPr>
            </w:pPr>
            <w:r>
              <w:rPr>
                <w:rFonts w:ascii="Arial" w:hAnsi="Arial" w:cs="Arial"/>
                <w:color w:val="000000" w:themeColor="text1"/>
                <w:szCs w:val="24"/>
              </w:rPr>
              <w:t>369.1</w:t>
            </w:r>
          </w:p>
        </w:tc>
        <w:tc>
          <w:tcPr>
            <w:tcW w:w="1134" w:type="dxa"/>
          </w:tcPr>
          <w:p w14:paraId="474FE6A8" w14:textId="255F9B4E" w:rsidR="00D81ED6" w:rsidRDefault="00571D25">
            <w:pPr>
              <w:rPr>
                <w:rFonts w:ascii="Arial" w:hAnsi="Arial" w:cs="Arial"/>
                <w:color w:val="000000" w:themeColor="text1"/>
                <w:szCs w:val="24"/>
              </w:rPr>
            </w:pPr>
            <w:r>
              <w:rPr>
                <w:rFonts w:ascii="Arial" w:hAnsi="Arial" w:cs="Arial"/>
                <w:color w:val="000000" w:themeColor="text1"/>
                <w:szCs w:val="24"/>
              </w:rPr>
              <w:t>350.7</w:t>
            </w:r>
          </w:p>
        </w:tc>
        <w:tc>
          <w:tcPr>
            <w:tcW w:w="1134" w:type="dxa"/>
          </w:tcPr>
          <w:p w14:paraId="5F50A906" w14:textId="15322C97" w:rsidR="00D81ED6" w:rsidRDefault="00571D25">
            <w:pPr>
              <w:rPr>
                <w:rFonts w:ascii="Arial" w:hAnsi="Arial" w:cs="Arial"/>
                <w:color w:val="000000" w:themeColor="text1"/>
                <w:szCs w:val="24"/>
              </w:rPr>
            </w:pPr>
            <w:r>
              <w:rPr>
                <w:rFonts w:ascii="Arial" w:hAnsi="Arial" w:cs="Arial"/>
                <w:color w:val="000000" w:themeColor="text1"/>
                <w:szCs w:val="24"/>
              </w:rPr>
              <w:t>334.5</w:t>
            </w:r>
          </w:p>
        </w:tc>
        <w:tc>
          <w:tcPr>
            <w:tcW w:w="1134" w:type="dxa"/>
          </w:tcPr>
          <w:p w14:paraId="34713DE5" w14:textId="290143F6" w:rsidR="00D81ED6" w:rsidRDefault="00571D25">
            <w:pPr>
              <w:rPr>
                <w:rFonts w:ascii="Arial" w:hAnsi="Arial" w:cs="Arial"/>
                <w:color w:val="000000" w:themeColor="text1"/>
                <w:szCs w:val="24"/>
              </w:rPr>
            </w:pPr>
            <w:r>
              <w:rPr>
                <w:rFonts w:ascii="Arial" w:hAnsi="Arial" w:cs="Arial"/>
                <w:color w:val="000000" w:themeColor="text1"/>
                <w:szCs w:val="24"/>
              </w:rPr>
              <w:t>312.4</w:t>
            </w:r>
          </w:p>
        </w:tc>
        <w:tc>
          <w:tcPr>
            <w:tcW w:w="1224" w:type="dxa"/>
          </w:tcPr>
          <w:p w14:paraId="7760578D" w14:textId="55654738" w:rsidR="00D81ED6" w:rsidRDefault="00571D25">
            <w:pPr>
              <w:rPr>
                <w:rFonts w:ascii="Arial" w:hAnsi="Arial" w:cs="Arial"/>
                <w:color w:val="000000" w:themeColor="text1"/>
                <w:szCs w:val="24"/>
              </w:rPr>
            </w:pPr>
            <w:r>
              <w:rPr>
                <w:rFonts w:ascii="Arial" w:hAnsi="Arial" w:cs="Arial"/>
                <w:color w:val="000000" w:themeColor="text1"/>
                <w:szCs w:val="24"/>
              </w:rPr>
              <w:t>289</w:t>
            </w:r>
          </w:p>
        </w:tc>
      </w:tr>
      <w:tr w:rsidR="00D81ED6" w14:paraId="6B714E1B" w14:textId="77777777" w:rsidTr="00D81ED6">
        <w:tc>
          <w:tcPr>
            <w:tcW w:w="3397" w:type="dxa"/>
          </w:tcPr>
          <w:p w14:paraId="4765E017" w14:textId="77777777" w:rsidR="00D81ED6" w:rsidRDefault="00D81ED6">
            <w:pPr>
              <w:rPr>
                <w:rFonts w:ascii="Arial" w:hAnsi="Arial" w:cs="Arial"/>
                <w:color w:val="000000" w:themeColor="text1"/>
                <w:szCs w:val="24"/>
              </w:rPr>
            </w:pPr>
          </w:p>
        </w:tc>
        <w:tc>
          <w:tcPr>
            <w:tcW w:w="993" w:type="dxa"/>
          </w:tcPr>
          <w:p w14:paraId="2A52B929" w14:textId="77777777" w:rsidR="00D81ED6" w:rsidRDefault="00D81ED6">
            <w:pPr>
              <w:rPr>
                <w:rFonts w:ascii="Arial" w:hAnsi="Arial" w:cs="Arial"/>
                <w:color w:val="000000" w:themeColor="text1"/>
                <w:szCs w:val="24"/>
              </w:rPr>
            </w:pPr>
          </w:p>
        </w:tc>
        <w:tc>
          <w:tcPr>
            <w:tcW w:w="1134" w:type="dxa"/>
          </w:tcPr>
          <w:p w14:paraId="42961576" w14:textId="77777777" w:rsidR="00D81ED6" w:rsidRDefault="00D81ED6">
            <w:pPr>
              <w:rPr>
                <w:rFonts w:ascii="Arial" w:hAnsi="Arial" w:cs="Arial"/>
                <w:color w:val="000000" w:themeColor="text1"/>
                <w:szCs w:val="24"/>
              </w:rPr>
            </w:pPr>
          </w:p>
        </w:tc>
        <w:tc>
          <w:tcPr>
            <w:tcW w:w="1134" w:type="dxa"/>
          </w:tcPr>
          <w:p w14:paraId="12C23938" w14:textId="77777777" w:rsidR="00D81ED6" w:rsidRDefault="00D81ED6">
            <w:pPr>
              <w:rPr>
                <w:rFonts w:ascii="Arial" w:hAnsi="Arial" w:cs="Arial"/>
                <w:color w:val="000000" w:themeColor="text1"/>
                <w:szCs w:val="24"/>
              </w:rPr>
            </w:pPr>
          </w:p>
        </w:tc>
        <w:tc>
          <w:tcPr>
            <w:tcW w:w="1134" w:type="dxa"/>
          </w:tcPr>
          <w:p w14:paraId="4019DBA8" w14:textId="77777777" w:rsidR="00D81ED6" w:rsidRDefault="00D81ED6">
            <w:pPr>
              <w:rPr>
                <w:rFonts w:ascii="Arial" w:hAnsi="Arial" w:cs="Arial"/>
                <w:color w:val="000000" w:themeColor="text1"/>
                <w:szCs w:val="24"/>
              </w:rPr>
            </w:pPr>
          </w:p>
        </w:tc>
        <w:tc>
          <w:tcPr>
            <w:tcW w:w="1224" w:type="dxa"/>
          </w:tcPr>
          <w:p w14:paraId="3B0C8C5B" w14:textId="77777777" w:rsidR="00D81ED6" w:rsidRDefault="00D81ED6">
            <w:pPr>
              <w:rPr>
                <w:rFonts w:ascii="Arial" w:hAnsi="Arial" w:cs="Arial"/>
                <w:color w:val="000000" w:themeColor="text1"/>
                <w:szCs w:val="24"/>
              </w:rPr>
            </w:pPr>
          </w:p>
        </w:tc>
      </w:tr>
      <w:tr w:rsidR="00D81ED6" w14:paraId="4C478A87" w14:textId="77777777" w:rsidTr="00D81ED6">
        <w:tc>
          <w:tcPr>
            <w:tcW w:w="3397" w:type="dxa"/>
          </w:tcPr>
          <w:p w14:paraId="74CE53D9" w14:textId="77777777" w:rsidR="00D81ED6" w:rsidRDefault="00D81ED6">
            <w:pPr>
              <w:rPr>
                <w:rFonts w:ascii="Arial" w:hAnsi="Arial" w:cs="Arial"/>
                <w:color w:val="000000" w:themeColor="text1"/>
                <w:szCs w:val="24"/>
              </w:rPr>
            </w:pPr>
          </w:p>
        </w:tc>
        <w:tc>
          <w:tcPr>
            <w:tcW w:w="993" w:type="dxa"/>
          </w:tcPr>
          <w:p w14:paraId="2A73975B" w14:textId="77777777" w:rsidR="00D81ED6" w:rsidRDefault="00D81ED6">
            <w:pPr>
              <w:rPr>
                <w:rFonts w:ascii="Arial" w:hAnsi="Arial" w:cs="Arial"/>
                <w:color w:val="000000" w:themeColor="text1"/>
                <w:szCs w:val="24"/>
              </w:rPr>
            </w:pPr>
          </w:p>
        </w:tc>
        <w:tc>
          <w:tcPr>
            <w:tcW w:w="1134" w:type="dxa"/>
          </w:tcPr>
          <w:p w14:paraId="2F824AB6" w14:textId="77777777" w:rsidR="00D81ED6" w:rsidRDefault="00D81ED6">
            <w:pPr>
              <w:rPr>
                <w:rFonts w:ascii="Arial" w:hAnsi="Arial" w:cs="Arial"/>
                <w:color w:val="000000" w:themeColor="text1"/>
                <w:szCs w:val="24"/>
              </w:rPr>
            </w:pPr>
          </w:p>
        </w:tc>
        <w:tc>
          <w:tcPr>
            <w:tcW w:w="1134" w:type="dxa"/>
          </w:tcPr>
          <w:p w14:paraId="3478FAFD" w14:textId="77777777" w:rsidR="00D81ED6" w:rsidRDefault="00D81ED6">
            <w:pPr>
              <w:rPr>
                <w:rFonts w:ascii="Arial" w:hAnsi="Arial" w:cs="Arial"/>
                <w:color w:val="000000" w:themeColor="text1"/>
                <w:szCs w:val="24"/>
              </w:rPr>
            </w:pPr>
          </w:p>
        </w:tc>
        <w:tc>
          <w:tcPr>
            <w:tcW w:w="1134" w:type="dxa"/>
          </w:tcPr>
          <w:p w14:paraId="204191B5" w14:textId="77777777" w:rsidR="00D81ED6" w:rsidRDefault="00D81ED6">
            <w:pPr>
              <w:rPr>
                <w:rFonts w:ascii="Arial" w:hAnsi="Arial" w:cs="Arial"/>
                <w:color w:val="000000" w:themeColor="text1"/>
                <w:szCs w:val="24"/>
              </w:rPr>
            </w:pPr>
          </w:p>
        </w:tc>
        <w:tc>
          <w:tcPr>
            <w:tcW w:w="1224" w:type="dxa"/>
          </w:tcPr>
          <w:p w14:paraId="0E7F7F69" w14:textId="77777777" w:rsidR="00D81ED6" w:rsidRDefault="00D81ED6">
            <w:pPr>
              <w:rPr>
                <w:rFonts w:ascii="Arial" w:hAnsi="Arial" w:cs="Arial"/>
                <w:color w:val="000000" w:themeColor="text1"/>
                <w:szCs w:val="24"/>
              </w:rPr>
            </w:pPr>
          </w:p>
        </w:tc>
      </w:tr>
    </w:tbl>
    <w:p w14:paraId="77AD1415" w14:textId="77777777" w:rsidR="002B313A" w:rsidRPr="002B313A" w:rsidRDefault="002B313A">
      <w:pPr>
        <w:rPr>
          <w:rFonts w:ascii="Arial" w:hAnsi="Arial" w:cs="Arial"/>
          <w:color w:val="000000" w:themeColor="text1"/>
          <w:szCs w:val="24"/>
        </w:rPr>
      </w:pPr>
    </w:p>
    <w:p w14:paraId="10A58D7E" w14:textId="3A31DFB5" w:rsidR="00026CFF" w:rsidRDefault="00026CFF">
      <w:pPr>
        <w:rPr>
          <w:rFonts w:ascii="Arial" w:hAnsi="Arial" w:cs="Arial"/>
          <w:sz w:val="24"/>
          <w:szCs w:val="24"/>
        </w:rPr>
      </w:pPr>
    </w:p>
    <w:p w14:paraId="617D4218" w14:textId="1D5D75ED" w:rsidR="00026CFF" w:rsidRDefault="00026CFF">
      <w:pPr>
        <w:rPr>
          <w:rFonts w:ascii="Arial" w:hAnsi="Arial" w:cs="Arial"/>
          <w:sz w:val="24"/>
          <w:szCs w:val="24"/>
        </w:rPr>
      </w:pPr>
    </w:p>
    <w:p w14:paraId="20E6E427" w14:textId="77777777" w:rsidR="00BF2822" w:rsidRDefault="00BF2822">
      <w:pPr>
        <w:rPr>
          <w:rFonts w:ascii="Arial" w:hAnsi="Arial" w:cs="Arial"/>
          <w:sz w:val="24"/>
          <w:szCs w:val="24"/>
        </w:rPr>
      </w:pPr>
    </w:p>
    <w:p w14:paraId="5B9EA5D6" w14:textId="704CE9C4" w:rsidR="00760E3A" w:rsidRDefault="00760E3A">
      <w:pPr>
        <w:rPr>
          <w:rFonts w:ascii="Arial" w:hAnsi="Arial" w:cs="Arial"/>
          <w:sz w:val="24"/>
          <w:szCs w:val="24"/>
        </w:rPr>
      </w:pPr>
    </w:p>
    <w:p w14:paraId="51B0FB0A" w14:textId="77777777" w:rsidR="00760E3A" w:rsidRPr="00BF2822" w:rsidRDefault="00760E3A">
      <w:pPr>
        <w:rPr>
          <w:rFonts w:ascii="Arial" w:hAnsi="Arial" w:cs="Arial"/>
          <w:color w:val="FF0000"/>
          <w:sz w:val="28"/>
          <w:szCs w:val="24"/>
        </w:rPr>
      </w:pPr>
    </w:p>
    <w:p w14:paraId="57786A3A" w14:textId="0D9B8BC6" w:rsidR="00362A89" w:rsidRPr="00BF2822" w:rsidRDefault="00362A89">
      <w:pPr>
        <w:rPr>
          <w:rFonts w:ascii="Arial" w:hAnsi="Arial" w:cs="Arial"/>
          <w:color w:val="FF0000"/>
          <w:sz w:val="28"/>
          <w:szCs w:val="24"/>
        </w:rPr>
      </w:pPr>
      <w:r w:rsidRPr="00BF2822">
        <w:rPr>
          <w:rFonts w:ascii="Arial" w:hAnsi="Arial" w:cs="Arial"/>
          <w:color w:val="FF0000"/>
          <w:sz w:val="28"/>
          <w:szCs w:val="24"/>
        </w:rPr>
        <w:t>Responsibility and Sustainability</w:t>
      </w:r>
    </w:p>
    <w:p w14:paraId="234DD5F1" w14:textId="77777777" w:rsidR="00760E3A" w:rsidRDefault="00760E3A">
      <w:pPr>
        <w:rPr>
          <w:rFonts w:ascii="Arial" w:hAnsi="Arial" w:cs="Arial"/>
          <w:sz w:val="24"/>
          <w:szCs w:val="24"/>
        </w:rPr>
      </w:pPr>
    </w:p>
    <w:p w14:paraId="60692F92" w14:textId="503EEEED" w:rsidR="00362A89" w:rsidRDefault="00362A89">
      <w:pPr>
        <w:rPr>
          <w:rFonts w:ascii="Arial" w:hAnsi="Arial" w:cs="Arial"/>
          <w:sz w:val="24"/>
          <w:szCs w:val="24"/>
        </w:rPr>
      </w:pPr>
      <w:r>
        <w:rPr>
          <w:rFonts w:ascii="Arial" w:hAnsi="Arial" w:cs="Arial"/>
          <w:sz w:val="24"/>
          <w:szCs w:val="24"/>
        </w:rPr>
        <w:t>As we know that not only the business is our responsibility to look the environment and the society must be our view as well. Australia is driest country on earth because of which CSR recognised the importance of using water efficiency. If w</w:t>
      </w:r>
      <w:r w:rsidR="00760E3A">
        <w:rPr>
          <w:rFonts w:ascii="Arial" w:hAnsi="Arial" w:cs="Arial"/>
          <w:sz w:val="24"/>
          <w:szCs w:val="24"/>
        </w:rPr>
        <w:t>e</w:t>
      </w:r>
      <w:r>
        <w:rPr>
          <w:rFonts w:ascii="Arial" w:hAnsi="Arial" w:cs="Arial"/>
          <w:sz w:val="24"/>
          <w:szCs w:val="24"/>
        </w:rPr>
        <w:t xml:space="preserve"> see the history of CSR, their stormwater and disposal of water used at their manufacturing facilities are central to on site </w:t>
      </w:r>
      <w:r w:rsidR="00760E3A">
        <w:rPr>
          <w:rFonts w:ascii="Arial" w:hAnsi="Arial" w:cs="Arial"/>
          <w:sz w:val="24"/>
          <w:szCs w:val="24"/>
        </w:rPr>
        <w:t>environmental</w:t>
      </w:r>
      <w:r>
        <w:rPr>
          <w:rFonts w:ascii="Arial" w:hAnsi="Arial" w:cs="Arial"/>
          <w:sz w:val="24"/>
          <w:szCs w:val="24"/>
        </w:rPr>
        <w:t xml:space="preserve"> plans.</w:t>
      </w:r>
    </w:p>
    <w:p w14:paraId="1960C81A" w14:textId="77777777" w:rsidR="005309E7" w:rsidRDefault="005309E7">
      <w:pPr>
        <w:rPr>
          <w:rFonts w:ascii="Arial" w:hAnsi="Arial" w:cs="Arial"/>
          <w:sz w:val="24"/>
          <w:szCs w:val="24"/>
        </w:rPr>
      </w:pPr>
    </w:p>
    <w:p w14:paraId="573C7C26" w14:textId="77777777" w:rsidR="00760E3A" w:rsidRDefault="00760E3A">
      <w:pPr>
        <w:rPr>
          <w:rFonts w:ascii="Arial" w:hAnsi="Arial" w:cs="Arial"/>
          <w:sz w:val="24"/>
          <w:szCs w:val="24"/>
        </w:rPr>
      </w:pPr>
    </w:p>
    <w:p w14:paraId="384C4C27" w14:textId="7C153C10" w:rsidR="00760E3A" w:rsidRDefault="00760E3A">
      <w:pPr>
        <w:rPr>
          <w:rFonts w:ascii="Arial" w:hAnsi="Arial" w:cs="Arial"/>
          <w:sz w:val="24"/>
          <w:szCs w:val="24"/>
        </w:rPr>
      </w:pPr>
      <w:r>
        <w:rPr>
          <w:noProof/>
          <w:lang w:eastAsia="en-AU"/>
        </w:rPr>
        <w:drawing>
          <wp:inline distT="0" distB="0" distL="0" distR="0" wp14:anchorId="77C2FF75" wp14:editId="086C9773">
            <wp:extent cx="6067425" cy="3209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425" cy="3209925"/>
                    </a:xfrm>
                    <a:prstGeom prst="rect">
                      <a:avLst/>
                    </a:prstGeom>
                    <a:noFill/>
                    <a:ln>
                      <a:noFill/>
                    </a:ln>
                  </pic:spPr>
                </pic:pic>
              </a:graphicData>
            </a:graphic>
          </wp:inline>
        </w:drawing>
      </w:r>
    </w:p>
    <w:p w14:paraId="0C4FA176" w14:textId="1212704A" w:rsidR="00011DA9" w:rsidRDefault="00011DA9" w:rsidP="00011DA9">
      <w:pPr>
        <w:ind w:left="1440" w:firstLine="720"/>
        <w:rPr>
          <w:rFonts w:ascii="Arial" w:hAnsi="Arial" w:cs="Arial"/>
          <w:sz w:val="24"/>
          <w:szCs w:val="24"/>
        </w:rPr>
      </w:pPr>
      <w:r>
        <w:rPr>
          <w:rFonts w:ascii="Arial" w:hAnsi="Arial" w:cs="Arial"/>
          <w:sz w:val="24"/>
          <w:szCs w:val="24"/>
        </w:rPr>
        <w:t xml:space="preserve">          Fig: Potable water consumed</w:t>
      </w:r>
    </w:p>
    <w:p w14:paraId="55B73AFB" w14:textId="77777777" w:rsidR="00011DA9" w:rsidRDefault="00011DA9" w:rsidP="00011DA9">
      <w:pPr>
        <w:ind w:left="2160" w:firstLine="720"/>
        <w:rPr>
          <w:rFonts w:ascii="Arial" w:hAnsi="Arial" w:cs="Arial"/>
          <w:sz w:val="24"/>
          <w:szCs w:val="24"/>
        </w:rPr>
      </w:pPr>
    </w:p>
    <w:p w14:paraId="010A2FA1" w14:textId="45020484" w:rsidR="00760E3A" w:rsidRDefault="00760E3A">
      <w:pPr>
        <w:rPr>
          <w:rFonts w:ascii="Arial" w:hAnsi="Arial" w:cs="Arial"/>
          <w:sz w:val="24"/>
          <w:szCs w:val="24"/>
        </w:rPr>
      </w:pPr>
      <w:r>
        <w:rPr>
          <w:rFonts w:ascii="Arial" w:hAnsi="Arial" w:cs="Arial"/>
          <w:sz w:val="24"/>
          <w:szCs w:val="24"/>
        </w:rPr>
        <w:t>If we compared CSR report of water consumed, it was 1037838 kilolitres of potable water during the year ended 30</w:t>
      </w:r>
      <w:r w:rsidRPr="00760E3A">
        <w:rPr>
          <w:rFonts w:ascii="Arial" w:hAnsi="Arial" w:cs="Arial"/>
          <w:sz w:val="24"/>
          <w:szCs w:val="24"/>
          <w:vertAlign w:val="superscript"/>
        </w:rPr>
        <w:t>th</w:t>
      </w:r>
      <w:r>
        <w:rPr>
          <w:rFonts w:ascii="Arial" w:hAnsi="Arial" w:cs="Arial"/>
          <w:sz w:val="24"/>
          <w:szCs w:val="24"/>
        </w:rPr>
        <w:t xml:space="preserve"> June 2017 and 30</w:t>
      </w:r>
      <w:r w:rsidRPr="00760E3A">
        <w:rPr>
          <w:rFonts w:ascii="Arial" w:hAnsi="Arial" w:cs="Arial"/>
          <w:sz w:val="24"/>
          <w:szCs w:val="24"/>
          <w:vertAlign w:val="superscript"/>
        </w:rPr>
        <w:t>th</w:t>
      </w:r>
      <w:r>
        <w:rPr>
          <w:rFonts w:ascii="Arial" w:hAnsi="Arial" w:cs="Arial"/>
          <w:sz w:val="24"/>
          <w:szCs w:val="24"/>
        </w:rPr>
        <w:t xml:space="preserve"> June 2016 it was 931853 kilolitres which is around 11% higher because of higher production. Now CSR are trying to implement water saving measures across manufacturing site to reduce excess amount water.</w:t>
      </w:r>
    </w:p>
    <w:p w14:paraId="797412CB" w14:textId="7501E397" w:rsidR="00760E3A" w:rsidRDefault="00760E3A">
      <w:pPr>
        <w:rPr>
          <w:rFonts w:ascii="Arial" w:hAnsi="Arial" w:cs="Arial"/>
          <w:sz w:val="24"/>
          <w:szCs w:val="24"/>
        </w:rPr>
      </w:pPr>
    </w:p>
    <w:p w14:paraId="6484FCC8" w14:textId="0A7D7A7E" w:rsidR="00760E3A" w:rsidRDefault="00760E3A">
      <w:pPr>
        <w:rPr>
          <w:rFonts w:ascii="Arial" w:hAnsi="Arial" w:cs="Arial"/>
          <w:sz w:val="24"/>
          <w:szCs w:val="24"/>
        </w:rPr>
      </w:pPr>
      <w:r>
        <w:rPr>
          <w:rFonts w:ascii="Arial" w:hAnsi="Arial" w:cs="Arial"/>
          <w:sz w:val="24"/>
          <w:szCs w:val="24"/>
        </w:rPr>
        <w:t>If we look back to the waste</w:t>
      </w:r>
      <w:r w:rsidR="00011DA9">
        <w:rPr>
          <w:rFonts w:ascii="Arial" w:hAnsi="Arial" w:cs="Arial"/>
          <w:sz w:val="24"/>
          <w:szCs w:val="24"/>
        </w:rPr>
        <w:t>, to reduce the waste is also the key priority to the company. Now CSR are using recycled material as much as they can like, using recycled glass cullet in the production of Braford glass wools insultation and recycled paper are used Gyprock plaster board.</w:t>
      </w:r>
    </w:p>
    <w:p w14:paraId="3FC6FEB7" w14:textId="77777777" w:rsidR="00011DA9" w:rsidRDefault="00011DA9">
      <w:pPr>
        <w:rPr>
          <w:rFonts w:ascii="Arial" w:hAnsi="Arial" w:cs="Arial"/>
          <w:sz w:val="24"/>
          <w:szCs w:val="24"/>
        </w:rPr>
      </w:pPr>
    </w:p>
    <w:p w14:paraId="69F70432" w14:textId="50269755" w:rsidR="00011DA9" w:rsidRDefault="00011DA9">
      <w:pPr>
        <w:rPr>
          <w:rFonts w:ascii="Arial" w:hAnsi="Arial" w:cs="Arial"/>
          <w:sz w:val="24"/>
          <w:szCs w:val="24"/>
        </w:rPr>
      </w:pPr>
      <w:r>
        <w:rPr>
          <w:noProof/>
          <w:lang w:eastAsia="en-AU"/>
        </w:rPr>
        <w:drawing>
          <wp:inline distT="0" distB="0" distL="0" distR="0" wp14:anchorId="03903B9B" wp14:editId="19591B6A">
            <wp:extent cx="589280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1139" cy="2575389"/>
                    </a:xfrm>
                    <a:prstGeom prst="rect">
                      <a:avLst/>
                    </a:prstGeom>
                    <a:noFill/>
                    <a:ln>
                      <a:noFill/>
                    </a:ln>
                  </pic:spPr>
                </pic:pic>
              </a:graphicData>
            </a:graphic>
          </wp:inline>
        </w:drawing>
      </w:r>
    </w:p>
    <w:p w14:paraId="73888472" w14:textId="686A946E" w:rsidR="00011DA9" w:rsidRDefault="00011DA9" w:rsidP="00011DA9">
      <w:pPr>
        <w:ind w:left="2880" w:firstLine="720"/>
        <w:rPr>
          <w:rFonts w:ascii="Arial" w:hAnsi="Arial" w:cs="Arial"/>
          <w:sz w:val="24"/>
          <w:szCs w:val="24"/>
        </w:rPr>
      </w:pPr>
      <w:r>
        <w:rPr>
          <w:rFonts w:ascii="Arial" w:hAnsi="Arial" w:cs="Arial"/>
          <w:sz w:val="24"/>
          <w:szCs w:val="24"/>
        </w:rPr>
        <w:t>Fig: Solid waste</w:t>
      </w:r>
    </w:p>
    <w:p w14:paraId="356A85F6" w14:textId="30E9444B" w:rsidR="00011DA9" w:rsidRDefault="00011DA9" w:rsidP="00011DA9">
      <w:pPr>
        <w:rPr>
          <w:rFonts w:ascii="Arial" w:hAnsi="Arial" w:cs="Arial"/>
          <w:sz w:val="24"/>
          <w:szCs w:val="24"/>
        </w:rPr>
      </w:pPr>
      <w:r>
        <w:rPr>
          <w:rFonts w:ascii="Arial" w:hAnsi="Arial" w:cs="Arial"/>
          <w:sz w:val="24"/>
          <w:szCs w:val="24"/>
        </w:rPr>
        <w:t xml:space="preserve">From above picture we can clearly see that the no of solid waste </w:t>
      </w:r>
      <w:r w:rsidR="005309E7">
        <w:rPr>
          <w:rFonts w:ascii="Arial" w:hAnsi="Arial" w:cs="Arial"/>
          <w:sz w:val="24"/>
          <w:szCs w:val="24"/>
        </w:rPr>
        <w:t>is</w:t>
      </w:r>
      <w:r>
        <w:rPr>
          <w:rFonts w:ascii="Arial" w:hAnsi="Arial" w:cs="Arial"/>
          <w:sz w:val="24"/>
          <w:szCs w:val="24"/>
        </w:rPr>
        <w:t xml:space="preserve"> decreasing year by year. If we look on year 2017, 18684 tonnes of solid waste produced by CSR where as in year in year 2016, there was 20844. In year 2015, it was recorded 209</w:t>
      </w:r>
      <w:r w:rsidR="005309E7">
        <w:rPr>
          <w:rFonts w:ascii="Arial" w:hAnsi="Arial" w:cs="Arial"/>
          <w:sz w:val="24"/>
          <w:szCs w:val="24"/>
        </w:rPr>
        <w:t>54 tonnes. If we compared between year ended 2016 &amp; 2017, 11% down on the previous year despite higher level of production activity.</w:t>
      </w:r>
    </w:p>
    <w:p w14:paraId="40CA4527" w14:textId="7232A509" w:rsidR="005309E7" w:rsidRDefault="005309E7" w:rsidP="00011DA9">
      <w:pPr>
        <w:rPr>
          <w:rFonts w:ascii="Arial" w:hAnsi="Arial" w:cs="Arial"/>
          <w:sz w:val="24"/>
          <w:szCs w:val="24"/>
        </w:rPr>
      </w:pPr>
      <w:r>
        <w:rPr>
          <w:rFonts w:ascii="Arial" w:hAnsi="Arial" w:cs="Arial"/>
          <w:sz w:val="24"/>
          <w:szCs w:val="24"/>
        </w:rPr>
        <w:t>CSR also aiming for the zero environmental incident. CSR made environmental incident report based on 5 level of breaches which are reported to regulatory authorities.</w:t>
      </w:r>
    </w:p>
    <w:p w14:paraId="680A5E1E" w14:textId="59190CCF" w:rsidR="005309E7" w:rsidRDefault="005309E7" w:rsidP="00011DA9">
      <w:pPr>
        <w:rPr>
          <w:noProof/>
        </w:rPr>
      </w:pPr>
      <w:r>
        <w:rPr>
          <w:noProof/>
        </w:rPr>
        <w:t xml:space="preserve"> </w:t>
      </w:r>
      <w:r>
        <w:rPr>
          <w:noProof/>
        </w:rPr>
        <w:tab/>
      </w:r>
      <w:r>
        <w:rPr>
          <w:noProof/>
        </w:rPr>
        <w:tab/>
      </w:r>
      <w:r>
        <w:rPr>
          <w:noProof/>
        </w:rPr>
        <w:tab/>
      </w:r>
      <w:r>
        <w:rPr>
          <w:noProof/>
          <w:lang w:eastAsia="en-AU"/>
        </w:rPr>
        <w:drawing>
          <wp:inline distT="0" distB="0" distL="0" distR="0" wp14:anchorId="14780105" wp14:editId="6822E776">
            <wp:extent cx="3529683"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4270" cy="2689541"/>
                    </a:xfrm>
                    <a:prstGeom prst="rect">
                      <a:avLst/>
                    </a:prstGeom>
                    <a:noFill/>
                    <a:ln>
                      <a:noFill/>
                    </a:ln>
                  </pic:spPr>
                </pic:pic>
              </a:graphicData>
            </a:graphic>
          </wp:inline>
        </w:drawing>
      </w:r>
    </w:p>
    <w:p w14:paraId="76BAC2A2" w14:textId="0E1881E9" w:rsidR="005309E7" w:rsidRDefault="005309E7" w:rsidP="005309E7">
      <w:pPr>
        <w:ind w:left="2160"/>
        <w:rPr>
          <w:rFonts w:ascii="Arial" w:hAnsi="Arial" w:cs="Arial"/>
          <w:noProof/>
          <w:sz w:val="24"/>
          <w:szCs w:val="24"/>
        </w:rPr>
      </w:pPr>
      <w:r>
        <w:rPr>
          <w:rFonts w:ascii="Arial" w:hAnsi="Arial" w:cs="Arial"/>
          <w:noProof/>
          <w:sz w:val="24"/>
          <w:szCs w:val="24"/>
        </w:rPr>
        <w:t xml:space="preserve">      </w:t>
      </w:r>
      <w:r w:rsidRPr="005309E7">
        <w:rPr>
          <w:rFonts w:ascii="Arial" w:hAnsi="Arial" w:cs="Arial"/>
          <w:noProof/>
          <w:sz w:val="24"/>
          <w:szCs w:val="24"/>
        </w:rPr>
        <w:t>Fig: Environmental incident report</w:t>
      </w:r>
    </w:p>
    <w:p w14:paraId="5D3C7F51" w14:textId="679C5D7B" w:rsidR="005309E7" w:rsidRDefault="005309E7" w:rsidP="005309E7">
      <w:pPr>
        <w:rPr>
          <w:rFonts w:ascii="Arial" w:hAnsi="Arial" w:cs="Arial"/>
          <w:noProof/>
          <w:sz w:val="24"/>
          <w:szCs w:val="24"/>
        </w:rPr>
      </w:pPr>
      <w:r>
        <w:rPr>
          <w:rFonts w:ascii="Arial" w:hAnsi="Arial" w:cs="Arial"/>
          <w:noProof/>
          <w:sz w:val="24"/>
          <w:szCs w:val="24"/>
        </w:rPr>
        <w:t>In year 2017, CSR incurred 136 environment incident as compared to 111 incident in the previous year following increase in level of production.</w:t>
      </w:r>
    </w:p>
    <w:p w14:paraId="74BB253A" w14:textId="0DC76E9B" w:rsidR="005309E7" w:rsidRDefault="005309E7" w:rsidP="005309E7">
      <w:pPr>
        <w:rPr>
          <w:rFonts w:ascii="Arial" w:hAnsi="Arial" w:cs="Arial"/>
          <w:noProof/>
          <w:sz w:val="24"/>
          <w:szCs w:val="24"/>
        </w:rPr>
      </w:pPr>
      <w:r>
        <w:rPr>
          <w:rFonts w:ascii="Arial" w:hAnsi="Arial" w:cs="Arial"/>
          <w:noProof/>
          <w:sz w:val="24"/>
          <w:szCs w:val="24"/>
        </w:rPr>
        <w:t xml:space="preserve">Level 3 incident occurred in 2017, when Dam 1 &amp; 5 at </w:t>
      </w:r>
      <w:r w:rsidR="00FF60CB">
        <w:rPr>
          <w:rFonts w:ascii="Arial" w:hAnsi="Arial" w:cs="Arial"/>
          <w:noProof/>
          <w:sz w:val="24"/>
          <w:szCs w:val="24"/>
        </w:rPr>
        <w:t>the PHG Bringelly trick factory over spilled due to heavy rain and breached the discharge limit of turbidity.</w:t>
      </w:r>
    </w:p>
    <w:p w14:paraId="36EAD5D9" w14:textId="6A1ABFBE" w:rsidR="00FF60CB" w:rsidRDefault="00FF60CB" w:rsidP="005309E7">
      <w:pPr>
        <w:rPr>
          <w:rFonts w:ascii="Arial" w:hAnsi="Arial" w:cs="Arial"/>
          <w:noProof/>
          <w:sz w:val="24"/>
          <w:szCs w:val="24"/>
        </w:rPr>
      </w:pPr>
    </w:p>
    <w:p w14:paraId="1F3ADB07" w14:textId="0D9B9E70" w:rsidR="00FF60CB" w:rsidRDefault="00FF60CB" w:rsidP="005309E7">
      <w:pPr>
        <w:rPr>
          <w:rFonts w:ascii="Arial" w:hAnsi="Arial" w:cs="Arial"/>
          <w:noProof/>
          <w:sz w:val="24"/>
          <w:szCs w:val="24"/>
        </w:rPr>
      </w:pPr>
      <w:r>
        <w:rPr>
          <w:rFonts w:ascii="Arial" w:hAnsi="Arial" w:cs="Arial"/>
          <w:noProof/>
          <w:sz w:val="24"/>
          <w:szCs w:val="24"/>
        </w:rPr>
        <w:t>Sustainability is a process where companies manage their</w:t>
      </w:r>
      <w:r w:rsidR="009C53CB">
        <w:rPr>
          <w:rFonts w:ascii="Arial" w:hAnsi="Arial" w:cs="Arial"/>
          <w:noProof/>
          <w:sz w:val="24"/>
          <w:szCs w:val="24"/>
        </w:rPr>
        <w:t xml:space="preserve"> triple botom line-</w:t>
      </w:r>
      <w:r>
        <w:rPr>
          <w:rFonts w:ascii="Arial" w:hAnsi="Arial" w:cs="Arial"/>
          <w:noProof/>
          <w:sz w:val="24"/>
          <w:szCs w:val="24"/>
        </w:rPr>
        <w:t xml:space="preserve"> fanincial, social and environmental risks, obligation and opportunities. These are the main three impact </w:t>
      </w:r>
      <w:r w:rsidR="009C53CB">
        <w:rPr>
          <w:rFonts w:ascii="Arial" w:hAnsi="Arial" w:cs="Arial"/>
          <w:noProof/>
          <w:sz w:val="24"/>
          <w:szCs w:val="24"/>
        </w:rPr>
        <w:t xml:space="preserve">that sometimes reffered as planet, people and the profit. As we know that the business sustanability represents resiliency over time- business that can survive shocks because they are inimately connected to healthy economic, environmental and social system where business creates economic value and contribute to strong communkities and healthy ecosystems. CSR has very good relationship with the people and the commumnity. Usually they seek to engage withcommunities around all their sites to improve communication adress the main issue. </w:t>
      </w:r>
    </w:p>
    <w:p w14:paraId="013033A7" w14:textId="4C0289A3" w:rsidR="009C53CB" w:rsidRDefault="0073443A" w:rsidP="005309E7">
      <w:pPr>
        <w:rPr>
          <w:rFonts w:ascii="Arial" w:hAnsi="Arial" w:cs="Arial"/>
          <w:noProof/>
          <w:sz w:val="24"/>
          <w:szCs w:val="24"/>
        </w:rPr>
      </w:pPr>
      <w:r>
        <w:rPr>
          <w:rFonts w:ascii="Arial" w:hAnsi="Arial" w:cs="Arial"/>
          <w:noProof/>
          <w:sz w:val="24"/>
          <w:szCs w:val="24"/>
        </w:rPr>
        <w:t xml:space="preserve">BHG bridge formed a new community consultative committee of key stakeholders of the brick site at bringely in year  2016, in NSW, Australia. This group are helping to resolve the matter raised by the community and minimise impact on that area. </w:t>
      </w:r>
    </w:p>
    <w:p w14:paraId="18670709" w14:textId="4E8EC648" w:rsidR="0073443A" w:rsidRDefault="0073443A" w:rsidP="005309E7">
      <w:pPr>
        <w:rPr>
          <w:rFonts w:ascii="Arial" w:hAnsi="Arial" w:cs="Arial"/>
          <w:noProof/>
          <w:sz w:val="24"/>
          <w:szCs w:val="24"/>
        </w:rPr>
      </w:pPr>
      <w:r>
        <w:rPr>
          <w:rFonts w:ascii="Arial" w:hAnsi="Arial" w:cs="Arial"/>
          <w:noProof/>
          <w:sz w:val="24"/>
          <w:szCs w:val="24"/>
        </w:rPr>
        <w:t>One of the most important core component of their community involvement in the CSR Community support program which was formed in 2003 at that period CSR and their employee were donating $3 million to the charity and in year 2017, they donate $101635 to three main charatible organisation. They were</w:t>
      </w:r>
      <w:r w:rsidR="00571CFD">
        <w:rPr>
          <w:rFonts w:ascii="Arial" w:hAnsi="Arial" w:cs="Arial"/>
          <w:noProof/>
          <w:sz w:val="24"/>
          <w:szCs w:val="24"/>
        </w:rPr>
        <w:t>:</w:t>
      </w:r>
      <w:r>
        <w:rPr>
          <w:rFonts w:ascii="Arial" w:hAnsi="Arial" w:cs="Arial"/>
          <w:noProof/>
          <w:sz w:val="24"/>
          <w:szCs w:val="24"/>
        </w:rPr>
        <w:t xml:space="preserve"> Assistance Dog Australia- it is a national charity which train Labradors &amp; Golden Retire</w:t>
      </w:r>
      <w:r w:rsidR="00571CFD">
        <w:rPr>
          <w:rFonts w:ascii="Arial" w:hAnsi="Arial" w:cs="Arial"/>
          <w:noProof/>
          <w:sz w:val="24"/>
          <w:szCs w:val="24"/>
        </w:rPr>
        <w:t>vers to help people with physical disability, Youth Of The Street- it is the specific charity which help young people or alienation from family &amp; community and homeless, The Salvation Army- this one is the national charity which supports every problems “from the cradle to the grave”. They usually offer services to aged care facility, sucide prevention and the crisis accommodation.</w:t>
      </w:r>
      <w:r w:rsidR="00706CC1">
        <w:rPr>
          <w:rFonts w:ascii="Arial" w:hAnsi="Arial" w:cs="Arial"/>
          <w:noProof/>
          <w:sz w:val="24"/>
          <w:szCs w:val="24"/>
        </w:rPr>
        <w:t xml:space="preserve"> Because of which company makes place in the people heart and on the brain and thus company can earn or go for long period on the market.  </w:t>
      </w:r>
    </w:p>
    <w:p w14:paraId="5659A660" w14:textId="48509222" w:rsidR="002D1A5A" w:rsidRDefault="002D1A5A" w:rsidP="005309E7">
      <w:pPr>
        <w:rPr>
          <w:rFonts w:ascii="Arial" w:hAnsi="Arial" w:cs="Arial"/>
          <w:noProof/>
          <w:sz w:val="24"/>
          <w:szCs w:val="24"/>
        </w:rPr>
      </w:pPr>
    </w:p>
    <w:p w14:paraId="34B8A429" w14:textId="54ECC6AD" w:rsidR="002D1A5A" w:rsidRPr="005309E7" w:rsidRDefault="002D1A5A" w:rsidP="005309E7">
      <w:pPr>
        <w:rPr>
          <w:rFonts w:ascii="Arial" w:hAnsi="Arial" w:cs="Arial"/>
          <w:noProof/>
          <w:sz w:val="24"/>
          <w:szCs w:val="24"/>
        </w:rPr>
      </w:pPr>
    </w:p>
    <w:p w14:paraId="42D666E0" w14:textId="77777777" w:rsidR="005309E7" w:rsidRPr="005309E7" w:rsidRDefault="005309E7" w:rsidP="00011DA9">
      <w:pPr>
        <w:rPr>
          <w:noProof/>
        </w:rPr>
      </w:pPr>
    </w:p>
    <w:p w14:paraId="1423BD96" w14:textId="77777777" w:rsidR="005309E7" w:rsidRDefault="005309E7" w:rsidP="00011DA9">
      <w:pPr>
        <w:rPr>
          <w:rFonts w:ascii="Arial" w:hAnsi="Arial" w:cs="Arial"/>
          <w:sz w:val="24"/>
          <w:szCs w:val="24"/>
        </w:rPr>
      </w:pPr>
    </w:p>
    <w:p w14:paraId="7D880135" w14:textId="77777777" w:rsidR="005309E7" w:rsidRDefault="005309E7" w:rsidP="00011DA9">
      <w:pPr>
        <w:rPr>
          <w:rFonts w:ascii="Arial" w:hAnsi="Arial" w:cs="Arial"/>
          <w:sz w:val="24"/>
          <w:szCs w:val="24"/>
        </w:rPr>
      </w:pPr>
    </w:p>
    <w:sdt>
      <w:sdtPr>
        <w:rPr>
          <w:rFonts w:asciiTheme="minorHAnsi" w:eastAsiaTheme="minorHAnsi" w:hAnsiTheme="minorHAnsi" w:cstheme="minorBidi"/>
          <w:color w:val="auto"/>
          <w:sz w:val="22"/>
          <w:szCs w:val="22"/>
          <w:lang w:val="en-AU"/>
        </w:rPr>
        <w:id w:val="-2014286860"/>
        <w:docPartObj>
          <w:docPartGallery w:val="Bibliographies"/>
          <w:docPartUnique/>
        </w:docPartObj>
      </w:sdtPr>
      <w:sdtEndPr/>
      <w:sdtContent>
        <w:p w14:paraId="053331C2" w14:textId="689F57D0" w:rsidR="008E3F7A" w:rsidRDefault="008E3F7A">
          <w:pPr>
            <w:pStyle w:val="Heading1"/>
          </w:pPr>
          <w:r>
            <w:t>References</w:t>
          </w:r>
        </w:p>
        <w:sdt>
          <w:sdtPr>
            <w:id w:val="-573587230"/>
            <w:bibliography/>
          </w:sdtPr>
          <w:sdtEndPr/>
          <w:sdtContent>
            <w:p w14:paraId="11919799" w14:textId="77777777" w:rsidR="008E3F7A" w:rsidRDefault="008E3F7A" w:rsidP="008E3F7A">
              <w:pPr>
                <w:pStyle w:val="Bibliography"/>
                <w:rPr>
                  <w:noProof/>
                  <w:sz w:val="24"/>
                  <w:szCs w:val="24"/>
                  <w:lang w:val="en-US"/>
                </w:rPr>
              </w:pPr>
              <w:r>
                <w:fldChar w:fldCharType="begin"/>
              </w:r>
              <w:r>
                <w:instrText xml:space="preserve"> BIBLIOGRAPHY </w:instrText>
              </w:r>
              <w:r>
                <w:fldChar w:fldCharType="separate"/>
              </w:r>
              <w:r>
                <w:rPr>
                  <w:noProof/>
                  <w:lang w:val="en-US"/>
                </w:rPr>
                <w:t xml:space="preserve">Anon., 2012. </w:t>
              </w:r>
              <w:r>
                <w:rPr>
                  <w:i/>
                  <w:iCs/>
                  <w:noProof/>
                  <w:lang w:val="en-US"/>
                </w:rPr>
                <w:t xml:space="preserve">Annual report, </w:t>
              </w:r>
              <w:r>
                <w:rPr>
                  <w:noProof/>
                  <w:lang w:val="en-US"/>
                </w:rPr>
                <w:t>australia: s.n.</w:t>
              </w:r>
            </w:p>
            <w:p w14:paraId="19718294" w14:textId="77777777" w:rsidR="008E3F7A" w:rsidRDefault="008E3F7A" w:rsidP="008E3F7A">
              <w:pPr>
                <w:pStyle w:val="Bibliography"/>
                <w:rPr>
                  <w:noProof/>
                  <w:lang w:val="en-US"/>
                </w:rPr>
              </w:pPr>
              <w:r>
                <w:rPr>
                  <w:noProof/>
                  <w:lang w:val="en-US"/>
                </w:rPr>
                <w:t xml:space="preserve">Anon., 2018. </w:t>
              </w:r>
              <w:r>
                <w:rPr>
                  <w:i/>
                  <w:iCs/>
                  <w:noProof/>
                  <w:lang w:val="en-US"/>
                </w:rPr>
                <w:t xml:space="preserve">Annual report, </w:t>
              </w:r>
              <w:r>
                <w:rPr>
                  <w:noProof/>
                  <w:lang w:val="en-US"/>
                </w:rPr>
                <w:t>austraila: CSR ltd.</w:t>
              </w:r>
            </w:p>
            <w:p w14:paraId="18088073" w14:textId="19DDAF6B" w:rsidR="008E3F7A" w:rsidRDefault="008E3F7A" w:rsidP="008E3F7A">
              <w:r>
                <w:rPr>
                  <w:b/>
                  <w:bCs/>
                  <w:noProof/>
                </w:rPr>
                <w:fldChar w:fldCharType="end"/>
              </w:r>
            </w:p>
          </w:sdtContent>
        </w:sdt>
      </w:sdtContent>
    </w:sdt>
    <w:bookmarkEnd w:id="0"/>
    <w:p w14:paraId="552151A6" w14:textId="77777777" w:rsidR="005309E7" w:rsidRPr="009F5E6A" w:rsidRDefault="005309E7" w:rsidP="00011DA9">
      <w:pPr>
        <w:rPr>
          <w:rFonts w:ascii="Arial" w:hAnsi="Arial" w:cs="Arial"/>
          <w:sz w:val="24"/>
          <w:szCs w:val="24"/>
        </w:rPr>
      </w:pPr>
    </w:p>
    <w:sectPr w:rsidR="005309E7" w:rsidRPr="009F5E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57620" w14:textId="77777777" w:rsidR="00666850" w:rsidRDefault="00666850" w:rsidP="00666850">
      <w:pPr>
        <w:spacing w:after="0" w:line="240" w:lineRule="auto"/>
      </w:pPr>
      <w:r>
        <w:separator/>
      </w:r>
    </w:p>
  </w:endnote>
  <w:endnote w:type="continuationSeparator" w:id="0">
    <w:p w14:paraId="04139AE7" w14:textId="77777777" w:rsidR="00666850" w:rsidRDefault="00666850" w:rsidP="00666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60AA0" w14:textId="77777777" w:rsidR="00666850" w:rsidRDefault="00666850" w:rsidP="00666850">
      <w:pPr>
        <w:spacing w:after="0" w:line="240" w:lineRule="auto"/>
      </w:pPr>
      <w:r>
        <w:separator/>
      </w:r>
    </w:p>
  </w:footnote>
  <w:footnote w:type="continuationSeparator" w:id="0">
    <w:p w14:paraId="0E3D7AF0" w14:textId="77777777" w:rsidR="00666850" w:rsidRDefault="00666850" w:rsidP="00666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A29F9"/>
    <w:multiLevelType w:val="hybridMultilevel"/>
    <w:tmpl w:val="9F5887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2A004AB"/>
    <w:multiLevelType w:val="hybridMultilevel"/>
    <w:tmpl w:val="9340AAEA"/>
    <w:lvl w:ilvl="0" w:tplc="96B62BE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4A2760C"/>
    <w:multiLevelType w:val="hybridMultilevel"/>
    <w:tmpl w:val="D86C55FE"/>
    <w:lvl w:ilvl="0" w:tplc="C4267870">
      <w:start w:val="31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AU" w:vendorID="64" w:dllVersion="4096" w:nlCheck="1" w:checkStyle="1"/>
  <w:activeWritingStyle w:appName="MSWord" w:lang="en-US" w:vendorID="64" w:dllVersion="131078" w:nlCheck="1" w:checkStyle="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BED"/>
    <w:rsid w:val="00011DA9"/>
    <w:rsid w:val="00026CFF"/>
    <w:rsid w:val="000456F8"/>
    <w:rsid w:val="000927DC"/>
    <w:rsid w:val="00227842"/>
    <w:rsid w:val="002B313A"/>
    <w:rsid w:val="002D1A5A"/>
    <w:rsid w:val="00312BA0"/>
    <w:rsid w:val="003522ED"/>
    <w:rsid w:val="00362A89"/>
    <w:rsid w:val="00407F24"/>
    <w:rsid w:val="0042590A"/>
    <w:rsid w:val="0043002E"/>
    <w:rsid w:val="00477812"/>
    <w:rsid w:val="004976DB"/>
    <w:rsid w:val="004A489A"/>
    <w:rsid w:val="005309E7"/>
    <w:rsid w:val="0053605E"/>
    <w:rsid w:val="00571CFD"/>
    <w:rsid w:val="00571D25"/>
    <w:rsid w:val="00597EE7"/>
    <w:rsid w:val="005C5AB0"/>
    <w:rsid w:val="00666850"/>
    <w:rsid w:val="00701E81"/>
    <w:rsid w:val="00706CC1"/>
    <w:rsid w:val="007253C4"/>
    <w:rsid w:val="007337A7"/>
    <w:rsid w:val="0073443A"/>
    <w:rsid w:val="00760B63"/>
    <w:rsid w:val="00760E3A"/>
    <w:rsid w:val="00801C03"/>
    <w:rsid w:val="008730E1"/>
    <w:rsid w:val="008879FA"/>
    <w:rsid w:val="008C4B46"/>
    <w:rsid w:val="008C5B08"/>
    <w:rsid w:val="008E3F7A"/>
    <w:rsid w:val="009225E5"/>
    <w:rsid w:val="00933A1B"/>
    <w:rsid w:val="00962F08"/>
    <w:rsid w:val="009C53CB"/>
    <w:rsid w:val="009F5E6A"/>
    <w:rsid w:val="00A20879"/>
    <w:rsid w:val="00AB02BA"/>
    <w:rsid w:val="00AB5678"/>
    <w:rsid w:val="00AC1BED"/>
    <w:rsid w:val="00AD19C4"/>
    <w:rsid w:val="00B7768E"/>
    <w:rsid w:val="00BF2822"/>
    <w:rsid w:val="00C55AE9"/>
    <w:rsid w:val="00CC5F7C"/>
    <w:rsid w:val="00D81ED6"/>
    <w:rsid w:val="00DB6BDE"/>
    <w:rsid w:val="00DD1920"/>
    <w:rsid w:val="00EB0EFA"/>
    <w:rsid w:val="00EF5720"/>
    <w:rsid w:val="00FF6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79A2"/>
  <w15:chartTrackingRefBased/>
  <w15:docId w15:val="{3B611060-99AB-4B0E-859F-7B7FB3AF9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67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879"/>
    <w:rPr>
      <w:color w:val="0563C1" w:themeColor="hyperlink"/>
      <w:u w:val="single"/>
    </w:rPr>
  </w:style>
  <w:style w:type="character" w:customStyle="1" w:styleId="UnresolvedMention">
    <w:name w:val="Unresolved Mention"/>
    <w:basedOn w:val="DefaultParagraphFont"/>
    <w:uiPriority w:val="99"/>
    <w:semiHidden/>
    <w:unhideWhenUsed/>
    <w:rsid w:val="00A20879"/>
    <w:rPr>
      <w:color w:val="605E5C"/>
      <w:shd w:val="clear" w:color="auto" w:fill="E1DFDD"/>
    </w:rPr>
  </w:style>
  <w:style w:type="character" w:customStyle="1" w:styleId="s3unqe">
    <w:name w:val="s3unqe"/>
    <w:basedOn w:val="DefaultParagraphFont"/>
    <w:rsid w:val="00A20879"/>
  </w:style>
  <w:style w:type="character" w:customStyle="1" w:styleId="hfmth">
    <w:name w:val="hfmth"/>
    <w:basedOn w:val="DefaultParagraphFont"/>
    <w:rsid w:val="00A20879"/>
  </w:style>
  <w:style w:type="character" w:customStyle="1" w:styleId="isqqvc">
    <w:name w:val="isqqvc"/>
    <w:basedOn w:val="DefaultParagraphFont"/>
    <w:rsid w:val="00A20879"/>
  </w:style>
  <w:style w:type="character" w:customStyle="1" w:styleId="knfdje">
    <w:name w:val="knfdje"/>
    <w:basedOn w:val="DefaultParagraphFont"/>
    <w:rsid w:val="00A20879"/>
  </w:style>
  <w:style w:type="character" w:customStyle="1" w:styleId="iheunhyytca-cct9i-ytla">
    <w:name w:val="ih_eunhyytca-cct9_i-ytla"/>
    <w:basedOn w:val="DefaultParagraphFont"/>
    <w:rsid w:val="00A20879"/>
  </w:style>
  <w:style w:type="character" w:customStyle="1" w:styleId="iheunhyytca-y5heja6amuy">
    <w:name w:val="ih_eunhyytca-y5heja6amuy"/>
    <w:basedOn w:val="DefaultParagraphFont"/>
    <w:rsid w:val="00A20879"/>
  </w:style>
  <w:style w:type="character" w:customStyle="1" w:styleId="iwqw0cn9euy8-oikvedic4hi">
    <w:name w:val="iwqw0cn9euy8-oikvedic4hi"/>
    <w:basedOn w:val="DefaultParagraphFont"/>
    <w:rsid w:val="00A20879"/>
  </w:style>
  <w:style w:type="character" w:customStyle="1" w:styleId="cvih4c">
    <w:name w:val="cvih4c"/>
    <w:basedOn w:val="DefaultParagraphFont"/>
    <w:rsid w:val="00A20879"/>
  </w:style>
  <w:style w:type="character" w:customStyle="1" w:styleId="knowledge-finance-wholepage-charthover-card-value">
    <w:name w:val="knowledge-finance-wholepage-chart__hover-card-value"/>
    <w:basedOn w:val="DefaultParagraphFont"/>
    <w:rsid w:val="00A20879"/>
  </w:style>
  <w:style w:type="character" w:customStyle="1" w:styleId="knowledge-finance-wholepage-charthover-card-time">
    <w:name w:val="knowledge-finance-wholepage-chart__hover-card-time"/>
    <w:basedOn w:val="DefaultParagraphFont"/>
    <w:rsid w:val="00A20879"/>
  </w:style>
  <w:style w:type="table" w:styleId="TableGrid">
    <w:name w:val="Table Grid"/>
    <w:basedOn w:val="TableNormal"/>
    <w:uiPriority w:val="39"/>
    <w:rsid w:val="0053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567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E3F7A"/>
  </w:style>
  <w:style w:type="paragraph" w:styleId="Header">
    <w:name w:val="header"/>
    <w:basedOn w:val="Normal"/>
    <w:link w:val="HeaderChar"/>
    <w:uiPriority w:val="99"/>
    <w:unhideWhenUsed/>
    <w:rsid w:val="006668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850"/>
  </w:style>
  <w:style w:type="paragraph" w:styleId="Footer">
    <w:name w:val="footer"/>
    <w:basedOn w:val="Normal"/>
    <w:link w:val="FooterChar"/>
    <w:uiPriority w:val="99"/>
    <w:unhideWhenUsed/>
    <w:rsid w:val="006668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850"/>
  </w:style>
  <w:style w:type="paragraph" w:styleId="ListParagraph">
    <w:name w:val="List Paragraph"/>
    <w:basedOn w:val="Normal"/>
    <w:uiPriority w:val="34"/>
    <w:qFormat/>
    <w:rsid w:val="00352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5782">
      <w:bodyDiv w:val="1"/>
      <w:marLeft w:val="0"/>
      <w:marRight w:val="0"/>
      <w:marTop w:val="0"/>
      <w:marBottom w:val="0"/>
      <w:divBdr>
        <w:top w:val="none" w:sz="0" w:space="0" w:color="auto"/>
        <w:left w:val="none" w:sz="0" w:space="0" w:color="auto"/>
        <w:bottom w:val="none" w:sz="0" w:space="0" w:color="auto"/>
        <w:right w:val="none" w:sz="0" w:space="0" w:color="auto"/>
      </w:divBdr>
      <w:divsChild>
        <w:div w:id="1683775365">
          <w:marLeft w:val="0"/>
          <w:marRight w:val="0"/>
          <w:marTop w:val="0"/>
          <w:marBottom w:val="0"/>
          <w:divBdr>
            <w:top w:val="none" w:sz="0" w:space="0" w:color="auto"/>
            <w:left w:val="none" w:sz="0" w:space="0" w:color="auto"/>
            <w:bottom w:val="none" w:sz="0" w:space="0" w:color="auto"/>
            <w:right w:val="none" w:sz="0" w:space="0" w:color="auto"/>
          </w:divBdr>
        </w:div>
        <w:div w:id="512762767">
          <w:marLeft w:val="0"/>
          <w:marRight w:val="0"/>
          <w:marTop w:val="0"/>
          <w:marBottom w:val="0"/>
          <w:divBdr>
            <w:top w:val="none" w:sz="0" w:space="0" w:color="auto"/>
            <w:left w:val="none" w:sz="0" w:space="0" w:color="auto"/>
            <w:bottom w:val="none" w:sz="0" w:space="0" w:color="auto"/>
            <w:right w:val="none" w:sz="0" w:space="0" w:color="auto"/>
          </w:divBdr>
        </w:div>
        <w:div w:id="1098209713">
          <w:marLeft w:val="0"/>
          <w:marRight w:val="0"/>
          <w:marTop w:val="0"/>
          <w:marBottom w:val="0"/>
          <w:divBdr>
            <w:top w:val="none" w:sz="0" w:space="0" w:color="auto"/>
            <w:left w:val="none" w:sz="0" w:space="0" w:color="auto"/>
            <w:bottom w:val="none" w:sz="0" w:space="0" w:color="auto"/>
            <w:right w:val="none" w:sz="0" w:space="0" w:color="auto"/>
          </w:divBdr>
        </w:div>
        <w:div w:id="2105032311">
          <w:marLeft w:val="0"/>
          <w:marRight w:val="0"/>
          <w:marTop w:val="0"/>
          <w:marBottom w:val="0"/>
          <w:divBdr>
            <w:top w:val="none" w:sz="0" w:space="0" w:color="auto"/>
            <w:left w:val="none" w:sz="0" w:space="0" w:color="auto"/>
            <w:bottom w:val="none" w:sz="0" w:space="0" w:color="auto"/>
            <w:right w:val="none" w:sz="0" w:space="0" w:color="auto"/>
          </w:divBdr>
        </w:div>
      </w:divsChild>
    </w:div>
    <w:div w:id="422841130">
      <w:bodyDiv w:val="1"/>
      <w:marLeft w:val="0"/>
      <w:marRight w:val="0"/>
      <w:marTop w:val="0"/>
      <w:marBottom w:val="0"/>
      <w:divBdr>
        <w:top w:val="none" w:sz="0" w:space="0" w:color="auto"/>
        <w:left w:val="none" w:sz="0" w:space="0" w:color="auto"/>
        <w:bottom w:val="none" w:sz="0" w:space="0" w:color="auto"/>
        <w:right w:val="none" w:sz="0" w:space="0" w:color="auto"/>
      </w:divBdr>
    </w:div>
    <w:div w:id="516117774">
      <w:bodyDiv w:val="1"/>
      <w:marLeft w:val="0"/>
      <w:marRight w:val="0"/>
      <w:marTop w:val="0"/>
      <w:marBottom w:val="0"/>
      <w:divBdr>
        <w:top w:val="none" w:sz="0" w:space="0" w:color="auto"/>
        <w:left w:val="none" w:sz="0" w:space="0" w:color="auto"/>
        <w:bottom w:val="none" w:sz="0" w:space="0" w:color="auto"/>
        <w:right w:val="none" w:sz="0" w:space="0" w:color="auto"/>
      </w:divBdr>
    </w:div>
    <w:div w:id="789006999">
      <w:bodyDiv w:val="1"/>
      <w:marLeft w:val="0"/>
      <w:marRight w:val="0"/>
      <w:marTop w:val="0"/>
      <w:marBottom w:val="0"/>
      <w:divBdr>
        <w:top w:val="none" w:sz="0" w:space="0" w:color="auto"/>
        <w:left w:val="none" w:sz="0" w:space="0" w:color="auto"/>
        <w:bottom w:val="none" w:sz="0" w:space="0" w:color="auto"/>
        <w:right w:val="none" w:sz="0" w:space="0" w:color="auto"/>
      </w:divBdr>
    </w:div>
    <w:div w:id="895894381">
      <w:bodyDiv w:val="1"/>
      <w:marLeft w:val="0"/>
      <w:marRight w:val="0"/>
      <w:marTop w:val="0"/>
      <w:marBottom w:val="0"/>
      <w:divBdr>
        <w:top w:val="none" w:sz="0" w:space="0" w:color="auto"/>
        <w:left w:val="none" w:sz="0" w:space="0" w:color="auto"/>
        <w:bottom w:val="none" w:sz="0" w:space="0" w:color="auto"/>
        <w:right w:val="none" w:sz="0" w:space="0" w:color="auto"/>
      </w:divBdr>
    </w:div>
    <w:div w:id="908729789">
      <w:bodyDiv w:val="1"/>
      <w:marLeft w:val="0"/>
      <w:marRight w:val="0"/>
      <w:marTop w:val="0"/>
      <w:marBottom w:val="0"/>
      <w:divBdr>
        <w:top w:val="none" w:sz="0" w:space="0" w:color="auto"/>
        <w:left w:val="none" w:sz="0" w:space="0" w:color="auto"/>
        <w:bottom w:val="none" w:sz="0" w:space="0" w:color="auto"/>
        <w:right w:val="none" w:sz="0" w:space="0" w:color="auto"/>
      </w:divBdr>
    </w:div>
    <w:div w:id="1050227496">
      <w:bodyDiv w:val="1"/>
      <w:marLeft w:val="0"/>
      <w:marRight w:val="0"/>
      <w:marTop w:val="0"/>
      <w:marBottom w:val="0"/>
      <w:divBdr>
        <w:top w:val="none" w:sz="0" w:space="0" w:color="auto"/>
        <w:left w:val="none" w:sz="0" w:space="0" w:color="auto"/>
        <w:bottom w:val="none" w:sz="0" w:space="0" w:color="auto"/>
        <w:right w:val="none" w:sz="0" w:space="0" w:color="auto"/>
      </w:divBdr>
      <w:divsChild>
        <w:div w:id="982848901">
          <w:marLeft w:val="0"/>
          <w:marRight w:val="0"/>
          <w:marTop w:val="0"/>
          <w:marBottom w:val="0"/>
          <w:divBdr>
            <w:top w:val="none" w:sz="0" w:space="0" w:color="auto"/>
            <w:left w:val="none" w:sz="0" w:space="0" w:color="auto"/>
            <w:bottom w:val="none" w:sz="0" w:space="0" w:color="auto"/>
            <w:right w:val="none" w:sz="0" w:space="0" w:color="auto"/>
          </w:divBdr>
          <w:divsChild>
            <w:div w:id="148638648">
              <w:marLeft w:val="0"/>
              <w:marRight w:val="0"/>
              <w:marTop w:val="0"/>
              <w:marBottom w:val="150"/>
              <w:divBdr>
                <w:top w:val="none" w:sz="0" w:space="0" w:color="auto"/>
                <w:left w:val="none" w:sz="0" w:space="0" w:color="auto"/>
                <w:bottom w:val="none" w:sz="0" w:space="0" w:color="auto"/>
                <w:right w:val="none" w:sz="0" w:space="0" w:color="auto"/>
              </w:divBdr>
              <w:divsChild>
                <w:div w:id="1589845101">
                  <w:marLeft w:val="0"/>
                  <w:marRight w:val="0"/>
                  <w:marTop w:val="0"/>
                  <w:marBottom w:val="0"/>
                  <w:divBdr>
                    <w:top w:val="none" w:sz="0" w:space="0" w:color="auto"/>
                    <w:left w:val="none" w:sz="0" w:space="0" w:color="auto"/>
                    <w:bottom w:val="none" w:sz="0" w:space="0" w:color="auto"/>
                    <w:right w:val="none" w:sz="0" w:space="0" w:color="auto"/>
                  </w:divBdr>
                </w:div>
                <w:div w:id="839926755">
                  <w:marLeft w:val="0"/>
                  <w:marRight w:val="120"/>
                  <w:marTop w:val="0"/>
                  <w:marBottom w:val="0"/>
                  <w:divBdr>
                    <w:top w:val="none" w:sz="0" w:space="0" w:color="auto"/>
                    <w:left w:val="none" w:sz="0" w:space="0" w:color="auto"/>
                    <w:bottom w:val="none" w:sz="0" w:space="0" w:color="auto"/>
                    <w:right w:val="none" w:sz="0" w:space="0" w:color="auto"/>
                  </w:divBdr>
                  <w:divsChild>
                    <w:div w:id="1791708126">
                      <w:marLeft w:val="0"/>
                      <w:marRight w:val="0"/>
                      <w:marTop w:val="0"/>
                      <w:marBottom w:val="0"/>
                      <w:divBdr>
                        <w:top w:val="none" w:sz="0" w:space="0" w:color="auto"/>
                        <w:left w:val="none" w:sz="0" w:space="0" w:color="auto"/>
                        <w:bottom w:val="none" w:sz="0" w:space="0" w:color="auto"/>
                        <w:right w:val="none" w:sz="0" w:space="0" w:color="auto"/>
                      </w:divBdr>
                      <w:divsChild>
                        <w:div w:id="1000963907">
                          <w:marLeft w:val="0"/>
                          <w:marRight w:val="0"/>
                          <w:marTop w:val="0"/>
                          <w:marBottom w:val="0"/>
                          <w:divBdr>
                            <w:top w:val="none" w:sz="0" w:space="0" w:color="auto"/>
                            <w:left w:val="none" w:sz="0" w:space="0" w:color="auto"/>
                            <w:bottom w:val="none" w:sz="0" w:space="0" w:color="auto"/>
                            <w:right w:val="none" w:sz="0" w:space="0" w:color="auto"/>
                          </w:divBdr>
                          <w:divsChild>
                            <w:div w:id="207424287">
                              <w:marLeft w:val="0"/>
                              <w:marRight w:val="0"/>
                              <w:marTop w:val="0"/>
                              <w:marBottom w:val="0"/>
                              <w:divBdr>
                                <w:top w:val="single" w:sz="6" w:space="1" w:color="4285F4"/>
                                <w:left w:val="single" w:sz="6" w:space="3" w:color="4285F4"/>
                                <w:bottom w:val="single" w:sz="6" w:space="1" w:color="4285F4"/>
                                <w:right w:val="single" w:sz="6" w:space="5" w:color="4285F4"/>
                              </w:divBdr>
                            </w:div>
                          </w:divsChild>
                        </w:div>
                      </w:divsChild>
                    </w:div>
                  </w:divsChild>
                </w:div>
              </w:divsChild>
            </w:div>
            <w:div w:id="808135825">
              <w:marLeft w:val="0"/>
              <w:marRight w:val="0"/>
              <w:marTop w:val="0"/>
              <w:marBottom w:val="0"/>
              <w:divBdr>
                <w:top w:val="none" w:sz="0" w:space="0" w:color="auto"/>
                <w:left w:val="none" w:sz="0" w:space="0" w:color="auto"/>
                <w:bottom w:val="none" w:sz="0" w:space="0" w:color="auto"/>
                <w:right w:val="none" w:sz="0" w:space="0" w:color="auto"/>
              </w:divBdr>
            </w:div>
            <w:div w:id="1579560041">
              <w:marLeft w:val="0"/>
              <w:marRight w:val="0"/>
              <w:marTop w:val="0"/>
              <w:marBottom w:val="0"/>
              <w:divBdr>
                <w:top w:val="none" w:sz="0" w:space="0" w:color="auto"/>
                <w:left w:val="none" w:sz="0" w:space="0" w:color="auto"/>
                <w:bottom w:val="none" w:sz="0" w:space="0" w:color="auto"/>
                <w:right w:val="none" w:sz="0" w:space="0" w:color="auto"/>
              </w:divBdr>
            </w:div>
          </w:divsChild>
        </w:div>
        <w:div w:id="1726903039">
          <w:marLeft w:val="0"/>
          <w:marRight w:val="0"/>
          <w:marTop w:val="0"/>
          <w:marBottom w:val="0"/>
          <w:divBdr>
            <w:top w:val="none" w:sz="0" w:space="0" w:color="auto"/>
            <w:left w:val="none" w:sz="0" w:space="0" w:color="auto"/>
            <w:bottom w:val="none" w:sz="0" w:space="0" w:color="auto"/>
            <w:right w:val="none" w:sz="0" w:space="0" w:color="auto"/>
          </w:divBdr>
          <w:divsChild>
            <w:div w:id="1078361844">
              <w:marLeft w:val="0"/>
              <w:marRight w:val="0"/>
              <w:marTop w:val="0"/>
              <w:marBottom w:val="0"/>
              <w:divBdr>
                <w:top w:val="none" w:sz="0" w:space="0" w:color="auto"/>
                <w:left w:val="none" w:sz="0" w:space="0" w:color="auto"/>
                <w:bottom w:val="single" w:sz="6" w:space="0" w:color="E5E5E5"/>
                <w:right w:val="none" w:sz="0" w:space="0" w:color="auto"/>
              </w:divBdr>
              <w:divsChild>
                <w:div w:id="344983761">
                  <w:marLeft w:val="0"/>
                  <w:marRight w:val="0"/>
                  <w:marTop w:val="0"/>
                  <w:marBottom w:val="0"/>
                  <w:divBdr>
                    <w:top w:val="none" w:sz="0" w:space="0" w:color="auto"/>
                    <w:left w:val="none" w:sz="0" w:space="0" w:color="auto"/>
                    <w:bottom w:val="none" w:sz="0" w:space="0" w:color="auto"/>
                    <w:right w:val="none" w:sz="0" w:space="0" w:color="auto"/>
                  </w:divBdr>
                  <w:divsChild>
                    <w:div w:id="55055856">
                      <w:marLeft w:val="0"/>
                      <w:marRight w:val="0"/>
                      <w:marTop w:val="0"/>
                      <w:marBottom w:val="0"/>
                      <w:divBdr>
                        <w:top w:val="none" w:sz="0" w:space="0" w:color="auto"/>
                        <w:left w:val="none" w:sz="0" w:space="0" w:color="auto"/>
                        <w:bottom w:val="none" w:sz="0" w:space="0" w:color="auto"/>
                        <w:right w:val="none" w:sz="0" w:space="0" w:color="auto"/>
                      </w:divBdr>
                      <w:divsChild>
                        <w:div w:id="193931837">
                          <w:marLeft w:val="0"/>
                          <w:marRight w:val="0"/>
                          <w:marTop w:val="0"/>
                          <w:marBottom w:val="0"/>
                          <w:divBdr>
                            <w:top w:val="none" w:sz="0" w:space="0" w:color="auto"/>
                            <w:left w:val="none" w:sz="0" w:space="0" w:color="auto"/>
                            <w:bottom w:val="none" w:sz="0" w:space="0" w:color="auto"/>
                            <w:right w:val="none" w:sz="0" w:space="0" w:color="auto"/>
                          </w:divBdr>
                          <w:divsChild>
                            <w:div w:id="354115708">
                              <w:marLeft w:val="0"/>
                              <w:marRight w:val="0"/>
                              <w:marTop w:val="0"/>
                              <w:marBottom w:val="0"/>
                              <w:divBdr>
                                <w:top w:val="none" w:sz="0" w:space="0" w:color="auto"/>
                                <w:left w:val="none" w:sz="0" w:space="0" w:color="auto"/>
                                <w:bottom w:val="none" w:sz="0" w:space="0" w:color="auto"/>
                                <w:right w:val="none" w:sz="0" w:space="0" w:color="auto"/>
                              </w:divBdr>
                              <w:divsChild>
                                <w:div w:id="6749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35917">
                      <w:marLeft w:val="0"/>
                      <w:marRight w:val="0"/>
                      <w:marTop w:val="0"/>
                      <w:marBottom w:val="0"/>
                      <w:divBdr>
                        <w:top w:val="none" w:sz="0" w:space="0" w:color="auto"/>
                        <w:left w:val="none" w:sz="0" w:space="0" w:color="auto"/>
                        <w:bottom w:val="none" w:sz="0" w:space="0" w:color="auto"/>
                        <w:right w:val="none" w:sz="0" w:space="0" w:color="auto"/>
                      </w:divBdr>
                      <w:divsChild>
                        <w:div w:id="1648558678">
                          <w:marLeft w:val="0"/>
                          <w:marRight w:val="0"/>
                          <w:marTop w:val="0"/>
                          <w:marBottom w:val="0"/>
                          <w:divBdr>
                            <w:top w:val="none" w:sz="0" w:space="0" w:color="auto"/>
                            <w:left w:val="none" w:sz="0" w:space="0" w:color="auto"/>
                            <w:bottom w:val="none" w:sz="0" w:space="0" w:color="auto"/>
                            <w:right w:val="none" w:sz="0" w:space="0" w:color="auto"/>
                          </w:divBdr>
                          <w:divsChild>
                            <w:div w:id="1461456676">
                              <w:marLeft w:val="0"/>
                              <w:marRight w:val="0"/>
                              <w:marTop w:val="0"/>
                              <w:marBottom w:val="0"/>
                              <w:divBdr>
                                <w:top w:val="none" w:sz="0" w:space="0" w:color="auto"/>
                                <w:left w:val="none" w:sz="0" w:space="0" w:color="auto"/>
                                <w:bottom w:val="none" w:sz="0" w:space="0" w:color="auto"/>
                                <w:right w:val="none" w:sz="0" w:space="0" w:color="auto"/>
                              </w:divBdr>
                              <w:divsChild>
                                <w:div w:id="7326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89900">
                      <w:marLeft w:val="0"/>
                      <w:marRight w:val="0"/>
                      <w:marTop w:val="0"/>
                      <w:marBottom w:val="0"/>
                      <w:divBdr>
                        <w:top w:val="none" w:sz="0" w:space="0" w:color="auto"/>
                        <w:left w:val="none" w:sz="0" w:space="0" w:color="auto"/>
                        <w:bottom w:val="none" w:sz="0" w:space="0" w:color="auto"/>
                        <w:right w:val="none" w:sz="0" w:space="0" w:color="auto"/>
                      </w:divBdr>
                      <w:divsChild>
                        <w:div w:id="1381520304">
                          <w:marLeft w:val="0"/>
                          <w:marRight w:val="0"/>
                          <w:marTop w:val="0"/>
                          <w:marBottom w:val="0"/>
                          <w:divBdr>
                            <w:top w:val="none" w:sz="0" w:space="0" w:color="auto"/>
                            <w:left w:val="none" w:sz="0" w:space="0" w:color="auto"/>
                            <w:bottom w:val="none" w:sz="0" w:space="0" w:color="auto"/>
                            <w:right w:val="none" w:sz="0" w:space="0" w:color="auto"/>
                          </w:divBdr>
                          <w:divsChild>
                            <w:div w:id="47807465">
                              <w:marLeft w:val="0"/>
                              <w:marRight w:val="0"/>
                              <w:marTop w:val="0"/>
                              <w:marBottom w:val="0"/>
                              <w:divBdr>
                                <w:top w:val="none" w:sz="0" w:space="0" w:color="auto"/>
                                <w:left w:val="none" w:sz="0" w:space="0" w:color="auto"/>
                                <w:bottom w:val="none" w:sz="0" w:space="0" w:color="auto"/>
                                <w:right w:val="none" w:sz="0" w:space="0" w:color="auto"/>
                              </w:divBdr>
                              <w:divsChild>
                                <w:div w:id="17424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7137">
                      <w:marLeft w:val="0"/>
                      <w:marRight w:val="0"/>
                      <w:marTop w:val="0"/>
                      <w:marBottom w:val="0"/>
                      <w:divBdr>
                        <w:top w:val="none" w:sz="0" w:space="0" w:color="auto"/>
                        <w:left w:val="none" w:sz="0" w:space="0" w:color="auto"/>
                        <w:bottom w:val="none" w:sz="0" w:space="0" w:color="auto"/>
                        <w:right w:val="none" w:sz="0" w:space="0" w:color="auto"/>
                      </w:divBdr>
                      <w:divsChild>
                        <w:div w:id="1066535549">
                          <w:marLeft w:val="0"/>
                          <w:marRight w:val="0"/>
                          <w:marTop w:val="0"/>
                          <w:marBottom w:val="0"/>
                          <w:divBdr>
                            <w:top w:val="none" w:sz="0" w:space="0" w:color="auto"/>
                            <w:left w:val="none" w:sz="0" w:space="0" w:color="auto"/>
                            <w:bottom w:val="none" w:sz="0" w:space="0" w:color="auto"/>
                            <w:right w:val="none" w:sz="0" w:space="0" w:color="auto"/>
                          </w:divBdr>
                          <w:divsChild>
                            <w:div w:id="1804928299">
                              <w:marLeft w:val="0"/>
                              <w:marRight w:val="0"/>
                              <w:marTop w:val="0"/>
                              <w:marBottom w:val="0"/>
                              <w:divBdr>
                                <w:top w:val="none" w:sz="0" w:space="0" w:color="auto"/>
                                <w:left w:val="none" w:sz="0" w:space="0" w:color="auto"/>
                                <w:bottom w:val="none" w:sz="0" w:space="0" w:color="auto"/>
                                <w:right w:val="none" w:sz="0" w:space="0" w:color="auto"/>
                              </w:divBdr>
                              <w:divsChild>
                                <w:div w:id="11457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96944">
                      <w:marLeft w:val="0"/>
                      <w:marRight w:val="0"/>
                      <w:marTop w:val="0"/>
                      <w:marBottom w:val="0"/>
                      <w:divBdr>
                        <w:top w:val="none" w:sz="0" w:space="0" w:color="auto"/>
                        <w:left w:val="none" w:sz="0" w:space="0" w:color="auto"/>
                        <w:bottom w:val="none" w:sz="0" w:space="0" w:color="auto"/>
                        <w:right w:val="none" w:sz="0" w:space="0" w:color="auto"/>
                      </w:divBdr>
                      <w:divsChild>
                        <w:div w:id="597255683">
                          <w:marLeft w:val="0"/>
                          <w:marRight w:val="0"/>
                          <w:marTop w:val="0"/>
                          <w:marBottom w:val="0"/>
                          <w:divBdr>
                            <w:top w:val="none" w:sz="0" w:space="0" w:color="auto"/>
                            <w:left w:val="none" w:sz="0" w:space="0" w:color="auto"/>
                            <w:bottom w:val="none" w:sz="0" w:space="0" w:color="auto"/>
                            <w:right w:val="none" w:sz="0" w:space="0" w:color="auto"/>
                          </w:divBdr>
                          <w:divsChild>
                            <w:div w:id="568418979">
                              <w:marLeft w:val="0"/>
                              <w:marRight w:val="0"/>
                              <w:marTop w:val="0"/>
                              <w:marBottom w:val="0"/>
                              <w:divBdr>
                                <w:top w:val="none" w:sz="0" w:space="0" w:color="auto"/>
                                <w:left w:val="none" w:sz="0" w:space="0" w:color="auto"/>
                                <w:bottom w:val="none" w:sz="0" w:space="0" w:color="auto"/>
                                <w:right w:val="none" w:sz="0" w:space="0" w:color="auto"/>
                              </w:divBdr>
                              <w:divsChild>
                                <w:div w:id="6299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64188">
                      <w:marLeft w:val="0"/>
                      <w:marRight w:val="0"/>
                      <w:marTop w:val="0"/>
                      <w:marBottom w:val="0"/>
                      <w:divBdr>
                        <w:top w:val="none" w:sz="0" w:space="0" w:color="auto"/>
                        <w:left w:val="none" w:sz="0" w:space="0" w:color="auto"/>
                        <w:bottom w:val="none" w:sz="0" w:space="0" w:color="auto"/>
                        <w:right w:val="none" w:sz="0" w:space="0" w:color="auto"/>
                      </w:divBdr>
                      <w:divsChild>
                        <w:div w:id="781846969">
                          <w:marLeft w:val="0"/>
                          <w:marRight w:val="0"/>
                          <w:marTop w:val="0"/>
                          <w:marBottom w:val="0"/>
                          <w:divBdr>
                            <w:top w:val="none" w:sz="0" w:space="0" w:color="auto"/>
                            <w:left w:val="none" w:sz="0" w:space="0" w:color="auto"/>
                            <w:bottom w:val="none" w:sz="0" w:space="0" w:color="auto"/>
                            <w:right w:val="none" w:sz="0" w:space="0" w:color="auto"/>
                          </w:divBdr>
                          <w:divsChild>
                            <w:div w:id="2094887521">
                              <w:marLeft w:val="0"/>
                              <w:marRight w:val="0"/>
                              <w:marTop w:val="0"/>
                              <w:marBottom w:val="0"/>
                              <w:divBdr>
                                <w:top w:val="none" w:sz="0" w:space="0" w:color="auto"/>
                                <w:left w:val="none" w:sz="0" w:space="0" w:color="auto"/>
                                <w:bottom w:val="none" w:sz="0" w:space="0" w:color="auto"/>
                                <w:right w:val="none" w:sz="0" w:space="0" w:color="auto"/>
                              </w:divBdr>
                              <w:divsChild>
                                <w:div w:id="14739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87724">
                      <w:marLeft w:val="0"/>
                      <w:marRight w:val="0"/>
                      <w:marTop w:val="0"/>
                      <w:marBottom w:val="0"/>
                      <w:divBdr>
                        <w:top w:val="none" w:sz="0" w:space="0" w:color="auto"/>
                        <w:left w:val="none" w:sz="0" w:space="0" w:color="auto"/>
                        <w:bottom w:val="none" w:sz="0" w:space="0" w:color="auto"/>
                        <w:right w:val="none" w:sz="0" w:space="0" w:color="auto"/>
                      </w:divBdr>
                      <w:divsChild>
                        <w:div w:id="1382554218">
                          <w:marLeft w:val="0"/>
                          <w:marRight w:val="0"/>
                          <w:marTop w:val="0"/>
                          <w:marBottom w:val="0"/>
                          <w:divBdr>
                            <w:top w:val="none" w:sz="0" w:space="0" w:color="auto"/>
                            <w:left w:val="none" w:sz="0" w:space="0" w:color="auto"/>
                            <w:bottom w:val="none" w:sz="0" w:space="0" w:color="auto"/>
                            <w:right w:val="none" w:sz="0" w:space="0" w:color="auto"/>
                          </w:divBdr>
                          <w:divsChild>
                            <w:div w:id="1166826081">
                              <w:marLeft w:val="0"/>
                              <w:marRight w:val="0"/>
                              <w:marTop w:val="0"/>
                              <w:marBottom w:val="0"/>
                              <w:divBdr>
                                <w:top w:val="none" w:sz="0" w:space="0" w:color="auto"/>
                                <w:left w:val="none" w:sz="0" w:space="0" w:color="auto"/>
                                <w:bottom w:val="none" w:sz="0" w:space="0" w:color="auto"/>
                                <w:right w:val="none" w:sz="0" w:space="0" w:color="auto"/>
                              </w:divBdr>
                              <w:divsChild>
                                <w:div w:id="8483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20433">
                      <w:marLeft w:val="0"/>
                      <w:marRight w:val="0"/>
                      <w:marTop w:val="0"/>
                      <w:marBottom w:val="0"/>
                      <w:divBdr>
                        <w:top w:val="none" w:sz="0" w:space="0" w:color="auto"/>
                        <w:left w:val="none" w:sz="0" w:space="0" w:color="auto"/>
                        <w:bottom w:val="none" w:sz="0" w:space="0" w:color="auto"/>
                        <w:right w:val="none" w:sz="0" w:space="0" w:color="auto"/>
                      </w:divBdr>
                      <w:divsChild>
                        <w:div w:id="286741990">
                          <w:marLeft w:val="0"/>
                          <w:marRight w:val="0"/>
                          <w:marTop w:val="0"/>
                          <w:marBottom w:val="0"/>
                          <w:divBdr>
                            <w:top w:val="none" w:sz="0" w:space="0" w:color="auto"/>
                            <w:left w:val="none" w:sz="0" w:space="0" w:color="auto"/>
                            <w:bottom w:val="none" w:sz="0" w:space="0" w:color="auto"/>
                            <w:right w:val="none" w:sz="0" w:space="0" w:color="auto"/>
                          </w:divBdr>
                          <w:divsChild>
                            <w:div w:id="5565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754164">
              <w:marLeft w:val="0"/>
              <w:marRight w:val="0"/>
              <w:marTop w:val="0"/>
              <w:marBottom w:val="0"/>
              <w:divBdr>
                <w:top w:val="none" w:sz="0" w:space="0" w:color="auto"/>
                <w:left w:val="none" w:sz="0" w:space="0" w:color="auto"/>
                <w:bottom w:val="none" w:sz="0" w:space="0" w:color="auto"/>
                <w:right w:val="none" w:sz="0" w:space="0" w:color="auto"/>
              </w:divBdr>
              <w:divsChild>
                <w:div w:id="540097134">
                  <w:marLeft w:val="0"/>
                  <w:marRight w:val="0"/>
                  <w:marTop w:val="0"/>
                  <w:marBottom w:val="0"/>
                  <w:divBdr>
                    <w:top w:val="none" w:sz="0" w:space="0" w:color="auto"/>
                    <w:left w:val="none" w:sz="0" w:space="0" w:color="auto"/>
                    <w:bottom w:val="none" w:sz="0" w:space="0" w:color="auto"/>
                    <w:right w:val="none" w:sz="0" w:space="0" w:color="auto"/>
                  </w:divBdr>
                  <w:divsChild>
                    <w:div w:id="1146168587">
                      <w:marLeft w:val="0"/>
                      <w:marRight w:val="0"/>
                      <w:marTop w:val="0"/>
                      <w:marBottom w:val="0"/>
                      <w:divBdr>
                        <w:top w:val="none" w:sz="0" w:space="0" w:color="auto"/>
                        <w:left w:val="none" w:sz="0" w:space="0" w:color="auto"/>
                        <w:bottom w:val="none" w:sz="0" w:space="0" w:color="auto"/>
                        <w:right w:val="none" w:sz="0" w:space="0" w:color="auto"/>
                      </w:divBdr>
                      <w:divsChild>
                        <w:div w:id="21908766">
                          <w:marLeft w:val="0"/>
                          <w:marRight w:val="0"/>
                          <w:marTop w:val="0"/>
                          <w:marBottom w:val="0"/>
                          <w:divBdr>
                            <w:top w:val="none" w:sz="0" w:space="0" w:color="auto"/>
                            <w:left w:val="none" w:sz="0" w:space="0" w:color="auto"/>
                            <w:bottom w:val="none" w:sz="0" w:space="0" w:color="auto"/>
                            <w:right w:val="none" w:sz="0" w:space="0" w:color="auto"/>
                          </w:divBdr>
                        </w:div>
                        <w:div w:id="1618490020">
                          <w:marLeft w:val="510"/>
                          <w:marRight w:val="900"/>
                          <w:marTop w:val="0"/>
                          <w:marBottom w:val="0"/>
                          <w:divBdr>
                            <w:top w:val="none" w:sz="0" w:space="0" w:color="auto"/>
                            <w:left w:val="none" w:sz="0" w:space="0" w:color="auto"/>
                            <w:bottom w:val="none" w:sz="0" w:space="0" w:color="auto"/>
                            <w:right w:val="none" w:sz="0" w:space="0" w:color="auto"/>
                          </w:divBdr>
                          <w:divsChild>
                            <w:div w:id="97412249">
                              <w:marLeft w:val="0"/>
                              <w:marRight w:val="0"/>
                              <w:marTop w:val="0"/>
                              <w:marBottom w:val="0"/>
                              <w:divBdr>
                                <w:top w:val="none" w:sz="0" w:space="0" w:color="auto"/>
                                <w:left w:val="none" w:sz="0" w:space="0" w:color="auto"/>
                                <w:bottom w:val="none" w:sz="0" w:space="0" w:color="auto"/>
                                <w:right w:val="none" w:sz="0" w:space="0" w:color="auto"/>
                              </w:divBdr>
                            </w:div>
                          </w:divsChild>
                        </w:div>
                        <w:div w:id="1317146132">
                          <w:marLeft w:val="0"/>
                          <w:marRight w:val="0"/>
                          <w:marTop w:val="0"/>
                          <w:marBottom w:val="0"/>
                          <w:divBdr>
                            <w:top w:val="none" w:sz="0" w:space="0" w:color="auto"/>
                            <w:left w:val="none" w:sz="0" w:space="0" w:color="auto"/>
                            <w:bottom w:val="none" w:sz="0" w:space="0" w:color="auto"/>
                            <w:right w:val="none" w:sz="0" w:space="0" w:color="auto"/>
                          </w:divBdr>
                        </w:div>
                        <w:div w:id="5828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68175">
          <w:marLeft w:val="-240"/>
          <w:marRight w:val="-240"/>
          <w:marTop w:val="0"/>
          <w:marBottom w:val="0"/>
          <w:divBdr>
            <w:top w:val="none" w:sz="0" w:space="0" w:color="auto"/>
            <w:left w:val="none" w:sz="0" w:space="0" w:color="auto"/>
            <w:bottom w:val="none" w:sz="0" w:space="0" w:color="auto"/>
            <w:right w:val="none" w:sz="0" w:space="0" w:color="auto"/>
          </w:divBdr>
          <w:divsChild>
            <w:div w:id="1914701879">
              <w:marLeft w:val="240"/>
              <w:marRight w:val="0"/>
              <w:marTop w:val="0"/>
              <w:marBottom w:val="0"/>
              <w:divBdr>
                <w:top w:val="none" w:sz="0" w:space="0" w:color="auto"/>
                <w:left w:val="none" w:sz="0" w:space="0" w:color="auto"/>
                <w:bottom w:val="none" w:sz="0" w:space="0" w:color="auto"/>
                <w:right w:val="none" w:sz="0" w:space="0" w:color="auto"/>
              </w:divBdr>
              <w:divsChild>
                <w:div w:id="6053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89256">
      <w:bodyDiv w:val="1"/>
      <w:marLeft w:val="0"/>
      <w:marRight w:val="0"/>
      <w:marTop w:val="0"/>
      <w:marBottom w:val="0"/>
      <w:divBdr>
        <w:top w:val="none" w:sz="0" w:space="0" w:color="auto"/>
        <w:left w:val="none" w:sz="0" w:space="0" w:color="auto"/>
        <w:bottom w:val="none" w:sz="0" w:space="0" w:color="auto"/>
        <w:right w:val="none" w:sz="0" w:space="0" w:color="auto"/>
      </w:divBdr>
    </w:div>
    <w:div w:id="118497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b:Tag>
    <b:SourceType>Report</b:SourceType>
    <b:Guid>{1D5382A1-084B-468A-A16C-D10B41CDDC84}</b:Guid>
    <b:Title>a</b:Title>
    <b:RefOrder>2</b:RefOrder>
  </b:Source>
  <b:Source>
    <b:Tag>Ann12</b:Tag>
    <b:SourceType>Report</b:SourceType>
    <b:Guid>{07641EBA-5206-4F3E-A1D8-98176E4CBD80}</b:Guid>
    <b:Title>Annual report</b:Title>
    <b:Year>2012</b:Year>
    <b:City>australia</b:City>
    <b:RefOrder>3</b:RefOrder>
  </b:Source>
  <b:Source>
    <b:Tag>Ann18</b:Tag>
    <b:SourceType>Report</b:SourceType>
    <b:Guid>{F736C32E-79D0-4FC1-8D7B-B3BBFB2111F9}</b:Guid>
    <b:Title>Annual report</b:Title>
    <b:Year>2018</b:Year>
    <b:City>austraila</b:City>
    <b:Publisher>CSR ltd</b:Publisher>
    <b:RefOrder>1</b:RefOrder>
  </b:Source>
</b:Sources>
</file>

<file path=customXml/itemProps1.xml><?xml version="1.0" encoding="utf-8"?>
<ds:datastoreItem xmlns:ds="http://schemas.openxmlformats.org/officeDocument/2006/customXml" ds:itemID="{0AC8F0D3-81F5-4CB6-961A-894B8B3FE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2225</Words>
  <Characters>12687</Characters>
  <Application>Microsoft Office Word</Application>
  <DocSecurity>4</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Yadu Suvedi</dc:creator>
  <cp:keywords/>
  <dc:description/>
  <cp:lastModifiedBy>aashish paschhima tharu</cp:lastModifiedBy>
  <cp:revision>2</cp:revision>
  <dcterms:created xsi:type="dcterms:W3CDTF">2018-10-03T10:39:00Z</dcterms:created>
  <dcterms:modified xsi:type="dcterms:W3CDTF">2018-10-03T10:39:00Z</dcterms:modified>
</cp:coreProperties>
</file>