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Contract Amendment #3</w:t>
      </w:r>
    </w:p>
    <w:p>
      <w:r>
        <w:t>This amendment modifies the Master Services Agreement dated January 10, 2023 between BigThorium Energy Corp ('Company') and Pacific Welding Services ('Contractor').</w:t>
      </w:r>
    </w:p>
    <w:p>
      <w:pPr>
        <w:pStyle w:val="Heading2"/>
      </w:pPr>
      <w:r>
        <w:t>Section 1: Scope Changes</w:t>
      </w:r>
    </w:p>
    <w:p>
      <w:r>
        <w:t>The Contractor shall provide additional welding inspection services at the Baytown facility. All welders must hold current AWS D1.1 certifications.</w:t>
      </w:r>
    </w:p>
    <w:p>
      <w:pPr>
        <w:pStyle w:val="Heading2"/>
      </w:pPr>
      <w:r>
        <w:t>Section 2: Compensation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Rate ($/hr)</w:t>
            </w:r>
          </w:p>
        </w:tc>
        <w:tc>
          <w:tcPr>
            <w:tcW w:type="dxa" w:w="2880"/>
          </w:tcPr>
          <w:p>
            <w:r>
              <w:t>Estimated Hours</w:t>
            </w:r>
          </w:p>
        </w:tc>
      </w:tr>
      <w:tr>
        <w:tc>
          <w:tcPr>
            <w:tcW w:type="dxa" w:w="2880"/>
          </w:tcPr>
          <w:p>
            <w:r>
              <w:t>Welding Inspection</w:t>
            </w:r>
          </w:p>
        </w:tc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>
              <w:t>200</w:t>
            </w:r>
          </w:p>
        </w:tc>
      </w:tr>
      <w:tr>
        <w:tc>
          <w:tcPr>
            <w:tcW w:type="dxa" w:w="2880"/>
          </w:tcPr>
          <w:p>
            <w:r>
              <w:t>Safety Audit</w:t>
            </w:r>
          </w:p>
        </w:tc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40</w:t>
            </w:r>
          </w:p>
        </w:tc>
      </w:tr>
      <w:tr>
        <w:tc>
          <w:tcPr>
            <w:tcW w:type="dxa" w:w="2880"/>
          </w:tcPr>
          <w:p>
            <w:r>
              <w:t>Documentation Review</w:t>
            </w:r>
          </w:p>
        </w:tc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80</w:t>
            </w:r>
          </w:p>
        </w:tc>
      </w:tr>
    </w:tbl>
    <w:p/>
    <w:p>
      <w:r>
        <w:t>Effective Date: April 1, 2024</w:t>
      </w:r>
    </w:p>
    <w:p>
      <w:r>
        <w:t>Signed: William Davis, Director of Operations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