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Learning-Based Buyer Segmentation and Investment Profiling for Real Estate Market Intelligence</w:t>
      </w:r>
    </w:p>
    <w:p>
      <w:pPr>
        <w:pStyle w:val="Author"/>
      </w:pPr>
    </w:p>
    <w:p>
      <w:pPr>
        <w:pStyle w:val="AbstractTitle"/>
      </w:pPr>
      <w:r>
        <w:t xml:space="preserve">Abstract</w:t>
      </w:r>
    </w:p>
    <w:p>
      <w:pPr>
        <w:pStyle w:val="Abstract"/>
      </w:pPr>
      <w:r>
        <w:t xml:space="preserve">Real estate organizations often rely on broad demographic assumptions when targeting customers, even though buyer intent, financing dependence, and purchasing behavior vary substantially across segments. This paper presents an unsupervised machine learning framework for buyer segmentation and investment profiling using transactional and client-level data from a real estate market intelligence project developed for Parcl Co. Limited. The dataset contains 2</w:t>
      </w:r>
      <w:r>
        <w:t xml:space="preserve">,</w:t>
      </w:r>
      <w:r>
        <w:t xml:space="preserve">000 clients and 10</w:t>
      </w:r>
      <w:r>
        <w:t xml:space="preserve">,</w:t>
      </w:r>
      <w:r>
        <w:t xml:space="preserve">000 property records spanning 10 countries and 57 regions. A preprocessing pipeline was designed to clean mixed-format dates, normalize categorical fields, engineer behavioral features from property transactions, and transform heterogeneous variables through one-hot encoding and feature scaling. K-means clustering was evaluated across candidate cluster counts using inertia and silhouette score, and the final model was cross-checked with hierarchical clustering for structural consistency. The best-performing solution occurred at</w:t>
      </w:r>
      <w:r>
        <w:t xml:space="preserve"> </w:t>
      </w:r>
      <m:oMath>
        <m:r>
          <m:t>k</m:t>
        </m:r>
        <m:r>
          <m:rPr>
            <m:sty m:val="p"/>
          </m:rPr>
          <m:t>=</m:t>
        </m:r>
        <m:r>
          <m:t>4</m:t>
        </m:r>
      </m:oMath>
      <w:r>
        <w:t xml:space="preserve">, achieving a silhouette score of 0.1713, while the hierarchical benchmark produced a silhouette score of 0.1285 with an adjusted rand agreement of 0.5363 relative to the K-means labels. The resulting segments were interpreted as Portfolio Investors, Premium Buyers, Core Growth Buyers, and Financed Value Seekers. These segments enable differentiated marketing, investment-oriented recommendations, and geography-aware decision support through an associated Streamlit analytics dashboard.</w:t>
      </w:r>
    </w:p>
    <w:p>
      <w:pPr>
        <w:pStyle w:val="FirstParagraph"/>
      </w:pPr>
      <w:r>
        <w:t xml:space="preserve">buyer segmentation, real estate analytics, customer clustering, K-means, hierarchical clustering, investment profiling</w:t>
      </w:r>
    </w:p>
    <w:bookmarkStart w:id="9" w:name="introduction"/>
    <w:p>
      <w:pPr>
        <w:pStyle w:val="Heading1"/>
      </w:pPr>
      <w:r>
        <w:t xml:space="preserve">Introduction</w:t>
      </w:r>
    </w:p>
    <w:p>
      <w:pPr>
        <w:pStyle w:val="FirstParagraph"/>
      </w:pPr>
      <w:r>
        <w:t xml:space="preserve">Real estate firms serve heterogeneous buyer populations that include owner-occupiers, repeat investors, corporate entities, loan-dependent customers, and international participants. When these buyers are treated as a single audience, firms lose precision in marketing spend, customer targeting, and property recommendation strategy. Data-driven segmentation offers a path toward more specific interventions by grouping buyers according to shared behavioral and financial characteristics.</w:t>
      </w:r>
    </w:p>
    <w:p>
      <w:pPr>
        <w:pStyle w:val="BodyText"/>
      </w:pPr>
      <w:r>
        <w:t xml:space="preserve">Customer segmentation has long been addressed through clustering methods, especially K-means and hierarchical clustering, because they can reveal latent groups without requiring labeled outcomes</w:t>
      </w:r>
      <w:r>
        <w:t xml:space="preserve"> </w:t>
      </w:r>
      <w:r>
        <w:t xml:space="preserve">. In marketing settings, clustering-based segmentation has been shown to improve decision support by converting diverse customer records into actionable personas</w:t>
      </w:r>
      <w:r>
        <w:t xml:space="preserve"> </w:t>
      </w:r>
      <w:r>
        <w:t xml:space="preserve">. In this work, these ideas are adapted to a real estate intelligence setting where client records and transaction history are jointly analyzed.</w:t>
      </w:r>
    </w:p>
    <w:p>
      <w:pPr>
        <w:pStyle w:val="BodyText"/>
      </w:pPr>
      <w:r>
        <w:t xml:space="preserve">This paper presents the research paper version of a complete analytics project built around Parcl Co. Limited’s buyer data. The goals are to identify hidden buyer groups, interpret investment motivations, compare cluster quality across multiple candidate solutions, and provide an operational interface for business teams through a dashboard.</w:t>
      </w:r>
    </w:p>
    <w:bookmarkEnd w:id="9"/>
    <w:bookmarkStart w:id="10" w:name="related-work"/>
    <w:p>
      <w:pPr>
        <w:pStyle w:val="Heading1"/>
      </w:pPr>
      <w:r>
        <w:t xml:space="preserve">Related Work</w:t>
      </w:r>
    </w:p>
    <w:p>
      <w:pPr>
        <w:pStyle w:val="FirstParagraph"/>
      </w:pPr>
      <w:r>
        <w:t xml:space="preserve">K-means remains one of the most widely used unsupervised methods because of its simplicity, scalability, and interpretability in market segmentation tasks</w:t>
      </w:r>
      <w:r>
        <w:t xml:space="preserve"> </w:t>
      </w:r>
      <w:r>
        <w:t xml:space="preserve">. Hierarchical clustering complements partition-based approaches by exposing nested relationships and supporting structural validation</w:t>
      </w:r>
      <w:r>
        <w:t xml:space="preserve"> </w:t>
      </w:r>
      <w:r>
        <w:t xml:space="preserve">. Silhouette analysis is commonly used to compare cluster counts because it jointly measures cohesion and separation</w:t>
      </w:r>
      <w:r>
        <w:t xml:space="preserve"> </w:t>
      </w:r>
      <w:r>
        <w:t xml:space="preserve">. For implementation, the present work used the Scikit-learn ecosystem, which provides a reproducible and well-established toolkit for practical machine learning pipelines</w:t>
      </w:r>
      <w:r>
        <w:t xml:space="preserve"> </w:t>
      </w:r>
      <w:r>
        <w:t xml:space="preserve">.</w:t>
      </w:r>
    </w:p>
    <w:p>
      <w:pPr>
        <w:pStyle w:val="BodyText"/>
      </w:pPr>
      <w:r>
        <w:t xml:space="preserve">Recent segmentation studies continue to show the value of clustering for marketing-oriented decision support. Zheng demonstrated that clustering-based customer segmentation can directly inform differentiated business actions</w:t>
      </w:r>
      <w:r>
        <w:t xml:space="preserve"> </w:t>
      </w:r>
      <w:r>
        <w:t xml:space="preserve">. Afzal</w:t>
      </w:r>
      <w:r>
        <w:t xml:space="preserve"> </w:t>
      </w:r>
      <w:r>
        <w:rPr>
          <w:i/>
          <w:iCs/>
        </w:rPr>
        <w:t xml:space="preserve">et al.</w:t>
      </w:r>
      <w:r>
        <w:t xml:space="preserve"> </w:t>
      </w:r>
      <w:r>
        <w:t xml:space="preserve">further showed that hierarchical clustering can provide meaningful segments for customer-facing strategy design</w:t>
      </w:r>
      <w:r>
        <w:t xml:space="preserve"> </w:t>
      </w:r>
      <w:r>
        <w:t xml:space="preserve">. However, comparatively fewer project-driven studies focus on real estate buyers by combining demographic fields with repeated transaction behavior. This gap motivates the present application.</w:t>
      </w:r>
    </w:p>
    <w:bookmarkEnd w:id="10"/>
    <w:bookmarkStart w:id="14" w:name="dataset-and-methodology"/>
    <w:p>
      <w:pPr>
        <w:pStyle w:val="Heading1"/>
      </w:pPr>
      <w:r>
        <w:t xml:space="preserve">Dataset and Methodology</w:t>
      </w:r>
    </w:p>
    <w:bookmarkStart w:id="11" w:name="dataset-description"/>
    <w:p>
      <w:pPr>
        <w:pStyle w:val="Heading2"/>
      </w:pPr>
      <w:r>
        <w:t xml:space="preserve">Dataset Description</w:t>
      </w:r>
    </w:p>
    <w:p>
      <w:pPr>
        <w:pStyle w:val="FirstParagraph"/>
      </w:pPr>
      <w:r>
        <w:t xml:space="preserve">The study used two linked datasets produced for the project: a client table and a property transaction table. After cleaning, the working data contained 2</w:t>
      </w:r>
      <w:r>
        <w:t xml:space="preserve">,</w:t>
      </w:r>
      <w:r>
        <w:t xml:space="preserve">000 unique clients and 10</w:t>
      </w:r>
      <w:r>
        <w:t xml:space="preserve">,</w:t>
      </w:r>
      <w:r>
        <w:t xml:space="preserve">000 property records. The client data included buyer type, gender, country, region, date of birth, acquisition purpose, loan status, referral channel, and satisfaction score. The property data included unit type, floor area, sale price, listing status, transaction date, and client reference.</w:t>
      </w:r>
    </w:p>
    <w:p>
      <w:pPr>
        <w:pStyle w:val="BodyText"/>
      </w:pPr>
      <w:r>
        <w:t xml:space="preserve">The buyer population is dominated by domestic individual customers. The United States represents 76.9% of all clients, while international buyers account for 23.1%. Loan-assisted customers represent 36.8% of the dataset, investment-oriented acquisitions account for 30.75%, and corporate buyers represent 5.15%.</w:t>
      </w:r>
    </w:p>
    <w:bookmarkEnd w:id="11"/>
    <w:bookmarkStart w:id="12" w:name="preprocessing-and-feature-engineering"/>
    <w:p>
      <w:pPr>
        <w:pStyle w:val="Heading2"/>
      </w:pPr>
      <w:r>
        <w:t xml:space="preserve">Preprocessing and Feature Engineering</w:t>
      </w:r>
    </w:p>
    <w:p>
      <w:pPr>
        <w:pStyle w:val="FirstParagraph"/>
      </w:pPr>
      <w:r>
        <w:t xml:space="preserve">The preprocessing pipeline was built to support mixed-type clustering and to ensure that business interpretation remained feasible. The following steps were applied:</w:t>
      </w:r>
    </w:p>
    <w:p>
      <w:pPr>
        <w:numPr>
          <w:ilvl w:val="0"/>
          <w:numId w:val="1001"/>
        </w:numPr>
      </w:pPr>
      <w:r>
        <w:t xml:space="preserve">Duplicate client and listing records were removed.</w:t>
      </w:r>
    </w:p>
    <w:p>
      <w:pPr>
        <w:numPr>
          <w:ilvl w:val="0"/>
          <w:numId w:val="1001"/>
        </w:numPr>
      </w:pPr>
      <w:r>
        <w:t xml:space="preserve">Mixed-format date fields were parsed and standardized.</w:t>
      </w:r>
    </w:p>
    <w:p>
      <w:pPr>
        <w:numPr>
          <w:ilvl w:val="0"/>
          <w:numId w:val="1001"/>
        </w:numPr>
      </w:pPr>
      <w:r>
        <w:t xml:space="preserve">Categorical labels were normalized, for example mapping</w:t>
      </w:r>
      <w:r>
        <w:t xml:space="preserve"> </w:t>
      </w:r>
      <w:r>
        <w:t xml:space="preserve">“Company”</w:t>
      </w:r>
      <w:r>
        <w:t xml:space="preserve"> </w:t>
      </w:r>
      <w:r>
        <w:t xml:space="preserve">to</w:t>
      </w:r>
      <w:r>
        <w:t xml:space="preserve"> </w:t>
      </w:r>
      <w:r>
        <w:t xml:space="preserve">“Corporate”</w:t>
      </w:r>
      <w:r>
        <w:t xml:space="preserve"> </w:t>
      </w:r>
      <w:r>
        <w:t xml:space="preserve">and</w:t>
      </w:r>
      <w:r>
        <w:t xml:space="preserve"> </w:t>
      </w:r>
      <w:r>
        <w:t xml:space="preserve">“Home”</w:t>
      </w:r>
      <w:r>
        <w:t xml:space="preserve"> </w:t>
      </w:r>
      <w:r>
        <w:t xml:space="preserve">to</w:t>
      </w:r>
      <w:r>
        <w:t xml:space="preserve"> </w:t>
      </w:r>
      <w:r>
        <w:t xml:space="preserve">“Personal Use.”</w:t>
      </w:r>
    </w:p>
    <w:p>
      <w:pPr>
        <w:numPr>
          <w:ilvl w:val="0"/>
          <w:numId w:val="1001"/>
        </w:numPr>
      </w:pPr>
      <w:r>
        <w:t xml:space="preserve">Sale prices were converted from currency strings into numeric values.</w:t>
      </w:r>
    </w:p>
    <w:p>
      <w:pPr>
        <w:numPr>
          <w:ilvl w:val="0"/>
          <w:numId w:val="1001"/>
        </w:numPr>
      </w:pPr>
      <w:r>
        <w:t xml:space="preserve">Behavioral features were engineered from property history, including purchase count, total spend, average spend per property, maximum spend, average area, tower diversity, office-share ratio, holding window, and recency of the latest purchase.</w:t>
      </w:r>
    </w:p>
    <w:p>
      <w:pPr>
        <w:numPr>
          <w:ilvl w:val="0"/>
          <w:numId w:val="1001"/>
        </w:numPr>
      </w:pPr>
      <w:r>
        <w:t xml:space="preserve">Categorical attributes were transformed using one-hot encoding, while numeric variables were standardized using z-score scaling.</w:t>
      </w:r>
    </w:p>
    <w:p>
      <w:pPr>
        <w:pStyle w:val="FirstParagraph"/>
      </w:pPr>
      <w:r>
        <w:t xml:space="preserve">These steps produced a client-level feature matrix suitable for unsupervised learning on demographic, geographic, financing, and investment dimensions.</w:t>
      </w:r>
    </w:p>
    <w:bookmarkEnd w:id="12"/>
    <w:bookmarkStart w:id="13" w:name="clustering-strategy"/>
    <w:p>
      <w:pPr>
        <w:pStyle w:val="Heading2"/>
      </w:pPr>
      <w:r>
        <w:t xml:space="preserve">Clustering Strategy</w:t>
      </w:r>
    </w:p>
    <w:p>
      <w:pPr>
        <w:pStyle w:val="FirstParagraph"/>
      </w:pPr>
      <w:r>
        <w:t xml:space="preserve">K-means clustering was evaluated for cluster counts from</w:t>
      </w:r>
      <w:r>
        <w:t xml:space="preserve"> </w:t>
      </w:r>
      <m:oMath>
        <m:r>
          <m:t>k</m:t>
        </m:r>
        <m:r>
          <m:rPr>
            <m:sty m:val="p"/>
          </m:rPr>
          <m:t>=</m:t>
        </m:r>
        <m:r>
          <m:t>2</m:t>
        </m:r>
      </m:oMath>
      <w:r>
        <w:t xml:space="preserve"> </w:t>
      </w:r>
      <w:r>
        <w:t xml:space="preserve">to</w:t>
      </w:r>
      <w:r>
        <w:t xml:space="preserve"> </w:t>
      </w:r>
      <m:oMath>
        <m:r>
          <m:t>k</m:t>
        </m:r>
        <m:r>
          <m:rPr>
            <m:sty m:val="p"/>
          </m:rPr>
          <m:t>=</m:t>
        </m:r>
        <m:r>
          <m:t>8</m:t>
        </m:r>
      </m:oMath>
      <w:r>
        <w:t xml:space="preserve">. Model selection used inertia and silhouette score, following common cluster validation practice</w:t>
      </w:r>
      <w:r>
        <w:t xml:space="preserve"> </w:t>
      </w:r>
      <w:r>
        <w:t xml:space="preserve">. After selecting the final</w:t>
      </w:r>
      <w:r>
        <w:t xml:space="preserve"> </w:t>
      </w:r>
      <m:oMath>
        <m:r>
          <m:t>k</m:t>
        </m:r>
      </m:oMath>
      <w:r>
        <w:t xml:space="preserve">, Agglomerative Clustering with Ward linkage was trained on the same transformed feature space as a structural comparison model. Agreement between the two labelings was measured using adjusted rand index.</w:t>
      </w:r>
    </w:p>
    <w:bookmarkEnd w:id="13"/>
    <w:bookmarkEnd w:id="14"/>
    <w:bookmarkStart w:id="19" w:name="experimental-results"/>
    <w:p>
      <w:pPr>
        <w:pStyle w:val="Heading1"/>
      </w:pPr>
      <w:r>
        <w:t xml:space="preserve">Experimental Results</w:t>
      </w:r>
    </w:p>
    <w:bookmarkStart w:id="16" w:name="cluster-selection"/>
    <w:p>
      <w:pPr>
        <w:pStyle w:val="Heading2"/>
      </w:pPr>
      <w:r>
        <w:t xml:space="preserve">Cluster Selection</w:t>
      </w:r>
    </w:p>
    <w:p>
      <w:pPr>
        <w:pStyle w:val="FirstParagraph"/>
      </w:pPr>
      <w:r>
        <w:t xml:space="preserve">Table </w:t>
      </w:r>
      <w:hyperlink w:anchor="tab:evaluation">
        <w:r>
          <w:rPr>
            <w:rStyle w:val="Hyperlink"/>
          </w:rPr>
          <w:t xml:space="preserve">1</w:t>
        </w:r>
      </w:hyperlink>
      <w:r>
        <w:t xml:space="preserve"> </w:t>
      </w:r>
      <w:r>
        <w:t xml:space="preserve">summarizes the K-means model selection results. The highest silhouette score was obtained at</w:t>
      </w:r>
      <w:r>
        <w:t xml:space="preserve"> </w:t>
      </w:r>
      <m:oMath>
        <m:r>
          <m:t>k</m:t>
        </m:r>
        <m:r>
          <m:rPr>
            <m:sty m:val="p"/>
          </m:rPr>
          <m:t>=</m:t>
        </m:r>
        <m:r>
          <m:t>4</m:t>
        </m:r>
      </m:oMath>
      <w:r>
        <w:t xml:space="preserve">, which also aligned well with the need for business-ready segmentation.</w:t>
      </w:r>
    </w:p>
    <w:bookmarkStart w:id="15" w:name="tab:evaluation"/>
    <w:p>
      <w:pPr>
        <w:pStyle w:val="TableCaption"/>
      </w:pPr>
      <w:r>
        <w:t xml:space="preserve">Cluster Evaluation for K-means</w:t>
      </w:r>
    </w:p>
    <w:tbl>
      <w:tblPr>
        <w:tblStyle w:val="Table"/>
        <w:tblW w:type="auto" w:w="0"/>
        <w:tblLook w:firstRow="1" w:lastRow="0" w:firstColumn="0" w:lastColumn="0" w:noHBand="0" w:noVBand="0" w:val="0020"/>
        <w:tblCaption w:val="Cluster Evaluation for K-means"/>
      </w:tblPr>
      <w:tblGrid>
        <w:gridCol w:w="2640"/>
        <w:gridCol w:w="2640"/>
        <w:gridCol w:w="2640"/>
      </w:tblGrid>
      <w:tr>
        <w:trPr>
          <w:tblHeader w:val="on"/>
        </w:trPr>
        <w:tc>
          <w:tcPr/>
          <w:p>
            <w:pPr>
              <w:pStyle w:val="Compact"/>
              <w:jc w:val="center"/>
            </w:pPr>
            <m:oMath>
              <m:r>
                <m:t>k</m:t>
              </m:r>
            </m:oMath>
          </w:p>
        </w:tc>
        <w:tc>
          <w:tcPr/>
          <w:p>
            <w:pPr>
              <w:pStyle w:val="Compact"/>
              <w:jc w:val="center"/>
            </w:pPr>
            <w:r>
              <w:t xml:space="preserve">Inertia</w:t>
            </w:r>
          </w:p>
        </w:tc>
        <w:tc>
          <w:tcPr/>
          <w:p>
            <w:pPr>
              <w:pStyle w:val="Compact"/>
              <w:jc w:val="center"/>
            </w:pPr>
            <w:r>
              <w:t xml:space="preserve">Silhouette</w:t>
            </w:r>
          </w:p>
        </w:tc>
      </w:tr>
      <w:tr>
        <w:tc>
          <w:tcPr/>
          <w:p>
            <w:pPr>
              <w:pStyle w:val="Compact"/>
              <w:jc w:val="center"/>
            </w:pPr>
            <w:r>
              <w:t xml:space="preserve">2</w:t>
            </w:r>
          </w:p>
        </w:tc>
        <w:tc>
          <w:tcPr/>
          <w:p>
            <w:pPr>
              <w:pStyle w:val="Compact"/>
              <w:jc w:val="center"/>
            </w:pPr>
            <w:r>
              <w:t xml:space="preserve">22351.24</w:t>
            </w:r>
          </w:p>
        </w:tc>
        <w:tc>
          <w:tcPr/>
          <w:p>
            <w:pPr>
              <w:pStyle w:val="Compact"/>
              <w:jc w:val="center"/>
            </w:pPr>
            <w:r>
              <w:t xml:space="preserve">0.1458</w:t>
            </w:r>
          </w:p>
        </w:tc>
      </w:tr>
      <w:tr>
        <w:tc>
          <w:tcPr/>
          <w:p>
            <w:pPr>
              <w:pStyle w:val="Compact"/>
              <w:jc w:val="center"/>
            </w:pPr>
            <w:r>
              <w:t xml:space="preserve">3</w:t>
            </w:r>
          </w:p>
        </w:tc>
        <w:tc>
          <w:tcPr/>
          <w:p>
            <w:pPr>
              <w:pStyle w:val="Compact"/>
              <w:jc w:val="center"/>
            </w:pPr>
            <w:r>
              <w:t xml:space="preserve">19492.79</w:t>
            </w:r>
          </w:p>
        </w:tc>
        <w:tc>
          <w:tcPr/>
          <w:p>
            <w:pPr>
              <w:pStyle w:val="Compact"/>
              <w:jc w:val="center"/>
            </w:pPr>
            <w:r>
              <w:t xml:space="preserve">0.1618</w:t>
            </w:r>
          </w:p>
        </w:tc>
      </w:tr>
      <w:tr>
        <w:tc>
          <w:tcPr/>
          <w:p>
            <w:pPr>
              <w:pStyle w:val="Compact"/>
              <w:jc w:val="center"/>
            </w:pPr>
            <w:r>
              <w:t xml:space="preserve">4</w:t>
            </w:r>
          </w:p>
        </w:tc>
        <w:tc>
          <w:tcPr/>
          <w:p>
            <w:pPr>
              <w:pStyle w:val="Compact"/>
              <w:jc w:val="center"/>
            </w:pPr>
            <w:r>
              <w:t xml:space="preserve">17494.82</w:t>
            </w:r>
          </w:p>
        </w:tc>
        <w:tc>
          <w:tcPr/>
          <w:p>
            <w:pPr>
              <w:pStyle w:val="Compact"/>
              <w:jc w:val="center"/>
            </w:pPr>
            <w:r>
              <w:t xml:space="preserve">0.1713</w:t>
            </w:r>
          </w:p>
        </w:tc>
      </w:tr>
      <w:tr>
        <w:tc>
          <w:tcPr/>
          <w:p>
            <w:pPr>
              <w:pStyle w:val="Compact"/>
              <w:jc w:val="center"/>
            </w:pPr>
            <w:r>
              <w:t xml:space="preserve">5</w:t>
            </w:r>
          </w:p>
        </w:tc>
        <w:tc>
          <w:tcPr/>
          <w:p>
            <w:pPr>
              <w:pStyle w:val="Compact"/>
              <w:jc w:val="center"/>
            </w:pPr>
            <w:r>
              <w:t xml:space="preserve">16291.80</w:t>
            </w:r>
          </w:p>
        </w:tc>
        <w:tc>
          <w:tcPr/>
          <w:p>
            <w:pPr>
              <w:pStyle w:val="Compact"/>
              <w:jc w:val="center"/>
            </w:pPr>
            <w:r>
              <w:t xml:space="preserve">0.1486</w:t>
            </w:r>
          </w:p>
        </w:tc>
      </w:tr>
      <w:tr>
        <w:tc>
          <w:tcPr/>
          <w:p>
            <w:pPr>
              <w:pStyle w:val="Compact"/>
              <w:jc w:val="center"/>
            </w:pPr>
            <w:r>
              <w:t xml:space="preserve">6</w:t>
            </w:r>
          </w:p>
        </w:tc>
        <w:tc>
          <w:tcPr/>
          <w:p>
            <w:pPr>
              <w:pStyle w:val="Compact"/>
              <w:jc w:val="center"/>
            </w:pPr>
            <w:r>
              <w:t xml:space="preserve">15506.28</w:t>
            </w:r>
          </w:p>
        </w:tc>
        <w:tc>
          <w:tcPr/>
          <w:p>
            <w:pPr>
              <w:pStyle w:val="Compact"/>
              <w:jc w:val="center"/>
            </w:pPr>
            <w:r>
              <w:t xml:space="preserve">0.1286</w:t>
            </w:r>
          </w:p>
        </w:tc>
      </w:tr>
      <w:tr>
        <w:tc>
          <w:tcPr/>
          <w:p>
            <w:pPr>
              <w:pStyle w:val="Compact"/>
              <w:jc w:val="center"/>
            </w:pPr>
            <w:r>
              <w:t xml:space="preserve">7</w:t>
            </w:r>
          </w:p>
        </w:tc>
        <w:tc>
          <w:tcPr/>
          <w:p>
            <w:pPr>
              <w:pStyle w:val="Compact"/>
              <w:jc w:val="center"/>
            </w:pPr>
            <w:r>
              <w:t xml:space="preserve">14729.60</w:t>
            </w:r>
          </w:p>
        </w:tc>
        <w:tc>
          <w:tcPr/>
          <w:p>
            <w:pPr>
              <w:pStyle w:val="Compact"/>
              <w:jc w:val="center"/>
            </w:pPr>
            <w:r>
              <w:t xml:space="preserve">0.1325</w:t>
            </w:r>
          </w:p>
        </w:tc>
      </w:tr>
      <w:tr>
        <w:tc>
          <w:tcPr/>
          <w:p>
            <w:pPr>
              <w:pStyle w:val="Compact"/>
              <w:jc w:val="center"/>
            </w:pPr>
            <w:r>
              <w:t xml:space="preserve">8</w:t>
            </w:r>
          </w:p>
        </w:tc>
        <w:tc>
          <w:tcPr/>
          <w:p>
            <w:pPr>
              <w:pStyle w:val="Compact"/>
              <w:jc w:val="center"/>
            </w:pPr>
            <w:r>
              <w:t xml:space="preserve">14269.36</w:t>
            </w:r>
          </w:p>
        </w:tc>
        <w:tc>
          <w:tcPr/>
          <w:p>
            <w:pPr>
              <w:pStyle w:val="Compact"/>
              <w:jc w:val="center"/>
            </w:pPr>
            <w:r>
              <w:t xml:space="preserve">0.1253</w:t>
            </w:r>
          </w:p>
        </w:tc>
      </w:tr>
    </w:tbl>
    <w:bookmarkEnd w:id="15"/>
    <w:p>
      <w:pPr>
        <w:pStyle w:val="BodyText"/>
      </w:pPr>
      <w:r>
        <w:t xml:space="preserve">The final K-means model reached a silhouette score of 0.1713. The hierarchical benchmark produced a silhouette score of 0.1285, and the adjusted rand agreement between the two partitions was 0.5363. This indicates moderate structural consistency while still reflecting the different inductive biases of partition-based and agglomerative methods.</w:t>
      </w:r>
    </w:p>
    <w:bookmarkEnd w:id="16"/>
    <w:bookmarkStart w:id="18" w:name="buyer-segment-interpretation"/>
    <w:p>
      <w:pPr>
        <w:pStyle w:val="Heading2"/>
      </w:pPr>
      <w:r>
        <w:t xml:space="preserve">Buyer Segment Interpretation</w:t>
      </w:r>
    </w:p>
    <w:p>
      <w:pPr>
        <w:pStyle w:val="FirstParagraph"/>
      </w:pPr>
      <w:r>
        <w:t xml:space="preserve">The four clusters were labeled according to their dominant purchasing and financing patterns. Table </w:t>
      </w:r>
      <w:hyperlink w:anchor="tab:segments">
        <w:r>
          <w:rPr>
            <w:rStyle w:val="Hyperlink"/>
          </w:rPr>
          <w:t xml:space="preserve">2</w:t>
        </w:r>
      </w:hyperlink>
      <w:r>
        <w:t xml:space="preserve"> </w:t>
      </w:r>
      <w:r>
        <w:t xml:space="preserve">reports the main segment statistics.</w:t>
      </w:r>
    </w:p>
    <w:bookmarkStart w:id="17" w:name="tab:segments"/>
    <w:p>
      <w:pPr>
        <w:pStyle w:val="TableCaption"/>
      </w:pPr>
      <w:r>
        <w:t xml:space="preserve">Interpreted Buyer Segments</w:t>
      </w:r>
    </w:p>
    <w:tbl>
      <w:tblPr>
        <w:tblStyle w:val="Table"/>
        <w:tblW w:type="auto" w:w="0"/>
        <w:tblLook w:firstRow="1" w:lastRow="0" w:firstColumn="0" w:lastColumn="0" w:noHBand="0" w:noVBand="0" w:val="0020"/>
        <w:tblCaption w:val="Interpreted Buyer Segments"/>
      </w:tblPr>
      <w:tblGrid>
        <w:gridCol w:w="1980"/>
        <w:gridCol w:w="1980"/>
        <w:gridCol w:w="1980"/>
        <w:gridCol w:w="1980"/>
      </w:tblGrid>
      <w:tr>
        <w:trPr>
          <w:tblHeader w:val="on"/>
        </w:trPr>
        <w:tc>
          <w:tcPr/>
          <w:p>
            <w:pPr>
              <w:pStyle w:val="Compact"/>
              <w:jc w:val="left"/>
            </w:pPr>
            <w:r>
              <w:t xml:space="preserve">Segment</w:t>
            </w:r>
          </w:p>
        </w:tc>
        <w:tc>
          <w:tcPr/>
          <w:p>
            <w:pPr>
              <w:pStyle w:val="Compact"/>
              <w:jc w:val="center"/>
            </w:pPr>
            <w:r>
              <w:t xml:space="preserve">Buyers</w:t>
            </w:r>
          </w:p>
        </w:tc>
        <w:tc>
          <w:tcPr/>
          <w:p>
            <w:pPr>
              <w:pStyle w:val="Compact"/>
              <w:jc w:val="center"/>
            </w:pPr>
            <w:r>
              <w:t xml:space="preserve">Avg. Purchase Count</w:t>
            </w:r>
          </w:p>
        </w:tc>
        <w:tc>
          <w:tcPr/>
          <w:p>
            <w:pPr>
              <w:pStyle w:val="Compact"/>
              <w:jc w:val="center"/>
            </w:pPr>
            <w:r>
              <w:t xml:space="preserve">Avg. Total Spend (USD)</w:t>
            </w:r>
          </w:p>
        </w:tc>
      </w:tr>
      <w:tr>
        <w:tc>
          <w:tcPr/>
          <w:p>
            <w:pPr>
              <w:pStyle w:val="Compact"/>
              <w:jc w:val="left"/>
            </w:pPr>
            <w:r>
              <w:t xml:space="preserve">Portfolio Investors</w:t>
            </w:r>
          </w:p>
        </w:tc>
        <w:tc>
          <w:tcPr/>
          <w:p>
            <w:pPr>
              <w:pStyle w:val="Compact"/>
              <w:jc w:val="center"/>
            </w:pPr>
            <w:r>
              <w:t xml:space="preserve">44</w:t>
            </w:r>
          </w:p>
        </w:tc>
        <w:tc>
          <w:tcPr/>
          <w:p>
            <w:pPr>
              <w:pStyle w:val="Compact"/>
              <w:jc w:val="center"/>
            </w:pPr>
            <w:r>
              <w:t xml:space="preserve">7.50</w:t>
            </w:r>
          </w:p>
        </w:tc>
        <w:tc>
          <w:tcPr/>
          <w:p>
            <w:pPr>
              <w:pStyle w:val="Compact"/>
              <w:jc w:val="center"/>
            </w:pPr>
            <w:r>
              <w:t xml:space="preserve">2</w:t>
            </w:r>
            <w:r>
              <w:t xml:space="preserve">,</w:t>
            </w:r>
            <w:r>
              <w:t xml:space="preserve">477</w:t>
            </w:r>
            <w:r>
              <w:t xml:space="preserve">,</w:t>
            </w:r>
            <w:r>
              <w:t xml:space="preserve">339</w:t>
            </w:r>
          </w:p>
        </w:tc>
      </w:tr>
      <w:tr>
        <w:tc>
          <w:tcPr/>
          <w:p>
            <w:pPr>
              <w:pStyle w:val="Compact"/>
              <w:jc w:val="left"/>
            </w:pPr>
            <w:r>
              <w:t xml:space="preserve">Premium Buyers</w:t>
            </w:r>
          </w:p>
        </w:tc>
        <w:tc>
          <w:tcPr/>
          <w:p>
            <w:pPr>
              <w:pStyle w:val="Compact"/>
              <w:jc w:val="center"/>
            </w:pPr>
            <w:r>
              <w:t xml:space="preserve">826</w:t>
            </w:r>
          </w:p>
        </w:tc>
        <w:tc>
          <w:tcPr/>
          <w:p>
            <w:pPr>
              <w:pStyle w:val="Compact"/>
              <w:jc w:val="center"/>
            </w:pPr>
            <w:r>
              <w:t xml:space="preserve">3.65</w:t>
            </w:r>
          </w:p>
        </w:tc>
        <w:tc>
          <w:tcPr/>
          <w:p>
            <w:pPr>
              <w:pStyle w:val="Compact"/>
              <w:jc w:val="center"/>
            </w:pPr>
            <w:r>
              <w:t xml:space="preserve">1</w:t>
            </w:r>
            <w:r>
              <w:t xml:space="preserve">,</w:t>
            </w:r>
            <w:r>
              <w:t xml:space="preserve">442</w:t>
            </w:r>
            <w:r>
              <w:t xml:space="preserve">,</w:t>
            </w:r>
            <w:r>
              <w:t xml:space="preserve">020</w:t>
            </w:r>
          </w:p>
        </w:tc>
      </w:tr>
      <w:tr>
        <w:tc>
          <w:tcPr/>
          <w:p>
            <w:pPr>
              <w:pStyle w:val="Compact"/>
              <w:jc w:val="left"/>
            </w:pPr>
            <w:r>
              <w:t xml:space="preserve">Core Growth Buyers</w:t>
            </w:r>
          </w:p>
        </w:tc>
        <w:tc>
          <w:tcPr/>
          <w:p>
            <w:pPr>
              <w:pStyle w:val="Compact"/>
              <w:jc w:val="center"/>
            </w:pPr>
            <w:r>
              <w:t xml:space="preserve">357</w:t>
            </w:r>
          </w:p>
        </w:tc>
        <w:tc>
          <w:tcPr/>
          <w:p>
            <w:pPr>
              <w:pStyle w:val="Compact"/>
              <w:jc w:val="center"/>
            </w:pPr>
            <w:r>
              <w:t xml:space="preserve">3.37</w:t>
            </w:r>
          </w:p>
        </w:tc>
        <w:tc>
          <w:tcPr/>
          <w:p>
            <w:pPr>
              <w:pStyle w:val="Compact"/>
              <w:jc w:val="center"/>
            </w:pPr>
            <w:r>
              <w:t xml:space="preserve">1</w:t>
            </w:r>
            <w:r>
              <w:t xml:space="preserve">,</w:t>
            </w:r>
            <w:r>
              <w:t xml:space="preserve">175</w:t>
            </w:r>
            <w:r>
              <w:t xml:space="preserve">,</w:t>
            </w:r>
            <w:r>
              <w:t xml:space="preserve">395</w:t>
            </w:r>
          </w:p>
        </w:tc>
      </w:tr>
      <w:tr>
        <w:tc>
          <w:tcPr/>
          <w:p>
            <w:pPr>
              <w:pStyle w:val="Compact"/>
              <w:jc w:val="left"/>
            </w:pPr>
            <w:r>
              <w:t xml:space="preserve">Financed Value Seekers</w:t>
            </w:r>
          </w:p>
        </w:tc>
        <w:tc>
          <w:tcPr/>
          <w:p>
            <w:pPr>
              <w:pStyle w:val="Compact"/>
              <w:jc w:val="center"/>
            </w:pPr>
            <w:r>
              <w:t xml:space="preserve">773</w:t>
            </w:r>
          </w:p>
        </w:tc>
        <w:tc>
          <w:tcPr/>
          <w:p>
            <w:pPr>
              <w:pStyle w:val="Compact"/>
              <w:jc w:val="center"/>
            </w:pPr>
            <w:r>
              <w:t xml:space="preserve">3.57</w:t>
            </w:r>
          </w:p>
        </w:tc>
        <w:tc>
          <w:tcPr/>
          <w:p>
            <w:pPr>
              <w:pStyle w:val="Compact"/>
              <w:jc w:val="center"/>
            </w:pPr>
            <w:r>
              <w:t xml:space="preserve">1</w:t>
            </w:r>
            <w:r>
              <w:t xml:space="preserve">,</w:t>
            </w:r>
            <w:r>
              <w:t xml:space="preserve">036</w:t>
            </w:r>
            <w:r>
              <w:t xml:space="preserve">,</w:t>
            </w:r>
            <w:r>
              <w:t xml:space="preserve">253</w:t>
            </w:r>
          </w:p>
        </w:tc>
      </w:tr>
    </w:tbl>
    <w:bookmarkEnd w:id="17"/>
    <w:p>
      <w:pPr>
        <w:pStyle w:val="BodyText"/>
      </w:pPr>
      <w:r>
        <w:t xml:space="preserve">Portfolio Investors form the smallest segment, at 2.2% of buyers, but they exhibit by far the highest aggregate spend and the deepest repeat-purchase behavior. Premium Buyers represent the largest high-value segment, combining above-average spend with relatively large property areas. Core Growth Buyers show balanced transaction depth and moderate total spending, making them suitable candidates for cross-sell and repeat-purchase campaigns. Financed Value Seekers display the highest loan dependence at 38.68%, indicating a segment that may respond strongly to affordability messaging and assisted financing workflows.</w:t>
      </w:r>
    </w:p>
    <w:p>
      <w:pPr>
        <w:pStyle w:val="BodyText"/>
      </w:pPr>
      <w:r>
        <w:t xml:space="preserve">The geographic distribution is concentrated in California, which contributes 633 buyers, followed by Nevada, Colorado, Arizona, and Oregon. This suggests that marketing and investor outreach can be optimized through a two-level strategy: scale-oriented campaigns in the highest-volume domestic regions and segment-specific campaigns in secondary markets.</w:t>
      </w:r>
    </w:p>
    <w:bookmarkEnd w:id="18"/>
    <w:bookmarkEnd w:id="19"/>
    <w:bookmarkStart w:id="20" w:name="discussion"/>
    <w:p>
      <w:pPr>
        <w:pStyle w:val="Heading1"/>
      </w:pPr>
      <w:r>
        <w:t xml:space="preserve">Discussion</w:t>
      </w:r>
    </w:p>
    <w:p>
      <w:pPr>
        <w:pStyle w:val="FirstParagraph"/>
      </w:pPr>
      <w:r>
        <w:t xml:space="preserve">The results show that meaningful real estate buyer personas can be identified even without supervised labels. In this dataset, the strongest segmentation signal came from behavioral transaction features rather than corporate or purely international status. This is an important empirical finding: although conceptual problem statements often emphasize corporate or global buyers, the observed data indicates that purchase depth, spend per property, and financing dependence are more influential discriminators for segmentation.</w:t>
      </w:r>
    </w:p>
    <w:p>
      <w:pPr>
        <w:pStyle w:val="BodyText"/>
      </w:pPr>
      <w:r>
        <w:t xml:space="preserve">From an operational perspective, the segments support direct business actions. Portfolio Investors are well suited for bundled inventory recommendations and early access to new launches. Premium Buyers can be targeted with larger-unit inventory and concierge-style outreach. Core Growth Buyers are appropriate for repeat-purchase incentives and balanced investment marketing. Financed Value Seekers should receive decision support centered on affordability, loan assistance, and transparent payment planning.</w:t>
      </w:r>
    </w:p>
    <w:p>
      <w:pPr>
        <w:pStyle w:val="BodyText"/>
      </w:pPr>
      <w:r>
        <w:t xml:space="preserve">The project also demonstrates that clustering results become more useful when embedded into an interactive analytics interface. The accompanying dashboard allows filtering by country, region, acquisition purpose, and client type, making the segment definitions more practical for sales and marketing teams.</w:t>
      </w:r>
    </w:p>
    <w:bookmarkEnd w:id="20"/>
    <w:bookmarkStart w:id="21" w:name="limitations"/>
    <w:p>
      <w:pPr>
        <w:pStyle w:val="Heading1"/>
      </w:pPr>
      <w:r>
        <w:t xml:space="preserve">Limitations</w:t>
      </w:r>
    </w:p>
    <w:p>
      <w:pPr>
        <w:pStyle w:val="FirstParagraph"/>
      </w:pPr>
      <w:r>
        <w:t xml:space="preserve">This study has several limitations. First, the dataset is heavily dominated by United States buyers, which reduces the likelihood of discovering strongly international clusters. Second, corporate buyers form a small minority, so company-specific patterns do not emerge as a standalone cluster. Third, the silhouette score, while highest at</w:t>
      </w:r>
      <w:r>
        <w:t xml:space="preserve"> </w:t>
      </w:r>
      <m:oMath>
        <m:r>
          <m:t>k</m:t>
        </m:r>
        <m:r>
          <m:rPr>
            <m:sty m:val="p"/>
          </m:rPr>
          <m:t>=</m:t>
        </m:r>
        <m:r>
          <m:t>4</m:t>
        </m:r>
      </m:oMath>
      <w:r>
        <w:t xml:space="preserve">, remains modest in absolute terms; therefore, the clusters should be interpreted as decision-support groupings rather than strict natural classes. Finally, the data reflects the available transactional variables and does not include direct income, asset valuation, or long-term retention outcomes.</w:t>
      </w:r>
    </w:p>
    <w:bookmarkEnd w:id="21"/>
    <w:bookmarkStart w:id="22" w:name="conclusion"/>
    <w:p>
      <w:pPr>
        <w:pStyle w:val="Heading1"/>
      </w:pPr>
      <w:r>
        <w:t xml:space="preserve">Conclusion</w:t>
      </w:r>
    </w:p>
    <w:p>
      <w:pPr>
        <w:pStyle w:val="FirstParagraph"/>
      </w:pPr>
      <w:r>
        <w:t xml:space="preserve">This paper presented an IEEE-style research summary of a machine learning project for buyer segmentation and investment profiling in real estate market intelligence. Using cleaned client records and transactional features, the study identified four actionable buyer segments through K-means clustering and validated them with hierarchical clustering. The final segmentation provides a practical basis for targeted marketing, investment recommendation, financing assistance, and regional strategy planning. Future work can extend the system with temporal forecasting, explainability layers, and recommendation models tailored to each buyer profile.</w:t>
      </w:r>
    </w:p>
    <w:p>
      <w:pPr>
        <w:pStyle w:val="BodyText"/>
      </w:pPr>
      <w:r>
        <w:t xml:space="preserve">00</w:t>
      </w:r>
    </w:p>
    <w:p>
      <w:pPr>
        <w:pStyle w:val="BodyText"/>
      </w:pPr>
      <w:r>
        <w:t xml:space="preserve">J. MacQueen,</w:t>
      </w:r>
      <w:r>
        <w:t xml:space="preserve"> </w:t>
      </w:r>
      <w:r>
        <w:t xml:space="preserve">“Some Methods for Classification and Analysis of Multivariate Observations,”</w:t>
      </w:r>
      <w:r>
        <w:t xml:space="preserve"> </w:t>
      </w:r>
      <w:r>
        <w:t xml:space="preserve">in</w:t>
      </w:r>
      <w:r>
        <w:t xml:space="preserve"> </w:t>
      </w:r>
      <w:r>
        <w:rPr>
          <w:i/>
          <w:iCs/>
        </w:rPr>
        <w:t xml:space="preserve">Proceedings of the Fifth Berkeley Symposium on Mathematical Statistics and Probability</w:t>
      </w:r>
      <w:r>
        <w:t xml:space="preserve">, vol. 1, Berkeley, CA, USA, 1967, pp. 281–297.</w:t>
      </w:r>
    </w:p>
    <w:p>
      <w:pPr>
        <w:pStyle w:val="BodyText"/>
      </w:pPr>
      <w:r>
        <w:t xml:space="preserve">J. H. Ward, Jr.,</w:t>
      </w:r>
      <w:r>
        <w:t xml:space="preserve"> </w:t>
      </w:r>
      <w:r>
        <w:t xml:space="preserve">“Hierarchical Grouping to Optimize an Objective Function,”</w:t>
      </w:r>
      <w:r>
        <w:t xml:space="preserve"> </w:t>
      </w:r>
      <w:r>
        <w:rPr>
          <w:i/>
          <w:iCs/>
        </w:rPr>
        <w:t xml:space="preserve">Journal of the American Statistical Association</w:t>
      </w:r>
      <w:r>
        <w:t xml:space="preserve">, vol. 58, no. 301, pp. 236–244, 1963, doi: 10.1080/01621459.1963.10500845.</w:t>
      </w:r>
    </w:p>
    <w:p>
      <w:pPr>
        <w:pStyle w:val="BodyText"/>
      </w:pPr>
      <w:r>
        <w:t xml:space="preserve">P. J. Rousseeuw,</w:t>
      </w:r>
      <w:r>
        <w:t xml:space="preserve"> </w:t>
      </w:r>
      <w:r>
        <w:t xml:space="preserve">“Silhouettes: A Graphical Aid to the Interpretation and Validation of Cluster Analysis,”</w:t>
      </w:r>
      <w:r>
        <w:t xml:space="preserve"> </w:t>
      </w:r>
      <w:r>
        <w:rPr>
          <w:i/>
          <w:iCs/>
        </w:rPr>
        <w:t xml:space="preserve">Journal of Computational and Applied Mathematics</w:t>
      </w:r>
      <w:r>
        <w:t xml:space="preserve">, vol. 20, pp. 53–65, 1987, doi: 10.1016/0377-0427(87)90125-7.</w:t>
      </w:r>
    </w:p>
    <w:p>
      <w:pPr>
        <w:pStyle w:val="BodyText"/>
      </w:pPr>
      <w:r>
        <w:t xml:space="preserve">F. Pedregosa</w:t>
      </w:r>
      <w:r>
        <w:t xml:space="preserve"> </w:t>
      </w:r>
      <w:r>
        <w:rPr>
          <w:i/>
          <w:iCs/>
        </w:rPr>
        <w:t xml:space="preserve">et al.</w:t>
      </w:r>
      <w:r>
        <w:t xml:space="preserve">,</w:t>
      </w:r>
      <w:r>
        <w:t xml:space="preserve"> </w:t>
      </w:r>
      <w:r>
        <w:t xml:space="preserve">“Scikit-learn: Machine Learning in Python,”</w:t>
      </w:r>
      <w:r>
        <w:t xml:space="preserve"> </w:t>
      </w:r>
      <w:r>
        <w:rPr>
          <w:i/>
          <w:iCs/>
        </w:rPr>
        <w:t xml:space="preserve">Journal of Machine Learning Research</w:t>
      </w:r>
      <w:r>
        <w:t xml:space="preserve">, vol. 12, no. 85, pp. 2825–2830, 2011.</w:t>
      </w:r>
    </w:p>
    <w:p>
      <w:pPr>
        <w:pStyle w:val="BodyText"/>
      </w:pPr>
      <w:r>
        <w:t xml:space="preserve">Y. Zheng,</w:t>
      </w:r>
      <w:r>
        <w:t xml:space="preserve"> </w:t>
      </w:r>
      <w:r>
        <w:t xml:space="preserve">“Customer segmentation research in marketing through clustering algorithm analysis,”</w:t>
      </w:r>
      <w:r>
        <w:t xml:space="preserve"> </w:t>
      </w:r>
      <w:r>
        <w:rPr>
          <w:i/>
          <w:iCs/>
        </w:rPr>
        <w:t xml:space="preserve">Journal of Intelligent &amp; Fuzzy Systems</w:t>
      </w:r>
      <w:r>
        <w:t xml:space="preserve">, vol. 45, no. 4, pp. 5915–5922, 2023, doi: 10.3233/JIFS-232589.</w:t>
      </w:r>
    </w:p>
    <w:p>
      <w:pPr>
        <w:pStyle w:val="BodyText"/>
      </w:pPr>
      <w:r>
        <w:t xml:space="preserve">A. Afzal, L. Khan, M. Z. Hussain, M. Z. Hasan, M. Mustafa, A. Khalid, R. Awan, F. Ashraf, Z. A. Khan, and A. Javaid,</w:t>
      </w:r>
      <w:r>
        <w:t xml:space="preserve"> </w:t>
      </w:r>
      <w:r>
        <w:t xml:space="preserve">“Customer Segmentation Using Hierarchical Clustering,”</w:t>
      </w:r>
      <w:r>
        <w:t xml:space="preserve"> </w:t>
      </w:r>
      <w:r>
        <w:t xml:space="preserve">in</w:t>
      </w:r>
      <w:r>
        <w:t xml:space="preserve"> </w:t>
      </w:r>
      <w:r>
        <w:rPr>
          <w:i/>
          <w:iCs/>
        </w:rPr>
        <w:t xml:space="preserve">2024 IEEE 9th International Conference for Convergence in Technology (I2CT)</w:t>
      </w:r>
      <w:r>
        <w:t xml:space="preserve">, Pune, India, Apr. 2024, pp. 1–6, doi: 10.1109/I2CT61223.2024.10543349.</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Buyer Segmentation and Investment Profiling for Real Estate Market Intelligence</dc:title>
  <dc:creator/>
  <cp:keywords/>
  <dcterms:created xsi:type="dcterms:W3CDTF">2026-04-10T11:02:09Z</dcterms:created>
  <dcterms:modified xsi:type="dcterms:W3CDTF">2026-04-10T11:02:09Z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Real estate organizations often rely on broad demographic assumptions when targeting customers, even though buyer intent, financing dependence, and purchasing behavior vary substantially across segments. This paper presents an unsupervised machine learning framework for buyer segmentation and investment profiling using transactional and client-level data from a real estate market intelligence project developed for Parcl Co. Limited. The dataset contains 2,000 clients and 10,000 property records spanning 10 countries and 57 regions. A preprocessing pipeline was designed to clean mixed-format dates, normalize categorical fields, engineer behavioral features from property transactions, and transform heterogeneous variables through one-hot encoding and feature scaling. K-means clustering was evaluated across candidate cluster counts using inertia and silhouette score, and the final model was cross-checked with hierarchical clustering for structural consistency. The best-performing solution occurred at k=4, achieving a silhouette score of 0.1713, while the hierarchical benchmark produced a silhouette score of 0.1285 with an adjusted rand agreement of 0.5363 relative to the K-means labels. The resulting segments were interpreted as Portfolio Investors, Premium Buyers, Core Growth Buyers, and Financed Value Seekers. These segments enable differentiated marketing, investment-oriented recommendations, and geography-aware decision support through an associated Streamlit analytics dashboard.</vt:lpwstr>
  </property>
</Properties>
</file>