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97B33"/>
          <w:spacing w:val="16"/>
          <w:sz w:val="20"/>
          <w:szCs w:val="20"/>
        </w:rPr>
        <w:t xml:space="preserve">EXECUTIVE SUMMARY</w:t>
      </w:r>
    </w:p>
    <w:p>
      <w:pPr>
        <w:spacing w:after="60"/>
      </w:pPr>
      <w:r>
        <w:rPr>
          <w:rFonts w:ascii="Calibri" w:cs="Calibri" w:eastAsia="Calibri" w:hAnsi="Calibri"/>
          <w:b/>
          <w:bCs/>
          <w:color w:val="0F2531"/>
          <w:sz w:val="40"/>
          <w:szCs w:val="40"/>
        </w:rPr>
        <w:t xml:space="preserve">Olist Marketplace Intelligence</w:t>
      </w:r>
    </w:p>
    <w:p>
      <w:pPr>
        <w:spacing w:after="200"/>
      </w:pPr>
      <w:r>
        <w:rPr>
          <w:i/>
          <w:iCs/>
          <w:color w:val="5B7280"/>
          <w:sz w:val="23"/>
          <w:szCs w:val="23"/>
        </w:rPr>
        <w:t xml:space="preserve">Diagnosing a 97% One-Time-Purchase Rate Across a 99,000-Order Brazilian E-Commerce Marketplace</w:t>
      </w:r>
    </w:p>
    <w:p>
      <w:pPr>
        <w:pBdr>
          <w:bottom w:val="single" w:color="D9D9D9" w:sz="4"/>
        </w:pBdr>
        <w:spacing w:after="300"/>
      </w:pPr>
      <w:r>
        <w:rPr>
          <w:color w:val="5B7280"/>
          <w:sz w:val="18"/>
          <w:szCs w:val="18"/>
        </w:rPr>
        <w:t xml:space="preserve">Aashvi Hitesh   ·   SQL, Python &amp; Power BI Analytics Project   ·   Dataset: Olist Brazilian E-Commerce (Kaggle)</w:t>
      </w:r>
    </w:p>
    <w:p>
      <w:pPr>
        <w:pStyle w:val="Heading1"/>
        <w:pBdr>
          <w:bottom w:val="single" w:color="2C6E7F" w:sz="6"/>
        </w:pBdr>
        <w:spacing w:after="160" w:before="320"/>
      </w:pPr>
      <w:r>
        <w:rPr>
          <w:rFonts w:ascii="Calibri" w:cs="Calibri" w:eastAsia="Calibri" w:hAnsi="Calibri"/>
          <w:b/>
          <w:bCs/>
          <w:color w:val="0F2531"/>
          <w:sz w:val="28"/>
          <w:szCs w:val="28"/>
        </w:rPr>
        <w:t xml:space="preserve">The Question</w:t>
      </w:r>
    </w:p>
    <w:p>
      <w:pPr>
        <w:spacing w:after="140" w:line="276"/>
      </w:pPr>
      <w:r>
        <w:rPr>
          <w:sz w:val="21"/>
          <w:szCs w:val="21"/>
        </w:rPr>
        <w:t xml:space="preserve">Olist's revenue grew 5.7× over the analysis period, but the underlying customer base tells a different story: 97% of customers who make a purchase never return. This report summarizes an end-to-end investigation — SQL, Python, and Power BI — into whether that pattern has a fixable cause, and what the business should do about it either way.</w:t>
      </w:r>
    </w:p>
    <w:p>
      <w:pPr>
        <w:pStyle w:val="Heading1"/>
        <w:pBdr>
          <w:bottom w:val="single" w:color="2C6E7F" w:sz="6"/>
        </w:pBdr>
        <w:spacing w:after="160" w:before="320"/>
      </w:pPr>
      <w:r>
        <w:rPr>
          <w:rFonts w:ascii="Calibri" w:cs="Calibri" w:eastAsia="Calibri" w:hAnsi="Calibri"/>
          <w:b/>
          <w:bCs/>
          <w:color w:val="0F2531"/>
          <w:sz w:val="28"/>
          <w:szCs w:val="28"/>
        </w:rPr>
        <w:t xml:space="preserve">Approach</w:t>
      </w:r>
    </w:p>
    <w:p>
      <w:pPr>
        <w:spacing w:after="140" w:line="276"/>
      </w:pPr>
      <w:r>
        <w:rPr>
          <w:sz w:val="21"/>
          <w:szCs w:val="21"/>
        </w:rPr>
        <w:t xml:space="preserve">Four competing hypotheses were tested directly against the data: delivery experience, product category, payment behavior, and customer geography. Each test controlled for reorder-eligibility — comparing only customers who had at least six months to make a second purchase before the data cutoff — so no result was an artifact of recency bias. A four-model machine learning comparison then tested whether combining all signals together could predict repeat purchase better than any single factor could alone.</w:t>
      </w:r>
    </w:p>
    <w:p>
      <w:pPr>
        <w:pStyle w:val="Heading1"/>
        <w:pBdr>
          <w:bottom w:val="single" w:color="2C6E7F" w:sz="6"/>
        </w:pBdr>
        <w:spacing w:after="160" w:before="320"/>
      </w:pPr>
      <w:r>
        <w:rPr>
          <w:rFonts w:ascii="Calibri" w:cs="Calibri" w:eastAsia="Calibri" w:hAnsi="Calibri"/>
          <w:b/>
          <w:bCs/>
          <w:color w:val="0F2531"/>
          <w:sz w:val="28"/>
          <w:szCs w:val="28"/>
        </w:rPr>
        <w:t xml:space="preserve">Key Findings</w:t>
      </w:r>
    </w:p>
    <w:p>
      <w:pPr>
        <w:pStyle w:val="ListParagraph"/>
        <w:numPr>
          <w:ilvl w:val="0"/>
          <w:numId w:val="1"/>
        </w:numPr>
        <w:spacing w:after="90" w:line="264"/>
      </w:pPr>
      <w:r>
        <w:rPr>
          <w:b w:val="false"/>
          <w:bCs w:val="false"/>
          <w:sz w:val="21"/>
          <w:szCs w:val="21"/>
        </w:rPr>
        <w:t xml:space="preserve">Revenue grew steadily through 2017 (peaking +52% month-over-month in November, likely Black Friday), but growth plateaued through 2018 — deceleration, not decline.</w:t>
      </w:r>
    </w:p>
    <w:p>
      <w:pPr>
        <w:pStyle w:val="ListParagraph"/>
        <w:numPr>
          <w:ilvl w:val="0"/>
          <w:numId w:val="1"/>
        </w:numPr>
        <w:spacing w:after="90" w:line="264"/>
      </w:pPr>
      <w:r>
        <w:rPr>
          <w:b w:val="false"/>
          <w:bCs w:val="false"/>
          <w:sz w:val="21"/>
          <w:szCs w:val="21"/>
        </w:rPr>
        <w:t xml:space="preserve">São Paulo alone accounts for 42% of customers and 38% of revenue — more than the next five states combined — yet has the lowest average order value of any major state.</w:t>
      </w:r>
    </w:p>
    <w:p>
      <w:pPr>
        <w:pStyle w:val="ListParagraph"/>
        <w:numPr>
          <w:ilvl w:val="0"/>
          <w:numId w:val="1"/>
        </w:numPr>
        <w:spacing w:after="90" w:line="264"/>
      </w:pPr>
      <w:r>
        <w:rPr>
          <w:b w:val="false"/>
          <w:bCs w:val="false"/>
          <w:sz w:val="21"/>
          <w:szCs w:val="21"/>
        </w:rPr>
        <w:t xml:space="preserve">None of the four individual hypotheses (delivery, category, payment, geography) meaningfully explains the 97% one-time-purchase rate. The pattern is structural, not isolated to a fixable operational failure.</w:t>
      </w:r>
    </w:p>
    <w:p>
      <w:pPr>
        <w:pStyle w:val="ListParagraph"/>
        <w:numPr>
          <w:ilvl w:val="0"/>
          <w:numId w:val="1"/>
        </w:numPr>
        <w:spacing w:after="90" w:line="264"/>
      </w:pPr>
      <w:r>
        <w:rPr>
          <w:b w:val="false"/>
          <w:bCs w:val="false"/>
          <w:sz w:val="21"/>
          <w:szCs w:val="21"/>
        </w:rPr>
        <w:t xml:space="preserve">A four-model comparison (Dummy → Logistic Regression → Random Forest → Gradient Boosting) confirms this: the best model reaches 0.634 ROC-AUC — real signal, but not enough to reliably classify individual customers.</w:t>
      </w:r>
    </w:p>
    <w:p>
      <w:pPr>
        <w:pStyle w:val="ListParagraph"/>
        <w:numPr>
          <w:ilvl w:val="0"/>
          <w:numId w:val="1"/>
        </w:numPr>
        <w:spacing w:after="90" w:line="264"/>
      </w:pPr>
      <w:r>
        <w:rPr>
          <w:b w:val="false"/>
          <w:bCs w:val="false"/>
          <w:sz w:val="21"/>
          <w:szCs w:val="21"/>
        </w:rPr>
        <w:t xml:space="preserve">Reframed as a targeting tool, the top 10% of customers by model score have a 9.5% actual repeat rate versus a 4.4% baseline — a 2.1× lift, genuinely useful for prioritizing retention spend.</w:t>
      </w:r>
    </w:p>
    <w:tbl>
      <w:tblPr>
        <w:tblW w:type="dxa" w:w="9350"/>
        <w:tblBorders>
          <w:top w:val="single" w:color="2C6E7F" w:sz="4"/>
          <w:left w:val="single" w:color="2C6E7F" w:sz="24"/>
          <w:bottom w:val="single" w:color="2C6E7F" w:sz="4"/>
          <w:right w:val="single" w:color="2C6E7F" w:sz="4"/>
          <w:insideH w:val="single" w:color="auto" w:sz="4"/>
          <w:insideV w:val="single" w:color="auto" w:sz="4"/>
        </w:tblBorders>
      </w:tblPr>
      <w:tblGrid>
        <w:gridCol w:w="9350"/>
      </w:tblGrid>
      <w:tr>
        <w:tc>
          <w:tcPr>
            <w:tcW w:type="dxa" w:w="9350"/>
            <w:shd w:fill="F4F6F5" w:val="clear"/>
            <w:tcMar>
              <w:top w:type="dxa" w:w="160"/>
              <w:left w:type="dxa" w:w="220"/>
              <w:bottom w:type="dxa" w:w="160"/>
              <w:right w:type="dxa" w:w="220"/>
            </w:tcMar>
          </w:tcPr>
          <w:p>
            <w:pPr>
              <w:spacing w:after="40"/>
            </w:pPr>
            <w:r>
              <w:rPr>
                <w:b/>
                <w:bCs/>
                <w:color w:val="C97B33"/>
                <w:spacing w:val="10"/>
                <w:sz w:val="16"/>
                <w:szCs w:val="16"/>
              </w:rPr>
              <w:t xml:space="preserve">CENTRAL FINDING</w:t>
            </w:r>
          </w:p>
          <w:p>
            <w:pPr>
              <w:spacing w:after="60"/>
            </w:pPr>
            <w:r>
              <w:rPr>
                <w:b/>
                <w:bCs/>
                <w:color w:val="0F2531"/>
                <w:sz w:val="24"/>
                <w:szCs w:val="24"/>
              </w:rPr>
              <w:t xml:space="preserve">Repeat purchase is a structural characteristic, not a fixable defect</w:t>
            </w:r>
          </w:p>
          <w:p>
            <w:r>
              <w:rPr>
                <w:color w:val="203040"/>
                <w:sz w:val="20"/>
                <w:szCs w:val="20"/>
              </w:rPr>
              <w:t xml:space="preserve">Delivery experience, product category, payment behavior, and geography were each tested independently and ruled out as primary drivers. This reframes the business question from “find and fix the broken segment” to “build mechanisms — loyalty, subscription, lifecycle marketing — that create repeat relationships the marketplace model doesn't generate on its own.”</w:t>
            </w:r>
          </w:p>
        </w:tc>
      </w:tr>
    </w:tbl>
    <w:p>
      <w:pPr>
        <w:spacing w:before="260"/>
      </w:pPr>
    </w:p>
    <w:p>
      <w:pPr>
        <w:pStyle w:val="Heading1"/>
        <w:pBdr>
          <w:bottom w:val="single" w:color="2C6E7F" w:sz="6"/>
        </w:pBdr>
        <w:spacing w:after="160" w:before="320"/>
      </w:pPr>
      <w:r>
        <w:rPr>
          <w:rFonts w:ascii="Calibri" w:cs="Calibri" w:eastAsia="Calibri" w:hAnsi="Calibri"/>
          <w:b/>
          <w:bCs/>
          <w:color w:val="0F2531"/>
          <w:sz w:val="28"/>
          <w:szCs w:val="28"/>
        </w:rPr>
        <w:t xml:space="preserve">Recommendations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50"/>
      </w:tblGrid>
      <w:tr>
        <w:trPr>
          <w:tblHeader/>
        </w:trPr>
        <w:tc>
          <w:tcPr>
            <w:tcW w:type="dxa" w:w="700"/>
            <w:shd w:fill="0F2531" w:val="clear"/>
            <w:tcMar>
              <w:top w:type="dxa" w:w="100"/>
              <w:left w:type="dxa" w:w="120"/>
              <w:bottom w:type="dxa" w:w="100"/>
              <w:right w:type="dxa" w:w="120"/>
            </w:tcMar>
            <w:vAlign w:val="center"/>
          </w:tcPr>
          <w:p>
            <w:r>
              <w:rPr>
                <w:b/>
                <w:bCs/>
                <w:color w:val="FFFFFF"/>
                <w:sz w:val="19"/>
                <w:szCs w:val="19"/>
              </w:rPr>
              <w:t xml:space="preserve">#</w:t>
            </w:r>
          </w:p>
        </w:tc>
        <w:tc>
          <w:tcPr>
            <w:tcW w:type="dxa" w:w="3600"/>
            <w:shd w:fill="0F2531" w:val="clear"/>
            <w:tcMar>
              <w:top w:type="dxa" w:w="100"/>
              <w:left w:type="dxa" w:w="120"/>
              <w:bottom w:type="dxa" w:w="100"/>
              <w:right w:type="dxa" w:w="120"/>
            </w:tcMar>
            <w:vAlign w:val="center"/>
          </w:tcPr>
          <w:p>
            <w:r>
              <w:rPr>
                <w:b/>
                <w:bCs/>
                <w:color w:val="FFFFFF"/>
                <w:sz w:val="19"/>
                <w:szCs w:val="19"/>
              </w:rPr>
              <w:t xml:space="preserve">Recommendation</w:t>
            </w:r>
          </w:p>
        </w:tc>
        <w:tc>
          <w:tcPr>
            <w:tcW w:type="dxa" w:w="5050"/>
            <w:shd w:fill="0F2531" w:val="clear"/>
            <w:tcMar>
              <w:top w:type="dxa" w:w="100"/>
              <w:left w:type="dxa" w:w="120"/>
              <w:bottom w:type="dxa" w:w="100"/>
              <w:right w:type="dxa" w:w="120"/>
            </w:tcMar>
            <w:vAlign w:val="center"/>
          </w:tcPr>
          <w:p>
            <w:r>
              <w:rPr>
                <w:b/>
                <w:bCs/>
                <w:color w:val="FFFFFF"/>
                <w:sz w:val="19"/>
                <w:szCs w:val="19"/>
              </w:rPr>
              <w:t xml:space="preserve">Tied to Finding</w:t>
            </w:r>
          </w:p>
        </w:tc>
      </w:tr>
      <w:tr>
        <w:tc>
          <w:tcPr>
            <w:tcW w:type="dxa" w:w="700"/>
            <w:shd w:fill="FFFFFF" w:val="clear"/>
            <w:tcMar>
              <w:top w:type="dxa" w:w="90"/>
              <w:left w:type="dxa" w:w="120"/>
              <w:bottom w:type="dxa" w:w="90"/>
              <w:right w:type="dxa" w:w="120"/>
            </w:tcMar>
          </w:tcPr>
          <w:p>
            <w:r>
              <w:rPr>
                <w:sz w:val="19"/>
                <w:szCs w:val="19"/>
              </w:rPr>
              <w:t xml:space="preserve">1</w:t>
            </w:r>
          </w:p>
        </w:tc>
        <w:tc>
          <w:tcPr>
            <w:tcW w:type="dxa" w:w="3600"/>
            <w:shd w:fill="FFFFFF" w:val="clear"/>
            <w:tcMar>
              <w:top w:type="dxa" w:w="90"/>
              <w:left w:type="dxa" w:w="120"/>
              <w:bottom w:type="dxa" w:w="90"/>
              <w:right w:type="dxa" w:w="120"/>
            </w:tcMar>
          </w:tcPr>
          <w:p>
            <w:r>
              <w:rPr>
                <w:sz w:val="19"/>
                <w:szCs w:val="19"/>
              </w:rPr>
              <w:t xml:space="preserve">Launch a win-back campaign targeting the top-10% model-scored customers — 2.1× more likely to return than baseline.</w:t>
            </w:r>
          </w:p>
        </w:tc>
        <w:tc>
          <w:tcPr>
            <w:tcW w:type="dxa" w:w="5050"/>
            <w:shd w:fill="FFFFFF" w:val="clear"/>
            <w:tcMar>
              <w:top w:type="dxa" w:w="90"/>
              <w:left w:type="dxa" w:w="120"/>
              <w:bottom w:type="dxa" w:w="90"/>
              <w:right w:type="dxa" w:w="120"/>
            </w:tcMar>
          </w:tcPr>
          <w:p>
            <w:r>
              <w:rPr>
                <w:sz w:val="19"/>
                <w:szCs w:val="19"/>
              </w:rPr>
              <w:t xml:space="preserve">Predictive model targeting result</w:t>
            </w:r>
          </w:p>
        </w:tc>
      </w:tr>
      <w:tr>
        <w:tc>
          <w:tcPr>
            <w:tcW w:type="dxa" w:w="700"/>
            <w:shd w:fill="F4F6F5" w:val="clear"/>
            <w:tcMar>
              <w:top w:type="dxa" w:w="90"/>
              <w:left w:type="dxa" w:w="120"/>
              <w:bottom w:type="dxa" w:w="90"/>
              <w:right w:type="dxa" w:w="120"/>
            </w:tcMar>
          </w:tcPr>
          <w:p>
            <w:r>
              <w:rPr>
                <w:sz w:val="19"/>
                <w:szCs w:val="19"/>
              </w:rPr>
              <w:t xml:space="preserve">2</w:t>
            </w:r>
          </w:p>
        </w:tc>
        <w:tc>
          <w:tcPr>
            <w:tcW w:type="dxa" w:w="3600"/>
            <w:shd w:fill="F4F6F5" w:val="clear"/>
            <w:tcMar>
              <w:top w:type="dxa" w:w="90"/>
              <w:left w:type="dxa" w:w="120"/>
              <w:bottom w:type="dxa" w:w="90"/>
              <w:right w:type="dxa" w:w="120"/>
            </w:tcMar>
          </w:tcPr>
          <w:p>
            <w:r>
              <w:rPr>
                <w:sz w:val="19"/>
                <w:szCs w:val="19"/>
              </w:rPr>
              <w:t xml:space="preserve">Build a dedicated retention program for the “High Value At Risk” segment (R$4.02M in historical spend).</w:t>
            </w:r>
          </w:p>
        </w:tc>
        <w:tc>
          <w:tcPr>
            <w:tcW w:type="dxa" w:w="5050"/>
            <w:shd w:fill="F4F6F5" w:val="clear"/>
            <w:tcMar>
              <w:top w:type="dxa" w:w="90"/>
              <w:left w:type="dxa" w:w="120"/>
              <w:bottom w:type="dxa" w:w="90"/>
              <w:right w:type="dxa" w:w="120"/>
            </w:tcMar>
          </w:tcPr>
          <w:p>
            <w:r>
              <w:rPr>
                <w:sz w:val="19"/>
                <w:szCs w:val="19"/>
              </w:rPr>
              <w:t xml:space="preserve">RFM segmentation</w:t>
            </w:r>
          </w:p>
        </w:tc>
      </w:tr>
      <w:tr>
        <w:tc>
          <w:tcPr>
            <w:tcW w:type="dxa" w:w="700"/>
            <w:shd w:fill="FFFFFF" w:val="clear"/>
            <w:tcMar>
              <w:top w:type="dxa" w:w="90"/>
              <w:left w:type="dxa" w:w="120"/>
              <w:bottom w:type="dxa" w:w="90"/>
              <w:right w:type="dxa" w:w="120"/>
            </w:tcMar>
          </w:tcPr>
          <w:p>
            <w:r>
              <w:rPr>
                <w:sz w:val="19"/>
                <w:szCs w:val="19"/>
              </w:rPr>
              <w:t xml:space="preserve">3</w:t>
            </w:r>
          </w:p>
        </w:tc>
        <w:tc>
          <w:tcPr>
            <w:tcW w:type="dxa" w:w="3600"/>
            <w:shd w:fill="FFFFFF" w:val="clear"/>
            <w:tcMar>
              <w:top w:type="dxa" w:w="90"/>
              <w:left w:type="dxa" w:w="120"/>
              <w:bottom w:type="dxa" w:w="90"/>
              <w:right w:type="dxa" w:w="120"/>
            </w:tcMar>
          </w:tcPr>
          <w:p>
            <w:r>
              <w:rPr>
                <w:sz w:val="19"/>
                <w:szCs w:val="19"/>
              </w:rPr>
              <w:t xml:space="preserve">Invest in loyalty/subscription mechanics rather than a targeted operational fix — the cause is structural.</w:t>
            </w:r>
          </w:p>
        </w:tc>
        <w:tc>
          <w:tcPr>
            <w:tcW w:type="dxa" w:w="5050"/>
            <w:shd w:fill="FFFFFF" w:val="clear"/>
            <w:tcMar>
              <w:top w:type="dxa" w:w="90"/>
              <w:left w:type="dxa" w:w="120"/>
              <w:bottom w:type="dxa" w:w="90"/>
              <w:right w:type="dxa" w:w="120"/>
            </w:tcMar>
          </w:tcPr>
          <w:p>
            <w:r>
              <w:rPr>
                <w:sz w:val="19"/>
                <w:szCs w:val="19"/>
              </w:rPr>
              <w:t xml:space="preserve">Four-hypothesis investigation</w:t>
            </w:r>
          </w:p>
        </w:tc>
      </w:tr>
      <w:tr>
        <w:tc>
          <w:tcPr>
            <w:tcW w:type="dxa" w:w="700"/>
            <w:shd w:fill="F4F6F5" w:val="clear"/>
            <w:tcMar>
              <w:top w:type="dxa" w:w="90"/>
              <w:left w:type="dxa" w:w="120"/>
              <w:bottom w:type="dxa" w:w="90"/>
              <w:right w:type="dxa" w:w="120"/>
            </w:tcMar>
          </w:tcPr>
          <w:p>
            <w:r>
              <w:rPr>
                <w:sz w:val="19"/>
                <w:szCs w:val="19"/>
              </w:rPr>
              <w:t xml:space="preserve">4</w:t>
            </w:r>
          </w:p>
        </w:tc>
        <w:tc>
          <w:tcPr>
            <w:tcW w:type="dxa" w:w="3600"/>
            <w:shd w:fill="F4F6F5" w:val="clear"/>
            <w:tcMar>
              <w:top w:type="dxa" w:w="90"/>
              <w:left w:type="dxa" w:w="120"/>
              <w:bottom w:type="dxa" w:w="90"/>
              <w:right w:type="dxa" w:w="120"/>
            </w:tcMar>
          </w:tcPr>
          <w:p>
            <w:r>
              <w:rPr>
                <w:sz w:val="19"/>
                <w:szCs w:val="19"/>
              </w:rPr>
              <w:t xml:space="preserve">Investigate payment/installment behavior further — the strongest individual predictive signal found.</w:t>
            </w:r>
          </w:p>
        </w:tc>
        <w:tc>
          <w:tcPr>
            <w:tcW w:type="dxa" w:w="5050"/>
            <w:shd w:fill="F4F6F5" w:val="clear"/>
            <w:tcMar>
              <w:top w:type="dxa" w:w="90"/>
              <w:left w:type="dxa" w:w="120"/>
              <w:bottom w:type="dxa" w:w="90"/>
              <w:right w:type="dxa" w:w="120"/>
            </w:tcMar>
          </w:tcPr>
          <w:p>
            <w:r>
              <w:rPr>
                <w:sz w:val="19"/>
                <w:szCs w:val="19"/>
              </w:rPr>
              <w:t xml:space="preserve">Feature importance analysis</w:t>
            </w:r>
          </w:p>
        </w:tc>
      </w:tr>
      <w:tr>
        <w:tc>
          <w:tcPr>
            <w:tcW w:type="dxa" w:w="700"/>
            <w:shd w:fill="FFFFFF" w:val="clear"/>
            <w:tcMar>
              <w:top w:type="dxa" w:w="90"/>
              <w:left w:type="dxa" w:w="120"/>
              <w:bottom w:type="dxa" w:w="90"/>
              <w:right w:type="dxa" w:w="120"/>
            </w:tcMar>
          </w:tcPr>
          <w:p>
            <w:r>
              <w:rPr>
                <w:sz w:val="19"/>
                <w:szCs w:val="19"/>
              </w:rPr>
              <w:t xml:space="preserve">5</w:t>
            </w:r>
          </w:p>
        </w:tc>
        <w:tc>
          <w:tcPr>
            <w:tcW w:type="dxa" w:w="3600"/>
            <w:shd w:fill="FFFFFF" w:val="clear"/>
            <w:tcMar>
              <w:top w:type="dxa" w:w="90"/>
              <w:left w:type="dxa" w:w="120"/>
              <w:bottom w:type="dxa" w:w="90"/>
              <w:right w:type="dxa" w:w="120"/>
            </w:tcMar>
          </w:tcPr>
          <w:p>
            <w:r>
              <w:rPr>
                <w:sz w:val="19"/>
                <w:szCs w:val="19"/>
              </w:rPr>
              <w:t xml:space="preserve">Address the regional AOV gap — remote states show 60%+ higher order values than São Paulo.</w:t>
            </w:r>
          </w:p>
        </w:tc>
        <w:tc>
          <w:tcPr>
            <w:tcW w:type="dxa" w:w="5050"/>
            <w:shd w:fill="FFFFFF" w:val="clear"/>
            <w:tcMar>
              <w:top w:type="dxa" w:w="90"/>
              <w:left w:type="dxa" w:w="120"/>
              <w:bottom w:type="dxa" w:w="90"/>
              <w:right w:type="dxa" w:w="120"/>
            </w:tcMar>
          </w:tcPr>
          <w:p>
            <w:r>
              <w:rPr>
                <w:sz w:val="19"/>
                <w:szCs w:val="19"/>
              </w:rPr>
              <w:t xml:space="preserve">Regional performance analysis</w:t>
            </w:r>
          </w:p>
        </w:tc>
      </w:tr>
    </w:tbl>
    <w:p>
      <w:pPr>
        <w:pBdr>
          <w:top w:val="single" w:color="D9D9D9" w:sz="4"/>
        </w:pBdr>
        <w:spacing w:after="80" w:before="300"/>
      </w:pPr>
    </w:p>
    <w:p>
      <w:pPr>
        <w:spacing w:after="140" w:line="276"/>
      </w:pPr>
      <w:r>
        <w:rPr>
          <w:i/>
          <w:iCs/>
          <w:color w:val="5B7280"/>
          <w:sz w:val="19"/>
          <w:szCs w:val="19"/>
        </w:rPr>
        <w:t xml:space="preserve">Full methodology, SQL scripts, the analysis notebook, dashboard, and complete findings are available in the accompanying repository and full analytical report.</w:t>
      </w:r>
    </w:p>
    <w:sectPr>
      <w:pgSz w:w="11906" w:h="16838" w:orient="portrait"/>
      <w:pgMar w:top="720" w:right="830" w:bottom="720" w:left="8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2026-08-21T07:38:04.030Z</dcterms:created>
  <dcterms:modified xsi:type="dcterms:W3CDTF">2026-08-21T07:38:04.045Z</dcterms:modified>
</cp:coreProperties>
</file>

<file path=docProps/custom.xml><?xml version="1.0" encoding="utf-8"?>
<Properties xmlns="http://schemas.openxmlformats.org/officeDocument/2006/custom-properties" xmlns:vt="http://schemas.openxmlformats.org/officeDocument/2006/docPropsVTypes"/>
</file>