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b/>
          <w:bCs/>
          <w:color w:val="C97B33"/>
          <w:spacing w:val="16"/>
          <w:sz w:val="20"/>
          <w:szCs w:val="20"/>
        </w:rPr>
        <w:t xml:space="preserve">FULL ANALYTICAL REPORT</w:t>
      </w:r>
    </w:p>
    <w:p>
      <w:pPr>
        <w:spacing w:after="60"/>
      </w:pPr>
      <w:r>
        <w:rPr>
          <w:rFonts w:ascii="Calibri" w:cs="Calibri" w:eastAsia="Calibri" w:hAnsi="Calibri"/>
          <w:b/>
          <w:bCs/>
          <w:color w:val="0F2531"/>
          <w:sz w:val="44"/>
          <w:szCs w:val="44"/>
        </w:rPr>
        <w:t xml:space="preserve">Olist Marketplace Intelligence</w:t>
      </w:r>
    </w:p>
    <w:p>
      <w:pPr>
        <w:spacing w:after="300"/>
      </w:pPr>
      <w:r>
        <w:rPr>
          <w:i/>
          <w:iCs/>
          <w:color w:val="5B7280"/>
          <w:sz w:val="24"/>
          <w:szCs w:val="24"/>
        </w:rPr>
        <w:t xml:space="preserve">An End-to-End SQL, Python &amp; Power BI Investigation into Customer Retention Across a 99,000-Order Brazilian E-Commerce Marketplace</w:t>
      </w:r>
    </w:p>
    <w:p>
      <w:pPr>
        <w:pBdr>
          <w:top w:val="single" w:color="D9D9D9" w:sz="4"/>
          <w:bottom w:val="single" w:color="D9D9D9" w:sz="4"/>
        </w:pBdr>
        <w:spacing w:after="60"/>
      </w:pPr>
      <w:r>
        <w:rPr>
          <w:sz w:val="4"/>
          <w:szCs w:val="4"/>
        </w:rPr>
        <w:t xml:space="preserve"> </w:t>
      </w:r>
    </w:p>
    <w:p>
      <w:pPr>
        <w:spacing w:after="140" w:line="276"/>
      </w:pPr>
      <w:r>
        <w:rPr>
          <w:sz w:val="20"/>
          <w:szCs w:val="20"/>
        </w:rPr>
        <w:t xml:space="preserve">Author: Aashvi Hitesh</w:t>
      </w:r>
    </w:p>
    <w:p>
      <w:pPr>
        <w:spacing w:after="140" w:line="276"/>
      </w:pPr>
      <w:r>
        <w:rPr>
          <w:sz w:val="20"/>
          <w:szCs w:val="20"/>
        </w:rPr>
        <w:t xml:space="preserve">Dataset: Olist Brazilian E-Commerce Public Dataset (Kaggle, CC BY-NC-SA 4.0)</w:t>
      </w:r>
    </w:p>
    <w:p>
      <w:pPr>
        <w:spacing w:after="140" w:line="276"/>
      </w:pPr>
      <w:r>
        <w:rPr>
          <w:sz w:val="20"/>
          <w:szCs w:val="20"/>
        </w:rPr>
        <w:t xml:space="preserve">Tools: SQL (SQLite), Python (pandas, scikit-learn), Power BI, Git</w:t>
      </w:r>
    </w:p>
    <w:p>
      <w:r>
        <w:br w:type="page"/>
      </w:r>
    </w:p>
    <w:p>
      <w:pPr>
        <w:pStyle w:val="Heading1"/>
        <w:spacing w:after="200"/>
      </w:pPr>
      <w:r>
        <w:rPr>
          <w:b/>
          <w:bCs/>
          <w:color w:val="0F2531"/>
          <w:sz w:val="30"/>
          <w:szCs w:val="30"/>
        </w:rPr>
        <w:t xml:space="preserve">Table of Contents</w:t>
      </w:r>
    </w:p>
    <w:p>
      <w:pPr>
        <w:spacing w:after="90"/>
      </w:pPr>
      <w:r>
        <w:rPr>
          <w:color w:val="2C6E7F"/>
          <w:sz w:val="22"/>
          <w:szCs w:val="22"/>
        </w:rPr>
        <w:t xml:space="preserve">1. Executive Summary</w:t>
      </w:r>
    </w:p>
    <w:p>
      <w:pPr>
        <w:spacing w:after="90"/>
      </w:pPr>
      <w:r>
        <w:rPr>
          <w:color w:val="2C6E7F"/>
          <w:sz w:val="22"/>
          <w:szCs w:val="22"/>
        </w:rPr>
        <w:t xml:space="preserve">2. Business Context &amp; Objectives</w:t>
      </w:r>
    </w:p>
    <w:p>
      <w:pPr>
        <w:spacing w:after="90"/>
      </w:pPr>
      <w:r>
        <w:rPr>
          <w:color w:val="2C6E7F"/>
          <w:sz w:val="22"/>
          <w:szCs w:val="22"/>
        </w:rPr>
        <w:t xml:space="preserve">3. Dataset Overview</w:t>
      </w:r>
    </w:p>
    <w:p>
      <w:pPr>
        <w:spacing w:after="90"/>
      </w:pPr>
      <w:r>
        <w:rPr>
          <w:color w:val="2C6E7F"/>
          <w:sz w:val="22"/>
          <w:szCs w:val="22"/>
        </w:rPr>
        <w:t xml:space="preserve">4. Methodology</w:t>
      </w:r>
    </w:p>
    <w:p>
      <w:pPr>
        <w:spacing w:after="90"/>
      </w:pPr>
      <w:r>
        <w:rPr>
          <w:color w:val="2C6E7F"/>
          <w:sz w:val="22"/>
          <w:szCs w:val="22"/>
        </w:rPr>
        <w:t xml:space="preserve">5. Exploratory Findings</w:t>
      </w:r>
    </w:p>
    <w:p>
      <w:pPr>
        <w:spacing w:after="90"/>
      </w:pPr>
      <w:r>
        <w:rPr>
          <w:color w:val="2C6E7F"/>
          <w:sz w:val="22"/>
          <w:szCs w:val="22"/>
        </w:rPr>
        <w:t xml:space="preserve">6. Central Investigation: The Repeat-Purchase Problem</w:t>
      </w:r>
    </w:p>
    <w:p>
      <w:pPr>
        <w:spacing w:after="90"/>
      </w:pPr>
      <w:r>
        <w:rPr>
          <w:color w:val="2C6E7F"/>
          <w:sz w:val="22"/>
          <w:szCs w:val="22"/>
        </w:rPr>
        <w:t xml:space="preserve">7. Predictive Modeling</w:t>
      </w:r>
    </w:p>
    <w:p>
      <w:pPr>
        <w:spacing w:after="90"/>
      </w:pPr>
      <w:r>
        <w:rPr>
          <w:color w:val="2C6E7F"/>
          <w:sz w:val="22"/>
          <w:szCs w:val="22"/>
        </w:rPr>
        <w:t xml:space="preserve">8. Customer Segmentation (RFM)</w:t>
      </w:r>
    </w:p>
    <w:p>
      <w:pPr>
        <w:spacing w:after="90"/>
      </w:pPr>
      <w:r>
        <w:rPr>
          <w:color w:val="2C6E7F"/>
          <w:sz w:val="22"/>
          <w:szCs w:val="22"/>
        </w:rPr>
        <w:t xml:space="preserve">9. Business Recommendations</w:t>
      </w:r>
    </w:p>
    <w:p>
      <w:pPr>
        <w:spacing w:after="90"/>
      </w:pPr>
      <w:r>
        <w:rPr>
          <w:color w:val="2C6E7F"/>
          <w:sz w:val="22"/>
          <w:szCs w:val="22"/>
        </w:rPr>
        <w:t xml:space="preserve">10. Limitations &amp; Future Work</w:t>
      </w:r>
    </w:p>
    <w:p>
      <w:pPr>
        <w:spacing w:after="90"/>
      </w:pPr>
      <w:r>
        <w:rPr>
          <w:color w:val="2C6E7F"/>
          <w:sz w:val="22"/>
          <w:szCs w:val="22"/>
        </w:rPr>
        <w:t xml:space="preserve">11. Technical Appendix</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1. Executive Summary</w:t>
      </w:r>
    </w:p>
    <w:p>
      <w:pPr>
        <w:spacing w:after="140" w:line="276"/>
      </w:pPr>
      <w:r>
        <w:rPr>
          <w:sz w:val="21"/>
          <w:szCs w:val="21"/>
        </w:rPr>
        <w:t xml:space="preserve">Olist is a Brazilian e-commerce marketplace connecting small sellers to customers nationwide. This report analyzes approximately 99,000 orders placed between 2017 and 2018 across nine relational tables (customers, orders, order items, payments, reviews, products, sellers, geolocation, and category translations), with the goal of moving beyond descriptive reporting into a genuine diagnostic investigation: not just what happened, but why, and what should be done about it.</w:t>
      </w:r>
    </w:p>
    <w:p>
      <w:pPr>
        <w:spacing w:after="140" w:line="276"/>
      </w:pPr>
      <w:r>
        <w:rPr>
          <w:sz w:val="21"/>
          <w:szCs w:val="21"/>
        </w:rPr>
        <w:t xml:space="preserve">The analysis surfaced a striking pattern — 97% of customers who complete a purchase never place a second order. Four plausible explanations were tested directly against the data (delivery experience, product category, payment behavior, and customer geography), each ruled out or found to have only a weak effect. A four-model machine learning comparison independently confirmed this conclusion: no combination of available features reliably predicts individual repeat-purchase behavior, though a modest, genuine signal exists. That signal was reframed from a failed classification problem into a working targeting tool, with a demonstrated 2.1× lift over baseline when used to prioritize retention spend.</w:t>
      </w:r>
    </w:p>
    <w:p>
      <w:pPr>
        <w:spacing w:after="140" w:line="276"/>
      </w:pPr>
      <w:r>
        <w:rPr>
          <w:sz w:val="21"/>
          <w:szCs w:val="21"/>
        </w:rPr>
        <w:t xml:space="preserve">Five recommendations, each directly tied to a specific finding, are presented in Section 9.</w:t>
      </w:r>
    </w:p>
    <w:p>
      <w:pPr>
        <w:pStyle w:val="Heading1"/>
        <w:pBdr>
          <w:bottom w:val="single" w:color="2C6E7F" w:sz="6"/>
        </w:pBdr>
        <w:spacing w:after="180" w:before="420"/>
      </w:pPr>
      <w:r>
        <w:rPr>
          <w:rFonts w:ascii="Calibri" w:cs="Calibri" w:eastAsia="Calibri" w:hAnsi="Calibri"/>
          <w:b/>
          <w:bCs/>
          <w:color w:val="0F2531"/>
          <w:sz w:val="30"/>
          <w:szCs w:val="30"/>
        </w:rPr>
        <w:t xml:space="preserve">2. Business Context &amp; Objectives</w:t>
      </w:r>
    </w:p>
    <w:p>
      <w:pPr>
        <w:spacing w:after="140" w:line="276"/>
      </w:pPr>
      <w:r>
        <w:rPr>
          <w:sz w:val="21"/>
          <w:szCs w:val="21"/>
        </w:rPr>
        <w:t xml:space="preserve">Marketplace businesses like Olist face a structural tension: they succeed by making it easy for many independent sellers to reach customers, but that same structure can make it harder to build the kind of ongoing, branded relationship that drives repeat purchase — unlike a single-brand D2C retailer, a marketplace customer's loyalty is diffuse across dozens of unrelated sellers.</w:t>
      </w:r>
    </w:p>
    <w:p>
      <w:pPr>
        <w:spacing w:after="140" w:line="276"/>
      </w:pPr>
      <w:r>
        <w:rPr>
          <w:sz w:val="21"/>
          <w:szCs w:val="21"/>
        </w:rPr>
        <w:t xml:space="preserve">This project was scoped around four objectives, mirroring the kind of brief a business or data analyst might receive from a marketplace operations or growth team:</w:t>
      </w:r>
    </w:p>
    <w:p>
      <w:pPr>
        <w:pStyle w:val="ListParagraph"/>
        <w:numPr>
          <w:ilvl w:val="0"/>
          <w:numId w:val="2"/>
        </w:numPr>
        <w:spacing w:after="100" w:line="264"/>
      </w:pPr>
      <w:r>
        <w:rPr>
          <w:sz w:val="21"/>
          <w:szCs w:val="21"/>
        </w:rPr>
        <w:t xml:space="preserve">Quantify current performance: revenue, order volume, customer base, and average order value, on a clean and clearly-defined basis.</w:t>
      </w:r>
    </w:p>
    <w:p>
      <w:pPr>
        <w:pStyle w:val="ListParagraph"/>
        <w:numPr>
          <w:ilvl w:val="0"/>
          <w:numId w:val="2"/>
        </w:numPr>
        <w:spacing w:after="100" w:line="264"/>
      </w:pPr>
      <w:r>
        <w:rPr>
          <w:sz w:val="21"/>
          <w:szCs w:val="21"/>
        </w:rPr>
        <w:t xml:space="preserve">Identify where value is concentrated: by region, product category, and customer segment.</w:t>
      </w:r>
    </w:p>
    <w:p>
      <w:pPr>
        <w:pStyle w:val="ListParagraph"/>
        <w:numPr>
          <w:ilvl w:val="0"/>
          <w:numId w:val="2"/>
        </w:numPr>
        <w:spacing w:after="100" w:line="264"/>
      </w:pPr>
      <w:r>
        <w:rPr>
          <w:sz w:val="21"/>
          <w:szCs w:val="21"/>
        </w:rPr>
        <w:t xml:space="preserve">Diagnose the root cause of a low repeat-purchase rate — not simply report the number, but test specific, falsifiable explanations for it.</w:t>
      </w:r>
    </w:p>
    <w:p>
      <w:pPr>
        <w:pStyle w:val="ListParagraph"/>
        <w:numPr>
          <w:ilvl w:val="0"/>
          <w:numId w:val="2"/>
        </w:numPr>
        <w:spacing w:after="100" w:line="264"/>
      </w:pPr>
      <w:r>
        <w:rPr>
          <w:sz w:val="21"/>
          <w:szCs w:val="21"/>
        </w:rPr>
        <w:t xml:space="preserve">Translate findings into recommendations a marketplace operations team could act on within a normal planning cycle.</w:t>
      </w:r>
    </w:p>
    <w:p>
      <w:pPr>
        <w:pStyle w:val="Heading1"/>
        <w:pBdr>
          <w:bottom w:val="single" w:color="2C6E7F" w:sz="6"/>
        </w:pBdr>
        <w:spacing w:after="180" w:before="420"/>
      </w:pPr>
      <w:r>
        <w:rPr>
          <w:rFonts w:ascii="Calibri" w:cs="Calibri" w:eastAsia="Calibri" w:hAnsi="Calibri"/>
          <w:b/>
          <w:bCs/>
          <w:color w:val="0F2531"/>
          <w:sz w:val="30"/>
          <w:szCs w:val="30"/>
        </w:rPr>
        <w:t xml:space="preserve">3. Dataset Overview</w:t>
      </w:r>
    </w:p>
    <w:p>
      <w:pPr>
        <w:spacing w:after="140" w:line="276"/>
      </w:pPr>
      <w:r>
        <w:rPr>
          <w:sz w:val="21"/>
          <w:szCs w:val="21"/>
        </w:rPr>
        <w:t xml:space="preserve">The Olist Brazilian E-Commerce Public Dataset (available on Kaggle under a CC BY-NC-SA 4.0 license) contains real, anonymized order data from 2016–2018. Nine relational tables were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50"/>
        <w:gridCol w:w="4500"/>
      </w:tblGrid>
      <w:tr>
        <w:trPr>
          <w:tblHeader/>
        </w:trPr>
        <w:tc>
          <w:tcPr>
            <w:tcW w:type="dxa" w:w="3200"/>
            <w:shd w:fill="0F2531" w:val="clear"/>
            <w:tcMar>
              <w:top w:type="dxa" w:w="100"/>
              <w:left w:type="dxa" w:w="120"/>
              <w:bottom w:type="dxa" w:w="100"/>
              <w:right w:type="dxa" w:w="120"/>
            </w:tcMar>
            <w:vAlign w:val="center"/>
          </w:tcPr>
          <w:p>
            <w:r>
              <w:rPr>
                <w:b/>
                <w:bCs/>
                <w:color w:val="FFFFFF"/>
                <w:sz w:val="19"/>
                <w:szCs w:val="19"/>
              </w:rPr>
              <w:t xml:space="preserve">Table</w:t>
            </w:r>
          </w:p>
        </w:tc>
        <w:tc>
          <w:tcPr>
            <w:tcW w:type="dxa" w:w="1650"/>
            <w:shd w:fill="0F2531" w:val="clear"/>
            <w:tcMar>
              <w:top w:type="dxa" w:w="100"/>
              <w:left w:type="dxa" w:w="120"/>
              <w:bottom w:type="dxa" w:w="100"/>
              <w:right w:type="dxa" w:w="120"/>
            </w:tcMar>
            <w:vAlign w:val="center"/>
          </w:tcPr>
          <w:p>
            <w:r>
              <w:rPr>
                <w:b/>
                <w:bCs/>
                <w:color w:val="FFFFFF"/>
                <w:sz w:val="19"/>
                <w:szCs w:val="19"/>
              </w:rPr>
              <w:t xml:space="preserve">Rows</w:t>
            </w:r>
          </w:p>
        </w:tc>
        <w:tc>
          <w:tcPr>
            <w:tcW w:type="dxa" w:w="4500"/>
            <w:shd w:fill="0F2531" w:val="clear"/>
            <w:tcMar>
              <w:top w:type="dxa" w:w="100"/>
              <w:left w:type="dxa" w:w="120"/>
              <w:bottom w:type="dxa" w:w="100"/>
              <w:right w:type="dxa" w:w="120"/>
            </w:tcMar>
            <w:vAlign w:val="center"/>
          </w:tcPr>
          <w:p>
            <w:r>
              <w:rPr>
                <w:b/>
                <w:bCs/>
                <w:color w:val="FFFFFF"/>
                <w:sz w:val="19"/>
                <w:szCs w:val="19"/>
              </w:rPr>
              <w:t xml:space="preserve">Role</w:t>
            </w:r>
          </w:p>
        </w:tc>
      </w:tr>
      <w:tr>
        <w:tc>
          <w:tcPr>
            <w:tcW w:type="dxa" w:w="3200"/>
            <w:shd w:fill="FFFFFF" w:val="clear"/>
            <w:tcMar>
              <w:top w:type="dxa" w:w="90"/>
              <w:left w:type="dxa" w:w="120"/>
              <w:bottom w:type="dxa" w:w="90"/>
              <w:right w:type="dxa" w:w="120"/>
            </w:tcMar>
          </w:tcPr>
          <w:p>
            <w:r>
              <w:rPr>
                <w:sz w:val="19"/>
                <w:szCs w:val="19"/>
              </w:rPr>
              <w:t xml:space="preserve">orders</w:t>
            </w:r>
          </w:p>
        </w:tc>
        <w:tc>
          <w:tcPr>
            <w:tcW w:type="dxa" w:w="1650"/>
            <w:shd w:fill="FFFFFF" w:val="clear"/>
            <w:tcMar>
              <w:top w:type="dxa" w:w="90"/>
              <w:left w:type="dxa" w:w="120"/>
              <w:bottom w:type="dxa" w:w="90"/>
              <w:right w:type="dxa" w:w="120"/>
            </w:tcMar>
          </w:tcPr>
          <w:p>
            <w:r>
              <w:rPr>
                <w:sz w:val="19"/>
                <w:szCs w:val="19"/>
              </w:rPr>
              <w:t xml:space="preserve">99,441</w:t>
            </w:r>
          </w:p>
        </w:tc>
        <w:tc>
          <w:tcPr>
            <w:tcW w:type="dxa" w:w="4500"/>
            <w:shd w:fill="FFFFFF" w:val="clear"/>
            <w:tcMar>
              <w:top w:type="dxa" w:w="90"/>
              <w:left w:type="dxa" w:w="120"/>
              <w:bottom w:type="dxa" w:w="90"/>
              <w:right w:type="dxa" w:w="120"/>
            </w:tcMar>
          </w:tcPr>
          <w:p>
            <w:r>
              <w:rPr>
                <w:sz w:val="19"/>
                <w:szCs w:val="19"/>
              </w:rPr>
              <w:t xml:space="preserve">Core fact table — one row per order</w:t>
            </w:r>
          </w:p>
        </w:tc>
      </w:tr>
      <w:tr>
        <w:tc>
          <w:tcPr>
            <w:tcW w:type="dxa" w:w="3200"/>
            <w:shd w:fill="F4F6F5" w:val="clear"/>
            <w:tcMar>
              <w:top w:type="dxa" w:w="90"/>
              <w:left w:type="dxa" w:w="120"/>
              <w:bottom w:type="dxa" w:w="90"/>
              <w:right w:type="dxa" w:w="120"/>
            </w:tcMar>
          </w:tcPr>
          <w:p>
            <w:r>
              <w:rPr>
                <w:sz w:val="19"/>
                <w:szCs w:val="19"/>
              </w:rPr>
              <w:t xml:space="preserve">order_items</w:t>
            </w:r>
          </w:p>
        </w:tc>
        <w:tc>
          <w:tcPr>
            <w:tcW w:type="dxa" w:w="1650"/>
            <w:shd w:fill="F4F6F5" w:val="clear"/>
            <w:tcMar>
              <w:top w:type="dxa" w:w="90"/>
              <w:left w:type="dxa" w:w="120"/>
              <w:bottom w:type="dxa" w:w="90"/>
              <w:right w:type="dxa" w:w="120"/>
            </w:tcMar>
          </w:tcPr>
          <w:p>
            <w:r>
              <w:rPr>
                <w:sz w:val="19"/>
                <w:szCs w:val="19"/>
              </w:rPr>
              <w:t xml:space="preserve">112,651</w:t>
            </w:r>
          </w:p>
        </w:tc>
        <w:tc>
          <w:tcPr>
            <w:tcW w:type="dxa" w:w="4500"/>
            <w:shd w:fill="F4F6F5" w:val="clear"/>
            <w:tcMar>
              <w:top w:type="dxa" w:w="90"/>
              <w:left w:type="dxa" w:w="120"/>
              <w:bottom w:type="dxa" w:w="90"/>
              <w:right w:type="dxa" w:w="120"/>
            </w:tcMar>
          </w:tcPr>
          <w:p>
            <w:r>
              <w:rPr>
                <w:sz w:val="19"/>
                <w:szCs w:val="19"/>
              </w:rPr>
              <w:t xml:space="preserve">Line items within orders (products, price, freight)</w:t>
            </w:r>
          </w:p>
        </w:tc>
      </w:tr>
      <w:tr>
        <w:tc>
          <w:tcPr>
            <w:tcW w:type="dxa" w:w="3200"/>
            <w:shd w:fill="FFFFFF" w:val="clear"/>
            <w:tcMar>
              <w:top w:type="dxa" w:w="90"/>
              <w:left w:type="dxa" w:w="120"/>
              <w:bottom w:type="dxa" w:w="90"/>
              <w:right w:type="dxa" w:w="120"/>
            </w:tcMar>
          </w:tcPr>
          <w:p>
            <w:r>
              <w:rPr>
                <w:sz w:val="19"/>
                <w:szCs w:val="19"/>
              </w:rPr>
              <w:t xml:space="preserve">order_payments</w:t>
            </w:r>
          </w:p>
        </w:tc>
        <w:tc>
          <w:tcPr>
            <w:tcW w:type="dxa" w:w="1650"/>
            <w:shd w:fill="FFFFFF" w:val="clear"/>
            <w:tcMar>
              <w:top w:type="dxa" w:w="90"/>
              <w:left w:type="dxa" w:w="120"/>
              <w:bottom w:type="dxa" w:w="90"/>
              <w:right w:type="dxa" w:w="120"/>
            </w:tcMar>
          </w:tcPr>
          <w:p>
            <w:r>
              <w:rPr>
                <w:sz w:val="19"/>
                <w:szCs w:val="19"/>
              </w:rPr>
              <w:t xml:space="preserve">103,887</w:t>
            </w:r>
          </w:p>
        </w:tc>
        <w:tc>
          <w:tcPr>
            <w:tcW w:type="dxa" w:w="4500"/>
            <w:shd w:fill="FFFFFF" w:val="clear"/>
            <w:tcMar>
              <w:top w:type="dxa" w:w="90"/>
              <w:left w:type="dxa" w:w="120"/>
              <w:bottom w:type="dxa" w:w="90"/>
              <w:right w:type="dxa" w:w="120"/>
            </w:tcMar>
          </w:tcPr>
          <w:p>
            <w:r>
              <w:rPr>
                <w:sz w:val="19"/>
                <w:szCs w:val="19"/>
              </w:rPr>
              <w:t xml:space="preserve">Payment method, installments, value</w:t>
            </w:r>
          </w:p>
        </w:tc>
      </w:tr>
      <w:tr>
        <w:tc>
          <w:tcPr>
            <w:tcW w:type="dxa" w:w="3200"/>
            <w:shd w:fill="F4F6F5" w:val="clear"/>
            <w:tcMar>
              <w:top w:type="dxa" w:w="90"/>
              <w:left w:type="dxa" w:w="120"/>
              <w:bottom w:type="dxa" w:w="90"/>
              <w:right w:type="dxa" w:w="120"/>
            </w:tcMar>
          </w:tcPr>
          <w:p>
            <w:r>
              <w:rPr>
                <w:sz w:val="19"/>
                <w:szCs w:val="19"/>
              </w:rPr>
              <w:t xml:space="preserve">order_reviews</w:t>
            </w:r>
          </w:p>
        </w:tc>
        <w:tc>
          <w:tcPr>
            <w:tcW w:type="dxa" w:w="1650"/>
            <w:shd w:fill="F4F6F5" w:val="clear"/>
            <w:tcMar>
              <w:top w:type="dxa" w:w="90"/>
              <w:left w:type="dxa" w:w="120"/>
              <w:bottom w:type="dxa" w:w="90"/>
              <w:right w:type="dxa" w:w="120"/>
            </w:tcMar>
          </w:tcPr>
          <w:p>
            <w:r>
              <w:rPr>
                <w:sz w:val="19"/>
                <w:szCs w:val="19"/>
              </w:rPr>
              <w:t xml:space="preserve">104,720</w:t>
            </w:r>
          </w:p>
        </w:tc>
        <w:tc>
          <w:tcPr>
            <w:tcW w:type="dxa" w:w="4500"/>
            <w:shd w:fill="F4F6F5" w:val="clear"/>
            <w:tcMar>
              <w:top w:type="dxa" w:w="90"/>
              <w:left w:type="dxa" w:w="120"/>
              <w:bottom w:type="dxa" w:w="90"/>
              <w:right w:type="dxa" w:w="120"/>
            </w:tcMar>
          </w:tcPr>
          <w:p>
            <w:r>
              <w:rPr>
                <w:sz w:val="19"/>
                <w:szCs w:val="19"/>
              </w:rPr>
              <w:t xml:space="preserve">Review scores and text</w:t>
            </w:r>
          </w:p>
        </w:tc>
      </w:tr>
      <w:tr>
        <w:tc>
          <w:tcPr>
            <w:tcW w:type="dxa" w:w="3200"/>
            <w:shd w:fill="FFFFFF" w:val="clear"/>
            <w:tcMar>
              <w:top w:type="dxa" w:w="90"/>
              <w:left w:type="dxa" w:w="120"/>
              <w:bottom w:type="dxa" w:w="90"/>
              <w:right w:type="dxa" w:w="120"/>
            </w:tcMar>
          </w:tcPr>
          <w:p>
            <w:r>
              <w:rPr>
                <w:sz w:val="19"/>
                <w:szCs w:val="19"/>
              </w:rPr>
              <w:t xml:space="preserve">customers</w:t>
            </w:r>
          </w:p>
        </w:tc>
        <w:tc>
          <w:tcPr>
            <w:tcW w:type="dxa" w:w="1650"/>
            <w:shd w:fill="FFFFFF" w:val="clear"/>
            <w:tcMar>
              <w:top w:type="dxa" w:w="90"/>
              <w:left w:type="dxa" w:w="120"/>
              <w:bottom w:type="dxa" w:w="90"/>
              <w:right w:type="dxa" w:w="120"/>
            </w:tcMar>
          </w:tcPr>
          <w:p>
            <w:r>
              <w:rPr>
                <w:sz w:val="19"/>
                <w:szCs w:val="19"/>
              </w:rPr>
              <w:t xml:space="preserve">99,441</w:t>
            </w:r>
          </w:p>
        </w:tc>
        <w:tc>
          <w:tcPr>
            <w:tcW w:type="dxa" w:w="4500"/>
            <w:shd w:fill="FFFFFF" w:val="clear"/>
            <w:tcMar>
              <w:top w:type="dxa" w:w="90"/>
              <w:left w:type="dxa" w:w="120"/>
              <w:bottom w:type="dxa" w:w="90"/>
              <w:right w:type="dxa" w:w="120"/>
            </w:tcMar>
          </w:tcPr>
          <w:p>
            <w:r>
              <w:rPr>
                <w:sz w:val="19"/>
                <w:szCs w:val="19"/>
              </w:rPr>
              <w:t xml:space="preserve">Customer ID and location</w:t>
            </w:r>
          </w:p>
        </w:tc>
      </w:tr>
      <w:tr>
        <w:tc>
          <w:tcPr>
            <w:tcW w:type="dxa" w:w="3200"/>
            <w:shd w:fill="F4F6F5" w:val="clear"/>
            <w:tcMar>
              <w:top w:type="dxa" w:w="90"/>
              <w:left w:type="dxa" w:w="120"/>
              <w:bottom w:type="dxa" w:w="90"/>
              <w:right w:type="dxa" w:w="120"/>
            </w:tcMar>
          </w:tcPr>
          <w:p>
            <w:r>
              <w:rPr>
                <w:sz w:val="19"/>
                <w:szCs w:val="19"/>
              </w:rPr>
              <w:t xml:space="preserve">products</w:t>
            </w:r>
          </w:p>
        </w:tc>
        <w:tc>
          <w:tcPr>
            <w:tcW w:type="dxa" w:w="1650"/>
            <w:shd w:fill="F4F6F5" w:val="clear"/>
            <w:tcMar>
              <w:top w:type="dxa" w:w="90"/>
              <w:left w:type="dxa" w:w="120"/>
              <w:bottom w:type="dxa" w:w="90"/>
              <w:right w:type="dxa" w:w="120"/>
            </w:tcMar>
          </w:tcPr>
          <w:p>
            <w:r>
              <w:rPr>
                <w:sz w:val="19"/>
                <w:szCs w:val="19"/>
              </w:rPr>
              <w:t xml:space="preserve">32,952</w:t>
            </w:r>
          </w:p>
        </w:tc>
        <w:tc>
          <w:tcPr>
            <w:tcW w:type="dxa" w:w="4500"/>
            <w:shd w:fill="F4F6F5" w:val="clear"/>
            <w:tcMar>
              <w:top w:type="dxa" w:w="90"/>
              <w:left w:type="dxa" w:w="120"/>
              <w:bottom w:type="dxa" w:w="90"/>
              <w:right w:type="dxa" w:w="120"/>
            </w:tcMar>
          </w:tcPr>
          <w:p>
            <w:r>
              <w:rPr>
                <w:sz w:val="19"/>
                <w:szCs w:val="19"/>
              </w:rPr>
              <w:t xml:space="preserve">Product catalog and category</w:t>
            </w:r>
          </w:p>
        </w:tc>
      </w:tr>
      <w:tr>
        <w:tc>
          <w:tcPr>
            <w:tcW w:type="dxa" w:w="3200"/>
            <w:shd w:fill="FFFFFF" w:val="clear"/>
            <w:tcMar>
              <w:top w:type="dxa" w:w="90"/>
              <w:left w:type="dxa" w:w="120"/>
              <w:bottom w:type="dxa" w:w="90"/>
              <w:right w:type="dxa" w:w="120"/>
            </w:tcMar>
          </w:tcPr>
          <w:p>
            <w:r>
              <w:rPr>
                <w:sz w:val="19"/>
                <w:szCs w:val="19"/>
              </w:rPr>
              <w:t xml:space="preserve">sellers</w:t>
            </w:r>
          </w:p>
        </w:tc>
        <w:tc>
          <w:tcPr>
            <w:tcW w:type="dxa" w:w="1650"/>
            <w:shd w:fill="FFFFFF" w:val="clear"/>
            <w:tcMar>
              <w:top w:type="dxa" w:w="90"/>
              <w:left w:type="dxa" w:w="120"/>
              <w:bottom w:type="dxa" w:w="90"/>
              <w:right w:type="dxa" w:w="120"/>
            </w:tcMar>
          </w:tcPr>
          <w:p>
            <w:r>
              <w:rPr>
                <w:sz w:val="19"/>
                <w:szCs w:val="19"/>
              </w:rPr>
              <w:t xml:space="preserve">3,096</w:t>
            </w:r>
          </w:p>
        </w:tc>
        <w:tc>
          <w:tcPr>
            <w:tcW w:type="dxa" w:w="4500"/>
            <w:shd w:fill="FFFFFF" w:val="clear"/>
            <w:tcMar>
              <w:top w:type="dxa" w:w="90"/>
              <w:left w:type="dxa" w:w="120"/>
              <w:bottom w:type="dxa" w:w="90"/>
              <w:right w:type="dxa" w:w="120"/>
            </w:tcMar>
          </w:tcPr>
          <w:p>
            <w:r>
              <w:rPr>
                <w:sz w:val="19"/>
                <w:szCs w:val="19"/>
              </w:rPr>
              <w:t xml:space="preserve">Seller ID and location</w:t>
            </w:r>
          </w:p>
        </w:tc>
      </w:tr>
      <w:tr>
        <w:tc>
          <w:tcPr>
            <w:tcW w:type="dxa" w:w="3200"/>
            <w:shd w:fill="F4F6F5" w:val="clear"/>
            <w:tcMar>
              <w:top w:type="dxa" w:w="90"/>
              <w:left w:type="dxa" w:w="120"/>
              <w:bottom w:type="dxa" w:w="90"/>
              <w:right w:type="dxa" w:w="120"/>
            </w:tcMar>
          </w:tcPr>
          <w:p>
            <w:r>
              <w:rPr>
                <w:sz w:val="19"/>
                <w:szCs w:val="19"/>
              </w:rPr>
              <w:t xml:space="preserve">geolocation</w:t>
            </w:r>
          </w:p>
        </w:tc>
        <w:tc>
          <w:tcPr>
            <w:tcW w:type="dxa" w:w="1650"/>
            <w:shd w:fill="F4F6F5" w:val="clear"/>
            <w:tcMar>
              <w:top w:type="dxa" w:w="90"/>
              <w:left w:type="dxa" w:w="120"/>
              <w:bottom w:type="dxa" w:w="90"/>
              <w:right w:type="dxa" w:w="120"/>
            </w:tcMar>
          </w:tcPr>
          <w:p>
            <w:r>
              <w:rPr>
                <w:sz w:val="19"/>
                <w:szCs w:val="19"/>
              </w:rPr>
              <w:t xml:space="preserve">1,000,164</w:t>
            </w:r>
          </w:p>
        </w:tc>
        <w:tc>
          <w:tcPr>
            <w:tcW w:type="dxa" w:w="4500"/>
            <w:shd w:fill="F4F6F5" w:val="clear"/>
            <w:tcMar>
              <w:top w:type="dxa" w:w="90"/>
              <w:left w:type="dxa" w:w="120"/>
              <w:bottom w:type="dxa" w:w="90"/>
              <w:right w:type="dxa" w:w="120"/>
            </w:tcMar>
          </w:tcPr>
          <w:p>
            <w:r>
              <w:rPr>
                <w:sz w:val="19"/>
                <w:szCs w:val="19"/>
              </w:rPr>
              <w:t xml:space="preserve">Zip code to lat/long (not used in final analysis)</w:t>
            </w:r>
          </w:p>
        </w:tc>
      </w:tr>
      <w:tr>
        <w:tc>
          <w:tcPr>
            <w:tcW w:type="dxa" w:w="3200"/>
            <w:shd w:fill="FFFFFF" w:val="clear"/>
            <w:tcMar>
              <w:top w:type="dxa" w:w="90"/>
              <w:left w:type="dxa" w:w="120"/>
              <w:bottom w:type="dxa" w:w="90"/>
              <w:right w:type="dxa" w:w="120"/>
            </w:tcMar>
          </w:tcPr>
          <w:p>
            <w:r>
              <w:rPr>
                <w:sz w:val="19"/>
                <w:szCs w:val="19"/>
              </w:rPr>
              <w:t xml:space="preserve">category_name_translation</w:t>
            </w:r>
          </w:p>
        </w:tc>
        <w:tc>
          <w:tcPr>
            <w:tcW w:type="dxa" w:w="1650"/>
            <w:shd w:fill="FFFFFF" w:val="clear"/>
            <w:tcMar>
              <w:top w:type="dxa" w:w="90"/>
              <w:left w:type="dxa" w:w="120"/>
              <w:bottom w:type="dxa" w:w="90"/>
              <w:right w:type="dxa" w:w="120"/>
            </w:tcMar>
          </w:tcPr>
          <w:p>
            <w:r>
              <w:rPr>
                <w:sz w:val="19"/>
                <w:szCs w:val="19"/>
              </w:rPr>
              <w:t xml:space="preserve">71</w:t>
            </w:r>
          </w:p>
        </w:tc>
        <w:tc>
          <w:tcPr>
            <w:tcW w:type="dxa" w:w="4500"/>
            <w:shd w:fill="FFFFFF" w:val="clear"/>
            <w:tcMar>
              <w:top w:type="dxa" w:w="90"/>
              <w:left w:type="dxa" w:w="120"/>
              <w:bottom w:type="dxa" w:w="90"/>
              <w:right w:type="dxa" w:w="120"/>
            </w:tcMar>
          </w:tcPr>
          <w:p>
            <w:r>
              <w:rPr>
                <w:sz w:val="19"/>
                <w:szCs w:val="19"/>
              </w:rPr>
              <w:t xml:space="preserve">Portuguese → English category names</w:t>
            </w:r>
          </w:p>
        </w:tc>
      </w:tr>
    </w:tbl>
    <w:p>
      <w:pPr>
        <w:spacing w:before="200"/>
      </w:pPr>
    </w:p>
    <w:p>
      <w:pPr>
        <w:spacing w:after="140" w:line="276"/>
      </w:pPr>
      <w:r>
        <w:rPr>
          <w:sz w:val="21"/>
          <w:szCs w:val="21"/>
        </w:rPr>
        <w:t xml:space="preserve">All monetary values in the dataset are in Brazilian Real (R$). The geolocation table was loaded but ultimately not used in the final analysis, since no query in this project required point-level coordinate data — state-level granularity (available directly on the customers table) was sufficient for every regional question asked.</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4. Methodology</w:t>
      </w:r>
    </w:p>
    <w:p>
      <w:pPr>
        <w:pStyle w:val="Heading2"/>
        <w:spacing w:after="120" w:before="280"/>
      </w:pPr>
      <w:r>
        <w:rPr>
          <w:rFonts w:ascii="Calibri" w:cs="Calibri" w:eastAsia="Calibri" w:hAnsi="Calibri"/>
          <w:b/>
          <w:bCs/>
          <w:color w:val="2C6E7F"/>
          <w:sz w:val="23"/>
          <w:szCs w:val="23"/>
        </w:rPr>
        <w:t xml:space="preserve">4.1 Pipeline</w:t>
      </w:r>
    </w:p>
    <w:p>
      <w:pPr>
        <w:spacing w:after="140" w:line="276"/>
      </w:pPr>
      <w:r>
        <w:rPr>
          <w:sz w:val="21"/>
          <w:szCs w:val="21"/>
        </w:rPr>
        <w:t xml:space="preserve">The analysis follows a linear pipeline: raw CSVs were loaded into a local SQLite database and indexed; data-quality checks established which orders represent real, completed sales and what date range was reliable; SQL was used for aggregate reporting and four hypothesis-testing investigations; Python (pandas, scikit-learn) was used for RFM segmentation and predictive modeling; Power BI was used to build a three-page executive dashboard translating the findings into a business-facing report.</w:t>
      </w:r>
    </w:p>
    <w:p>
      <w:pPr>
        <w:pStyle w:val="Heading2"/>
        <w:spacing w:after="120" w:before="280"/>
      </w:pPr>
      <w:r>
        <w:rPr>
          <w:rFonts w:ascii="Calibri" w:cs="Calibri" w:eastAsia="Calibri" w:hAnsi="Calibri"/>
          <w:b/>
          <w:bCs/>
          <w:color w:val="2C6E7F"/>
          <w:sz w:val="23"/>
          <w:szCs w:val="23"/>
        </w:rPr>
        <w:t xml:space="preserve">4.2 Data Cleaning Decisions</w:t>
      </w:r>
    </w:p>
    <w:p>
      <w:pPr>
        <w:pStyle w:val="ListParagraph"/>
        <w:numPr>
          <w:ilvl w:val="0"/>
          <w:numId w:val="1"/>
        </w:numPr>
        <w:spacing w:after="90" w:line="264"/>
      </w:pPr>
      <w:r>
        <w:rPr>
          <w:b/>
          <w:bCs/>
          <w:sz w:val="21"/>
          <w:szCs w:val="21"/>
        </w:rPr>
        <w:t xml:space="preserve">Order status filter: </w:t>
      </w:r>
      <w:r>
        <w:rPr>
          <w:b w:val="false"/>
          <w:bCs w:val="false"/>
          <w:sz w:val="21"/>
          <w:szCs w:val="21"/>
        </w:rPr>
        <w:t xml:space="preserve">only orders with status = ‘delivered’ (96,478 of 99,441, or 97%) were treated as completed sales. Canceled (625) and unavailable (609) orders never generated real revenue and were excluded from every revenue calculation.</w:t>
      </w:r>
    </w:p>
    <w:p>
      <w:pPr>
        <w:pStyle w:val="ListParagraph"/>
        <w:numPr>
          <w:ilvl w:val="0"/>
          <w:numId w:val="1"/>
        </w:numPr>
        <w:spacing w:after="90" w:line="264"/>
      </w:pPr>
      <w:r>
        <w:rPr>
          <w:b/>
          <w:bCs/>
          <w:sz w:val="21"/>
          <w:szCs w:val="21"/>
        </w:rPr>
        <w:t xml:space="preserve">Usable date range: </w:t>
      </w:r>
      <w:r>
        <w:rPr>
          <w:b w:val="false"/>
          <w:bCs w:val="false"/>
          <w:sz w:val="21"/>
          <w:szCs w:val="21"/>
        </w:rPr>
        <w:t xml:space="preserve">2017-01-01 to 2018-08-31. The edges of the raw date range (September–December 2016 and September–October 2018) contained fewer than 350 combined orders — partial-month artifacts of when the dataset export was taken, not real business signal — and were excluded to avoid distorting trend analysis.</w:t>
      </w:r>
    </w:p>
    <w:p>
      <w:pPr>
        <w:pStyle w:val="ListParagraph"/>
        <w:numPr>
          <w:ilvl w:val="0"/>
          <w:numId w:val="1"/>
        </w:numPr>
        <w:spacing w:after="90" w:line="264"/>
      </w:pPr>
      <w:r>
        <w:rPr>
          <w:b/>
          <w:bCs/>
          <w:sz w:val="21"/>
          <w:szCs w:val="21"/>
        </w:rPr>
        <w:t xml:space="preserve">Customer identity: </w:t>
      </w:r>
      <w:r>
        <w:rPr>
          <w:b w:val="false"/>
          <w:bCs w:val="false"/>
          <w:sz w:val="21"/>
          <w:szCs w:val="21"/>
        </w:rPr>
        <w:t xml:space="preserve">Olist's customer_id field is unique per order, not per person — a returning customer receives a new customer_id on every order. All customer-level analysis (counting, RFM, retention) instead uses the customer_unique_id field, the true person-level key. This distinction was caught early: an initial query showed total_orders and total_customers as numerically identical, which is what prompted the investigation.</w:t>
      </w:r>
    </w:p>
    <w:p>
      <w:pPr>
        <w:pStyle w:val="ListParagraph"/>
        <w:numPr>
          <w:ilvl w:val="0"/>
          <w:numId w:val="1"/>
        </w:numPr>
        <w:spacing w:after="90" w:line="264"/>
      </w:pPr>
      <w:r>
        <w:rPr>
          <w:b/>
          <w:bCs/>
          <w:sz w:val="21"/>
          <w:szCs w:val="21"/>
        </w:rPr>
        <w:t xml:space="preserve">Revenue definition: </w:t>
      </w:r>
      <w:r>
        <w:rPr>
          <w:b w:val="false"/>
          <w:bCs w:val="false"/>
          <w:sz w:val="21"/>
          <w:szCs w:val="21"/>
        </w:rPr>
        <w:t xml:space="preserve">revenue is defined as product price only (order_items.price). Freight (shipping cost) is tracked as a separate metric (approximately 17% of product revenue) rather than folded into “revenue,” since freight is a pass-through logistics cost, not a reflection of sales or pricing performance.</w:t>
      </w:r>
    </w:p>
    <w:p>
      <w:pPr>
        <w:pStyle w:val="Heading2"/>
        <w:spacing w:after="120" w:before="280"/>
      </w:pPr>
      <w:r>
        <w:rPr>
          <w:rFonts w:ascii="Calibri" w:cs="Calibri" w:eastAsia="Calibri" w:hAnsi="Calibri"/>
          <w:b/>
          <w:bCs/>
          <w:color w:val="2C6E7F"/>
          <w:sz w:val="23"/>
          <w:szCs w:val="23"/>
        </w:rPr>
        <w:t xml:space="preserve">4.3 Analytical Techniques</w:t>
      </w:r>
    </w:p>
    <w:p>
      <w:pPr>
        <w:spacing w:after="140" w:line="276"/>
      </w:pPr>
      <w:r>
        <w:rPr>
          <w:sz w:val="21"/>
          <w:szCs w:val="21"/>
        </w:rPr>
        <w:t xml:space="preserve">SQL: multi-table joins, GROUP BY/HAVING aggregation, common table expressions (CTEs), window functions (RANK() OVER (PARTITION BY …), LAG(), ROW_NUMBER()), date arithmetic (JULIANDAY, strftime), and CASE WHEN-based segmentation logic.</w:t>
      </w:r>
    </w:p>
    <w:p>
      <w:pPr>
        <w:spacing w:after="140" w:line="276"/>
      </w:pPr>
      <w:r>
        <w:rPr>
          <w:sz w:val="21"/>
          <w:szCs w:val="21"/>
        </w:rPr>
        <w:t xml:space="preserve">Python: RFM (Recency, Frequency, Monetary) segmentation using quintile scoring; feature engineering with explicit avoidance of target leakage; a five-fold stratified cross-validated comparison across four classification algorithms; handling of severe class imbalance via class_weight='balanced'; reframing of a weak classifier as a ranked targeting tool.</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5. Exploratory Findings</w:t>
      </w:r>
    </w:p>
    <w:p>
      <w:pPr>
        <w:pStyle w:val="Heading2"/>
        <w:spacing w:after="120" w:before="280"/>
      </w:pPr>
      <w:r>
        <w:rPr>
          <w:rFonts w:ascii="Calibri" w:cs="Calibri" w:eastAsia="Calibri" w:hAnsi="Calibri"/>
          <w:b/>
          <w:bCs/>
          <w:color w:val="2C6E7F"/>
          <w:sz w:val="23"/>
          <w:szCs w:val="23"/>
        </w:rPr>
        <w:t xml:space="preserve">5.1 Revenue Trend</w:t>
      </w:r>
    </w:p>
    <w:p>
      <w:pPr>
        <w:spacing w:after="140" w:line="276"/>
      </w:pPr>
      <w:r>
        <w:rPr>
          <w:sz w:val="21"/>
          <w:szCs w:val="21"/>
        </w:rPr>
        <w:t xml:space="preserve">Revenue grew from R$2,785 in January 2017 to a peak of R$376,660 in the final complete month (December 2018 partial data excluded) — a 5.7× increase over the period. Growth was consistent through 2017, including a pronounced spike of +52% month-over-month in November 2017, most likely attributable to Black Friday. However, growth visibly plateaued during 2018: May 2018 (R$977,544) represented the effective peak of the entire dataset, with June through August 2018 running flat or slightly below that level. This is best characterized as a deceleration in growth rate, not a decline in absolute revenue.</w:t>
      </w:r>
    </w:p>
    <w:p>
      <w:pPr>
        <w:pStyle w:val="Heading2"/>
        <w:spacing w:after="120" w:before="280"/>
      </w:pPr>
      <w:r>
        <w:rPr>
          <w:rFonts w:ascii="Calibri" w:cs="Calibri" w:eastAsia="Calibri" w:hAnsi="Calibri"/>
          <w:b/>
          <w:bCs/>
          <w:color w:val="2C6E7F"/>
          <w:sz w:val="23"/>
          <w:szCs w:val="23"/>
        </w:rPr>
        <w:t xml:space="preserve">5.2 Geographic Concentration</w:t>
      </w:r>
    </w:p>
    <w:p>
      <w:pPr>
        <w:spacing w:after="140" w:line="276"/>
      </w:pPr>
      <w:r>
        <w:rPr>
          <w:sz w:val="21"/>
          <w:szCs w:val="21"/>
        </w:rPr>
        <w:t xml:space="preserve">São Paulo (SP) state accounts for 42% of customers and 38% of revenue — more than the next five states (RJ, MG, RS, PR, SC) combined. This concentration is consistent with SP's role as Brazil's largest economic hub and the likely home base of the majority of Olist's sellers, which would minimize shipping distance and cost for SP-based buyers.</w:t>
      </w:r>
    </w:p>
    <w:p>
      <w:pPr>
        <w:spacing w:after="140" w:line="276"/>
      </w:pPr>
      <w:r>
        <w:rPr>
          <w:sz w:val="21"/>
          <w:szCs w:val="21"/>
        </w:rPr>
        <w:t xml:space="preserve">Notably, SP has one of the lowest average order values of any state (R$125), while small, geographically remote states — Paraíba (PB), Amapá (AP), and Acre (AC) — have the highest average order values, exceeding R$200. This suggests remote customers purchase less frequently but spend more per transaction when they do — plausibly consolidating purchases to amortize higher shipping costs or longer delivery times.</w:t>
      </w:r>
    </w:p>
    <w:p>
      <w:pPr>
        <w:pStyle w:val="Heading2"/>
        <w:spacing w:after="120" w:before="280"/>
      </w:pPr>
      <w:r>
        <w:rPr>
          <w:rFonts w:ascii="Calibri" w:cs="Calibri" w:eastAsia="Calibri" w:hAnsi="Calibri"/>
          <w:b/>
          <w:bCs/>
          <w:color w:val="2C6E7F"/>
          <w:sz w:val="23"/>
          <w:szCs w:val="23"/>
        </w:rPr>
        <w:t xml:space="preserve">5.3 Category Performance</w:t>
      </w:r>
    </w:p>
    <w:p>
      <w:pPr>
        <w:spacing w:after="140" w:line="276"/>
      </w:pPr>
      <w:r>
        <w:rPr>
          <w:sz w:val="21"/>
          <w:szCs w:val="21"/>
        </w:rPr>
        <w:t xml:space="preserve">No single product category dominates total revenue: the top category (health_beauty) represents only approximately 9% of total revenue, and the top ten categories are relatively evenly distributed. This indicates that, unlike the geographic concentration above, revenue concentration risk in this business is not product-based.</w:t>
      </w:r>
    </w:p>
    <w:p>
      <w:pPr>
        <w:spacing w:after="140" w:line="276"/>
      </w:pPr>
      <w:r>
        <w:rPr>
          <w:sz w:val="21"/>
          <w:szCs w:val="21"/>
        </w:rPr>
        <w:t xml:space="preserve">watches_gifts carries the highest average order value among major categories (R$212), while telephony combines high order volume with the lowest average order value (R$76) — consistent with telephony sales skewing toward inexpensive accessories rather than phones themselves.</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6. Central Investigation: The Repeat-Purchase Problem</w:t>
      </w:r>
    </w:p>
    <w:tbl>
      <w:tblPr>
        <w:tblW w:type="dxa" w:w="9350"/>
        <w:tblBorders>
          <w:top w:val="single" w:color="2C6E7F" w:sz="4"/>
          <w:left w:val="single" w:color="2C6E7F" w:sz="24"/>
          <w:bottom w:val="single" w:color="2C6E7F" w:sz="4"/>
          <w:right w:val="single" w:color="2C6E7F" w:sz="4"/>
          <w:insideH w:val="single" w:color="auto" w:sz="4"/>
          <w:insideV w:val="single" w:color="auto" w:sz="4"/>
        </w:tblBorders>
      </w:tblPr>
      <w:tblGrid>
        <w:gridCol w:w="9350"/>
      </w:tblGrid>
      <w:tr>
        <w:tc>
          <w:tcPr>
            <w:tcW w:type="dxa" w:w="9350"/>
            <w:shd w:fill="F4F6F5" w:val="clear"/>
            <w:tcMar>
              <w:top w:type="dxa" w:w="160"/>
              <w:left w:type="dxa" w:w="220"/>
              <w:bottom w:type="dxa" w:w="160"/>
              <w:right w:type="dxa" w:w="220"/>
            </w:tcMar>
          </w:tcPr>
          <w:p>
            <w:pPr>
              <w:spacing w:after="40"/>
            </w:pPr>
            <w:r>
              <w:rPr>
                <w:b/>
                <w:bCs/>
                <w:color w:val="C97B33"/>
                <w:spacing w:val="10"/>
                <w:sz w:val="16"/>
                <w:szCs w:val="16"/>
              </w:rPr>
              <w:t xml:space="preserve">CENTRAL FINDING</w:t>
            </w:r>
          </w:p>
          <w:p>
            <w:pPr>
              <w:spacing w:after="60"/>
            </w:pPr>
            <w:r>
              <w:rPr>
                <w:b/>
                <w:bCs/>
                <w:color w:val="0F2531"/>
                <w:sz w:val="23"/>
                <w:szCs w:val="23"/>
              </w:rPr>
              <w:t xml:space="preserve">97% of customers never place a second order</w:t>
            </w:r>
          </w:p>
          <w:p>
            <w:r>
              <w:rPr>
                <w:color w:val="203040"/>
                <w:sz w:val="20"/>
                <w:szCs w:val="20"/>
              </w:rPr>
              <w:t xml:space="preserve">Of 93,104 unique customers in the analysis window, 90,315 (97.0%) placed exactly one order. This is not a data quality artifact — it was confirmed after correcting for the customer_id/customer_unique_id distinction described in Section 4.2, and after controlling for reorder-eligibility (see 6.1 below).</w:t>
            </w:r>
          </w:p>
        </w:tc>
      </w:tr>
    </w:tbl>
    <w:p>
      <w:pPr>
        <w:pStyle w:val="Heading2"/>
        <w:spacing w:after="120" w:before="280"/>
      </w:pPr>
      <w:r>
        <w:rPr>
          <w:rFonts w:ascii="Calibri" w:cs="Calibri" w:eastAsia="Calibri" w:hAnsi="Calibri"/>
          <w:b/>
          <w:bCs/>
          <w:color w:val="2C6E7F"/>
          <w:sz w:val="23"/>
          <w:szCs w:val="23"/>
        </w:rPr>
        <w:t xml:space="preserve">6.1 Methodology: Controlling for Reorder-Eligibility</w:t>
      </w:r>
    </w:p>
    <w:p>
      <w:pPr>
        <w:spacing w:after="140" w:line="276"/>
      </w:pPr>
      <w:r>
        <w:rPr>
          <w:sz w:val="21"/>
          <w:szCs w:val="21"/>
        </w:rPr>
        <w:t xml:space="preserve">A naive comparison of one-time versus repeat customers would be biased by recency: a customer who placed their first order in August 2018 has had almost no time to place a second one before the data cutoff, while a customer who ordered in January 2017 has had 20 months. Every hypothesis test below is restricted to customers whose first order occurred before March 1, 2018 — guaranteeing a minimum six-month window in which a second purchase could have occurred.</w:t>
      </w:r>
    </w:p>
    <w:p>
      <w:pPr>
        <w:pStyle w:val="Heading2"/>
        <w:spacing w:after="120" w:before="280"/>
      </w:pPr>
      <w:r>
        <w:rPr>
          <w:rFonts w:ascii="Calibri" w:cs="Calibri" w:eastAsia="Calibri" w:hAnsi="Calibri"/>
          <w:b/>
          <w:bCs/>
          <w:color w:val="2C6E7F"/>
          <w:sz w:val="23"/>
          <w:szCs w:val="23"/>
        </w:rPr>
        <w:t xml:space="preserve">6.2 Four Hypotheses Tested</w:t>
      </w:r>
    </w:p>
    <w:p>
      <w:pPr>
        <w:pStyle w:val="Heading3"/>
        <w:spacing w:after="90" w:before="200"/>
      </w:pPr>
      <w:r>
        <w:rPr>
          <w:rFonts w:ascii="Calibri" w:cs="Calibri" w:eastAsia="Calibri" w:hAnsi="Calibri"/>
          <w:b/>
          <w:bCs/>
          <w:color w:val="0F2531"/>
          <w:sz w:val="21"/>
          <w:szCs w:val="21"/>
        </w:rPr>
        <w:t xml:space="preserve">Hypothesis 1: Delivery Experience</w:t>
      </w:r>
    </w:p>
    <w:p>
      <w:pPr>
        <w:spacing w:after="140" w:line="276"/>
      </w:pPr>
      <w:r>
        <w:rPr>
          <w:sz w:val="21"/>
          <w:szCs w:val="21"/>
        </w:rPr>
        <w:t xml:space="preserve">Do customers who have a poor delivery experience — slow shipping, late delivery relative to the estimate, or a low review score — fail to return at a higher rate than customers with a good experience?</w:t>
      </w:r>
    </w:p>
    <w:p>
      <w:pPr>
        <w:spacing w:after="140" w:line="276"/>
      </w:pPr>
      <w:r>
        <w:rPr>
          <w:i/>
          <w:iCs/>
          <w:color w:val="5B7280"/>
          <w:sz w:val="21"/>
          <w:szCs w:val="21"/>
        </w:rPr>
        <w:t xml:space="preserve">Result: no meaningful difference. One-time customers had an average review score of 4.13 versus 4.19 for repeat customers; both groups experienced average delivery times of approximately 13 days and were delivered roughly 11–12 days earlier than the platform's own estimate. Hypothesis ruled out.</w:t>
      </w:r>
    </w:p>
    <w:p>
      <w:pPr>
        <w:pStyle w:val="Heading3"/>
        <w:spacing w:after="90" w:before="200"/>
      </w:pPr>
      <w:r>
        <w:rPr>
          <w:rFonts w:ascii="Calibri" w:cs="Calibri" w:eastAsia="Calibri" w:hAnsi="Calibri"/>
          <w:b/>
          <w:bCs/>
          <w:color w:val="0F2531"/>
          <w:sz w:val="21"/>
          <w:szCs w:val="21"/>
        </w:rPr>
        <w:t xml:space="preserve">Hypothesis 2: Product Category</w:t>
      </w:r>
    </w:p>
    <w:p>
      <w:pPr>
        <w:spacing w:after="140" w:line="276"/>
      </w:pPr>
      <w:r>
        <w:rPr>
          <w:sz w:val="21"/>
          <w:szCs w:val="21"/>
        </w:rPr>
        <w:t xml:space="preserve">Do customers whose first purchase was a durable, infrequently-repurchased good (furniture, appliances) return at a lower rate than customers who bought a consumable (beauty products, food)?</w:t>
      </w:r>
    </w:p>
    <w:p>
      <w:pPr>
        <w:spacing w:after="140" w:line="276"/>
      </w:pPr>
      <w:r>
        <w:rPr>
          <w:i/>
          <w:iCs/>
          <w:color w:val="5B7280"/>
          <w:sz w:val="21"/>
          <w:szCs w:val="21"/>
        </w:rPr>
        <w:t xml:space="preserve">Result: no clear pattern. Repeat rate is compressed into a narrow 2.0%–9.1% band across every major category with at least 200 first-time buyers, and durable goods did not show systematically lower repeat rates than consumables, contrary to the hypothesis. Hypothesis ruled out.</w:t>
      </w:r>
    </w:p>
    <w:p>
      <w:pPr>
        <w:pStyle w:val="Heading3"/>
        <w:spacing w:after="90" w:before="200"/>
      </w:pPr>
      <w:r>
        <w:rPr>
          <w:rFonts w:ascii="Calibri" w:cs="Calibri" w:eastAsia="Calibri" w:hAnsi="Calibri"/>
          <w:b/>
          <w:bCs/>
          <w:color w:val="0F2531"/>
          <w:sz w:val="21"/>
          <w:szCs w:val="21"/>
        </w:rPr>
        <w:t xml:space="preserve">Hypothesis 3: Payment Behavior</w:t>
      </w:r>
    </w:p>
    <w:p>
      <w:pPr>
        <w:spacing w:after="140" w:line="276"/>
      </w:pPr>
      <w:r>
        <w:rPr>
          <w:sz w:val="21"/>
          <w:szCs w:val="21"/>
        </w:rPr>
        <w:t xml:space="preserve">Does how a customer pays — order value, number of installments — differ meaningfully between one-time and repeat customers?</w:t>
      </w:r>
    </w:p>
    <w:p>
      <w:pPr>
        <w:spacing w:after="140" w:line="276"/>
      </w:pPr>
      <w:r>
        <w:rPr>
          <w:i/>
          <w:iCs/>
          <w:color w:val="5B7280"/>
          <w:sz w:val="21"/>
          <w:szCs w:val="21"/>
        </w:rPr>
        <w:t xml:space="preserve">Result: a weak but real effect. Repeat customers spend slightly less per order on average (R$134 vs. R$151 for one-time customers) and use marginally more payment installments (3.24 vs. 2.88) — consistent with repeat customers skewing toward smaller, more routine purchases rather than large one-off purchases. This was the strongest of the four individual signals, though not decisive alone.</w:t>
      </w:r>
    </w:p>
    <w:p>
      <w:pPr>
        <w:pStyle w:val="Heading3"/>
        <w:spacing w:after="90" w:before="200"/>
      </w:pPr>
      <w:r>
        <w:rPr>
          <w:rFonts w:ascii="Calibri" w:cs="Calibri" w:eastAsia="Calibri" w:hAnsi="Calibri"/>
          <w:b/>
          <w:bCs/>
          <w:color w:val="0F2531"/>
          <w:sz w:val="21"/>
          <w:szCs w:val="21"/>
        </w:rPr>
        <w:t xml:space="preserve">Hypothesis 4: Geography</w:t>
      </w:r>
    </w:p>
    <w:p>
      <w:pPr>
        <w:spacing w:after="140" w:line="276"/>
      </w:pPr>
      <w:r>
        <w:rPr>
          <w:sz w:val="21"/>
          <w:szCs w:val="21"/>
        </w:rPr>
        <w:t xml:space="preserve">Does a customer's state predict their likelihood of returning?</w:t>
      </w:r>
    </w:p>
    <w:p>
      <w:pPr>
        <w:spacing w:after="140" w:line="276"/>
      </w:pPr>
      <w:r>
        <w:rPr>
          <w:i/>
          <w:iCs/>
          <w:color w:val="5B7280"/>
          <w:sz w:val="21"/>
          <w:szCs w:val="21"/>
        </w:rPr>
        <w:t xml:space="preserve">Result: a weak effect. Repeat rate ranges from 2.0% (Ceará) to 4.3% (São Paulo/Mato Grosso) — roughly a two-fold spread, but even the best-performing state remains below 5%.</w:t>
      </w:r>
    </w:p>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0F2531" w:val="clear"/>
            <w:tcMar>
              <w:top w:type="dxa" w:w="100"/>
              <w:left w:type="dxa" w:w="120"/>
              <w:bottom w:type="dxa" w:w="100"/>
              <w:right w:type="dxa" w:w="120"/>
            </w:tcMar>
            <w:vAlign w:val="center"/>
          </w:tcPr>
          <w:p>
            <w:r>
              <w:rPr>
                <w:b/>
                <w:bCs/>
                <w:color w:val="FFFFFF"/>
                <w:sz w:val="19"/>
                <w:szCs w:val="19"/>
              </w:rPr>
              <w:t xml:space="preserve">Hypothesis</w:t>
            </w:r>
          </w:p>
        </w:tc>
        <w:tc>
          <w:tcPr>
            <w:tcW w:type="dxa" w:w="1500"/>
            <w:shd w:fill="0F2531" w:val="clear"/>
            <w:tcMar>
              <w:top w:type="dxa" w:w="100"/>
              <w:left w:type="dxa" w:w="120"/>
              <w:bottom w:type="dxa" w:w="100"/>
              <w:right w:type="dxa" w:w="120"/>
            </w:tcMar>
            <w:vAlign w:val="center"/>
          </w:tcPr>
          <w:p>
            <w:r>
              <w:rPr>
                <w:b/>
                <w:bCs/>
                <w:color w:val="FFFFFF"/>
                <w:sz w:val="19"/>
                <w:szCs w:val="19"/>
              </w:rPr>
              <w:t xml:space="preserve">Verdict</w:t>
            </w:r>
          </w:p>
        </w:tc>
        <w:tc>
          <w:tcPr>
            <w:tcW w:type="dxa" w:w="5250"/>
            <w:shd w:fill="0F2531" w:val="clear"/>
            <w:tcMar>
              <w:top w:type="dxa" w:w="100"/>
              <w:left w:type="dxa" w:w="120"/>
              <w:bottom w:type="dxa" w:w="100"/>
              <w:right w:type="dxa" w:w="120"/>
            </w:tcMar>
            <w:vAlign w:val="center"/>
          </w:tcPr>
          <w:p>
            <w:r>
              <w:rPr>
                <w:b/>
                <w:bCs/>
                <w:color w:val="FFFFFF"/>
                <w:sz w:val="19"/>
                <w:szCs w:val="19"/>
              </w:rPr>
              <w:t xml:space="preserve">Detail</w:t>
            </w:r>
          </w:p>
        </w:tc>
      </w:tr>
      <w:tr>
        <w:tc>
          <w:tcPr>
            <w:tcW w:type="dxa" w:w="2600"/>
            <w:shd w:fill="FFFFFF" w:val="clear"/>
            <w:tcMar>
              <w:top w:type="dxa" w:w="90"/>
              <w:left w:type="dxa" w:w="120"/>
              <w:bottom w:type="dxa" w:w="90"/>
              <w:right w:type="dxa" w:w="120"/>
            </w:tcMar>
          </w:tcPr>
          <w:p>
            <w:r>
              <w:rPr>
                <w:b/>
                <w:bCs/>
                <w:sz w:val="19"/>
                <w:szCs w:val="19"/>
              </w:rPr>
              <w:t xml:space="preserve">Delivery Experience</w:t>
            </w:r>
          </w:p>
        </w:tc>
        <w:tc>
          <w:tcPr>
            <w:tcW w:type="dxa" w:w="1500"/>
            <w:shd w:fill="FFFFFF" w:val="clear"/>
            <w:tcMar>
              <w:top w:type="dxa" w:w="90"/>
              <w:left w:type="dxa" w:w="120"/>
              <w:bottom w:type="dxa" w:w="90"/>
              <w:right w:type="dxa" w:w="120"/>
            </w:tcMar>
          </w:tcPr>
          <w:p>
            <w:r>
              <w:rPr>
                <w:b/>
                <w:bCs/>
                <w:color w:val="C2543F"/>
                <w:sz w:val="19"/>
                <w:szCs w:val="19"/>
              </w:rPr>
              <w:t xml:space="preserve">Ruled Out</w:t>
            </w:r>
          </w:p>
        </w:tc>
        <w:tc>
          <w:tcPr>
            <w:tcW w:type="dxa" w:w="5250"/>
            <w:shd w:fill="FFFFFF" w:val="clear"/>
            <w:tcMar>
              <w:top w:type="dxa" w:w="90"/>
              <w:left w:type="dxa" w:w="120"/>
              <w:bottom w:type="dxa" w:w="90"/>
              <w:right w:type="dxa" w:w="120"/>
            </w:tcMar>
          </w:tcPr>
          <w:p>
            <w:r>
              <w:rPr>
                <w:sz w:val="19"/>
                <w:szCs w:val="19"/>
              </w:rPr>
              <w:t xml:space="preserve">No difference in review score or delivery speed between groups</w:t>
            </w:r>
          </w:p>
        </w:tc>
      </w:tr>
      <w:tr>
        <w:tc>
          <w:tcPr>
            <w:tcW w:type="dxa" w:w="2600"/>
            <w:shd w:fill="F4F6F5" w:val="clear"/>
            <w:tcMar>
              <w:top w:type="dxa" w:w="90"/>
              <w:left w:type="dxa" w:w="120"/>
              <w:bottom w:type="dxa" w:w="90"/>
              <w:right w:type="dxa" w:w="120"/>
            </w:tcMar>
          </w:tcPr>
          <w:p>
            <w:r>
              <w:rPr>
                <w:b/>
                <w:bCs/>
                <w:sz w:val="19"/>
                <w:szCs w:val="19"/>
              </w:rPr>
              <w:t xml:space="preserve">Product Category</w:t>
            </w:r>
          </w:p>
        </w:tc>
        <w:tc>
          <w:tcPr>
            <w:tcW w:type="dxa" w:w="1500"/>
            <w:shd w:fill="F4F6F5" w:val="clear"/>
            <w:tcMar>
              <w:top w:type="dxa" w:w="90"/>
              <w:left w:type="dxa" w:w="120"/>
              <w:bottom w:type="dxa" w:w="90"/>
              <w:right w:type="dxa" w:w="120"/>
            </w:tcMar>
          </w:tcPr>
          <w:p>
            <w:r>
              <w:rPr>
                <w:b/>
                <w:bCs/>
                <w:color w:val="C2543F"/>
                <w:sz w:val="19"/>
                <w:szCs w:val="19"/>
              </w:rPr>
              <w:t xml:space="preserve">Ruled Out</w:t>
            </w:r>
          </w:p>
        </w:tc>
        <w:tc>
          <w:tcPr>
            <w:tcW w:type="dxa" w:w="5250"/>
            <w:shd w:fill="F4F6F5" w:val="clear"/>
            <w:tcMar>
              <w:top w:type="dxa" w:w="90"/>
              <w:left w:type="dxa" w:w="120"/>
              <w:bottom w:type="dxa" w:w="90"/>
              <w:right w:type="dxa" w:w="120"/>
            </w:tcMar>
          </w:tcPr>
          <w:p>
            <w:r>
              <w:rPr>
                <w:sz w:val="19"/>
                <w:szCs w:val="19"/>
              </w:rPr>
              <w:t xml:space="preserve">Repeat rate compressed 2.0–9.1% across all categories, no pattern</w:t>
            </w:r>
          </w:p>
        </w:tc>
      </w:tr>
      <w:tr>
        <w:tc>
          <w:tcPr>
            <w:tcW w:type="dxa" w:w="2600"/>
            <w:shd w:fill="FFFFFF" w:val="clear"/>
            <w:tcMar>
              <w:top w:type="dxa" w:w="90"/>
              <w:left w:type="dxa" w:w="120"/>
              <w:bottom w:type="dxa" w:w="90"/>
              <w:right w:type="dxa" w:w="120"/>
            </w:tcMar>
          </w:tcPr>
          <w:p>
            <w:r>
              <w:rPr>
                <w:b/>
                <w:bCs/>
                <w:sz w:val="19"/>
                <w:szCs w:val="19"/>
              </w:rPr>
              <w:t xml:space="preserve">Payment Behavior</w:t>
            </w:r>
          </w:p>
        </w:tc>
        <w:tc>
          <w:tcPr>
            <w:tcW w:type="dxa" w:w="1500"/>
            <w:shd w:fill="FFFFFF" w:val="clear"/>
            <w:tcMar>
              <w:top w:type="dxa" w:w="90"/>
              <w:left w:type="dxa" w:w="120"/>
              <w:bottom w:type="dxa" w:w="90"/>
              <w:right w:type="dxa" w:w="120"/>
            </w:tcMar>
          </w:tcPr>
          <w:p>
            <w:r>
              <w:rPr>
                <w:b/>
                <w:bCs/>
                <w:color w:val="C97B33"/>
                <w:sz w:val="19"/>
                <w:szCs w:val="19"/>
              </w:rPr>
              <w:t xml:space="preserve">Weak Effect</w:t>
            </w:r>
          </w:p>
        </w:tc>
        <w:tc>
          <w:tcPr>
            <w:tcW w:type="dxa" w:w="5250"/>
            <w:shd w:fill="FFFFFF" w:val="clear"/>
            <w:tcMar>
              <w:top w:type="dxa" w:w="90"/>
              <w:left w:type="dxa" w:w="120"/>
              <w:bottom w:type="dxa" w:w="90"/>
              <w:right w:type="dxa" w:w="120"/>
            </w:tcMar>
          </w:tcPr>
          <w:p>
            <w:r>
              <w:rPr>
                <w:sz w:val="19"/>
                <w:szCs w:val="19"/>
              </w:rPr>
              <w:t xml:space="preserve">Repeat customers spend less per order, use more installments</w:t>
            </w:r>
          </w:p>
        </w:tc>
      </w:tr>
      <w:tr>
        <w:tc>
          <w:tcPr>
            <w:tcW w:type="dxa" w:w="2600"/>
            <w:shd w:fill="F4F6F5" w:val="clear"/>
            <w:tcMar>
              <w:top w:type="dxa" w:w="90"/>
              <w:left w:type="dxa" w:w="120"/>
              <w:bottom w:type="dxa" w:w="90"/>
              <w:right w:type="dxa" w:w="120"/>
            </w:tcMar>
          </w:tcPr>
          <w:p>
            <w:r>
              <w:rPr>
                <w:b/>
                <w:bCs/>
                <w:sz w:val="19"/>
                <w:szCs w:val="19"/>
              </w:rPr>
              <w:t xml:space="preserve">Geography</w:t>
            </w:r>
          </w:p>
        </w:tc>
        <w:tc>
          <w:tcPr>
            <w:tcW w:type="dxa" w:w="1500"/>
            <w:shd w:fill="F4F6F5" w:val="clear"/>
            <w:tcMar>
              <w:top w:type="dxa" w:w="90"/>
              <w:left w:type="dxa" w:w="120"/>
              <w:bottom w:type="dxa" w:w="90"/>
              <w:right w:type="dxa" w:w="120"/>
            </w:tcMar>
          </w:tcPr>
          <w:p>
            <w:r>
              <w:rPr>
                <w:b/>
                <w:bCs/>
                <w:color w:val="C97B33"/>
                <w:sz w:val="19"/>
                <w:szCs w:val="19"/>
              </w:rPr>
              <w:t xml:space="preserve">Weak Effect</w:t>
            </w:r>
          </w:p>
        </w:tc>
        <w:tc>
          <w:tcPr>
            <w:tcW w:type="dxa" w:w="5250"/>
            <w:shd w:fill="F4F6F5" w:val="clear"/>
            <w:tcMar>
              <w:top w:type="dxa" w:w="90"/>
              <w:left w:type="dxa" w:w="120"/>
              <w:bottom w:type="dxa" w:w="90"/>
              <w:right w:type="dxa" w:w="120"/>
            </w:tcMar>
          </w:tcPr>
          <w:p>
            <w:r>
              <w:rPr>
                <w:sz w:val="19"/>
                <w:szCs w:val="19"/>
              </w:rPr>
              <w:t xml:space="preserve">2× spread across states, but capped under 5% everywhere</w:t>
            </w:r>
          </w:p>
        </w:tc>
      </w:tr>
    </w:tbl>
    <w:p>
      <w:pPr>
        <w:spacing w:before="240"/>
      </w:pPr>
    </w:p>
    <w:p>
      <w:pPr>
        <w:pStyle w:val="Heading2"/>
        <w:spacing w:after="120" w:before="280"/>
      </w:pPr>
      <w:r>
        <w:rPr>
          <w:rFonts w:ascii="Calibri" w:cs="Calibri" w:eastAsia="Calibri" w:hAnsi="Calibri"/>
          <w:b/>
          <w:bCs/>
          <w:color w:val="2C6E7F"/>
          <w:sz w:val="23"/>
          <w:szCs w:val="23"/>
        </w:rPr>
        <w:t xml:space="preserve">6.3 Conclusion</w:t>
      </w:r>
    </w:p>
    <w:p>
      <w:pPr>
        <w:spacing w:after="140" w:line="276"/>
      </w:pPr>
      <w:r>
        <w:rPr>
          <w:sz w:val="21"/>
          <w:szCs w:val="21"/>
        </w:rPr>
        <w:t xml:space="preserve">No single factor explains the 97% one-time-purchase rate. This is best interpreted as a structural, platform-wide characteristic of the marketplace business model — not a fixable operational failure isolated to one segment, category, or region. This conclusion reframes the business question addressed in Section 7: rather than asking “which broken thing should we fix,” the more productive question becomes “can available data at least predict who is more likely to return, well enough to prioritize retention investment effectively?”</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7. Predictive Modeling</w:t>
      </w:r>
    </w:p>
    <w:p>
      <w:pPr>
        <w:pStyle w:val="Heading2"/>
        <w:spacing w:after="120" w:before="280"/>
      </w:pPr>
      <w:r>
        <w:rPr>
          <w:rFonts w:ascii="Calibri" w:cs="Calibri" w:eastAsia="Calibri" w:hAnsi="Calibri"/>
          <w:b/>
          <w:bCs/>
          <w:color w:val="2C6E7F"/>
          <w:sz w:val="23"/>
          <w:szCs w:val="23"/>
        </w:rPr>
        <w:t xml:space="preserve">7.1 Feature Set</w:t>
      </w:r>
    </w:p>
    <w:p>
      <w:pPr>
        <w:spacing w:after="140" w:line="276"/>
      </w:pPr>
      <w:r>
        <w:rPr>
          <w:sz w:val="21"/>
          <w:szCs w:val="21"/>
        </w:rPr>
        <w:t xml:space="preserve">A combined feature set was built per customer (first order only, same eligibility window as Section 6): product category, customer state, payment installments and value, payment type, review score, delivery timing (both absolute days and days early/late versus estimate), and day-of-week of purchase. Recency was deliberately excluded from the feature set, since it directly defines the target variable — including it would constitute label leakage.</w:t>
      </w:r>
    </w:p>
    <w:p>
      <w:pPr>
        <w:spacing w:after="140" w:line="276"/>
      </w:pPr>
      <w:r>
        <w:rPr>
          <w:sz w:val="21"/>
          <w:szCs w:val="21"/>
        </w:rPr>
        <w:t xml:space="preserve">The resulting dataset (57,147 customers, 106 features after one-hot encoding of categorical variables) has a severely imbalanced target: only 4.4% of customers are repeat purchasers. This required class-weighted modeling and evaluation on ROC-AUC and recall rather than raw accuracy — a model that simply predicted “one-time” for every customer would achieve 95.6% accuracy while providing zero business value.</w:t>
      </w:r>
    </w:p>
    <w:p>
      <w:pPr>
        <w:pStyle w:val="Heading2"/>
        <w:spacing w:after="120" w:before="280"/>
      </w:pPr>
      <w:r>
        <w:rPr>
          <w:rFonts w:ascii="Calibri" w:cs="Calibri" w:eastAsia="Calibri" w:hAnsi="Calibri"/>
          <w:b/>
          <w:bCs/>
          <w:color w:val="2C6E7F"/>
          <w:sz w:val="23"/>
          <w:szCs w:val="23"/>
        </w:rPr>
        <w:t xml:space="preserve">7.2 Model Comparison</w:t>
      </w:r>
    </w:p>
    <w:p>
      <w:pPr>
        <w:spacing w:after="140" w:line="276"/>
      </w:pPr>
      <w:r>
        <w:rPr>
          <w:sz w:val="21"/>
          <w:szCs w:val="21"/>
        </w:rPr>
        <w:t xml:space="preserve">Four models were compared using five-fold stratified cross-validated ROC-AUC (stratification preserves the 4.4% positive-class ratio across folds, essential given the imbalance):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0F2531" w:val="clear"/>
            <w:tcMar>
              <w:top w:type="dxa" w:w="100"/>
              <w:left w:type="dxa" w:w="120"/>
              <w:bottom w:type="dxa" w:w="100"/>
              <w:right w:type="dxa" w:w="120"/>
            </w:tcMar>
            <w:vAlign w:val="center"/>
          </w:tcPr>
          <w:p>
            <w:r>
              <w:rPr>
                <w:b/>
                <w:bCs/>
                <w:color w:val="FFFFFF"/>
                <w:sz w:val="19"/>
                <w:szCs w:val="19"/>
              </w:rPr>
              <w:t xml:space="preserve">Model</w:t>
            </w:r>
          </w:p>
        </w:tc>
        <w:tc>
          <w:tcPr>
            <w:tcW w:type="dxa" w:w="3200"/>
            <w:shd w:fill="0F2531" w:val="clear"/>
            <w:tcMar>
              <w:top w:type="dxa" w:w="100"/>
              <w:left w:type="dxa" w:w="120"/>
              <w:bottom w:type="dxa" w:w="100"/>
              <w:right w:type="dxa" w:w="120"/>
            </w:tcMar>
            <w:vAlign w:val="center"/>
          </w:tcPr>
          <w:p>
            <w:r>
              <w:rPr>
                <w:b/>
                <w:bCs/>
                <w:color w:val="FFFFFF"/>
                <w:sz w:val="19"/>
                <w:szCs w:val="19"/>
              </w:rPr>
              <w:t xml:space="preserve">ROC-AUC (5-fold CV)</w:t>
            </w:r>
          </w:p>
        </w:tc>
        <w:tc>
          <w:tcPr>
            <w:tcW w:type="dxa" w:w="2950"/>
            <w:shd w:fill="0F2531" w:val="clear"/>
            <w:tcMar>
              <w:top w:type="dxa" w:w="100"/>
              <w:left w:type="dxa" w:w="120"/>
              <w:bottom w:type="dxa" w:w="100"/>
              <w:right w:type="dxa" w:w="120"/>
            </w:tcMar>
            <w:vAlign w:val="center"/>
          </w:tcPr>
          <w:p>
            <w:r>
              <w:rPr>
                <w:b/>
                <w:bCs/>
                <w:color w:val="FFFFFF"/>
                <w:sz w:val="19"/>
                <w:szCs w:val="19"/>
              </w:rPr>
              <w:t xml:space="preserve">Interpretation</w:t>
            </w:r>
          </w:p>
        </w:tc>
      </w:tr>
      <w:tr>
        <w:tc>
          <w:tcPr>
            <w:tcW w:type="dxa" w:w="3200"/>
            <w:shd w:fill="FFFFFF" w:val="clear"/>
            <w:tcMar>
              <w:top w:type="dxa" w:w="90"/>
              <w:left w:type="dxa" w:w="120"/>
              <w:bottom w:type="dxa" w:w="90"/>
              <w:right w:type="dxa" w:w="120"/>
            </w:tcMar>
          </w:tcPr>
          <w:p>
            <w:r>
              <w:rPr>
                <w:sz w:val="19"/>
                <w:szCs w:val="19"/>
              </w:rPr>
              <w:t xml:space="preserve">Dummy Baseline</w:t>
            </w:r>
          </w:p>
        </w:tc>
        <w:tc>
          <w:tcPr>
            <w:tcW w:type="dxa" w:w="3200"/>
            <w:shd w:fill="FFFFFF" w:val="clear"/>
            <w:tcMar>
              <w:top w:type="dxa" w:w="90"/>
              <w:left w:type="dxa" w:w="120"/>
              <w:bottom w:type="dxa" w:w="90"/>
              <w:right w:type="dxa" w:w="120"/>
            </w:tcMar>
          </w:tcPr>
          <w:p>
            <w:r>
              <w:rPr>
                <w:sz w:val="19"/>
                <w:szCs w:val="19"/>
              </w:rPr>
              <w:t xml:space="preserve">0.498</w:t>
            </w:r>
          </w:p>
        </w:tc>
        <w:tc>
          <w:tcPr>
            <w:tcW w:type="dxa" w:w="2950"/>
            <w:shd w:fill="FFFFFF" w:val="clear"/>
            <w:tcMar>
              <w:top w:type="dxa" w:w="90"/>
              <w:left w:type="dxa" w:w="120"/>
              <w:bottom w:type="dxa" w:w="90"/>
              <w:right w:type="dxa" w:w="120"/>
            </w:tcMar>
          </w:tcPr>
          <w:p>
            <w:r>
              <w:rPr>
                <w:sz w:val="19"/>
                <w:szCs w:val="19"/>
              </w:rPr>
              <w:t xml:space="preserve">Random guessing — sanity-check floor</w:t>
            </w:r>
          </w:p>
        </w:tc>
      </w:tr>
      <w:tr>
        <w:tc>
          <w:tcPr>
            <w:tcW w:type="dxa" w:w="3200"/>
            <w:shd w:fill="F4F6F5" w:val="clear"/>
            <w:tcMar>
              <w:top w:type="dxa" w:w="90"/>
              <w:left w:type="dxa" w:w="120"/>
              <w:bottom w:type="dxa" w:w="90"/>
              <w:right w:type="dxa" w:w="120"/>
            </w:tcMar>
          </w:tcPr>
          <w:p>
            <w:r>
              <w:rPr>
                <w:sz w:val="19"/>
                <w:szCs w:val="19"/>
              </w:rPr>
              <w:t xml:space="preserve">Logistic Regression</w:t>
            </w:r>
          </w:p>
        </w:tc>
        <w:tc>
          <w:tcPr>
            <w:tcW w:type="dxa" w:w="3200"/>
            <w:shd w:fill="F4F6F5" w:val="clear"/>
            <w:tcMar>
              <w:top w:type="dxa" w:w="90"/>
              <w:left w:type="dxa" w:w="120"/>
              <w:bottom w:type="dxa" w:w="90"/>
              <w:right w:type="dxa" w:w="120"/>
            </w:tcMar>
          </w:tcPr>
          <w:p>
            <w:r>
              <w:rPr>
                <w:sz w:val="19"/>
                <w:szCs w:val="19"/>
              </w:rPr>
              <w:t xml:space="preserve">0.614</w:t>
            </w:r>
          </w:p>
        </w:tc>
        <w:tc>
          <w:tcPr>
            <w:tcW w:type="dxa" w:w="2950"/>
            <w:shd w:fill="F4F6F5" w:val="clear"/>
            <w:tcMar>
              <w:top w:type="dxa" w:w="90"/>
              <w:left w:type="dxa" w:w="120"/>
              <w:bottom w:type="dxa" w:w="90"/>
              <w:right w:type="dxa" w:w="120"/>
            </w:tcMar>
          </w:tcPr>
          <w:p>
            <w:r>
              <w:rPr>
                <w:sz w:val="19"/>
                <w:szCs w:val="19"/>
              </w:rPr>
              <w:t xml:space="preserve">Simple linear model, meaningful lift over random</w:t>
            </w:r>
          </w:p>
        </w:tc>
      </w:tr>
      <w:tr>
        <w:tc>
          <w:tcPr>
            <w:tcW w:type="dxa" w:w="3200"/>
            <w:shd w:fill="FFFFFF" w:val="clear"/>
            <w:tcMar>
              <w:top w:type="dxa" w:w="90"/>
              <w:left w:type="dxa" w:w="120"/>
              <w:bottom w:type="dxa" w:w="90"/>
              <w:right w:type="dxa" w:w="120"/>
            </w:tcMar>
          </w:tcPr>
          <w:p>
            <w:r>
              <w:rPr>
                <w:sz w:val="19"/>
                <w:szCs w:val="19"/>
              </w:rPr>
              <w:t xml:space="preserve">Random Forest</w:t>
            </w:r>
          </w:p>
        </w:tc>
        <w:tc>
          <w:tcPr>
            <w:tcW w:type="dxa" w:w="3200"/>
            <w:shd w:fill="FFFFFF" w:val="clear"/>
            <w:tcMar>
              <w:top w:type="dxa" w:w="90"/>
              <w:left w:type="dxa" w:w="120"/>
              <w:bottom w:type="dxa" w:w="90"/>
              <w:right w:type="dxa" w:w="120"/>
            </w:tcMar>
          </w:tcPr>
          <w:p>
            <w:r>
              <w:rPr>
                <w:sz w:val="19"/>
                <w:szCs w:val="19"/>
              </w:rPr>
              <w:t xml:space="preserve">0.621</w:t>
            </w:r>
          </w:p>
        </w:tc>
        <w:tc>
          <w:tcPr>
            <w:tcW w:type="dxa" w:w="2950"/>
            <w:shd w:fill="FFFFFF" w:val="clear"/>
            <w:tcMar>
              <w:top w:type="dxa" w:w="90"/>
              <w:left w:type="dxa" w:w="120"/>
              <w:bottom w:type="dxa" w:w="90"/>
              <w:right w:type="dxa" w:w="120"/>
            </w:tcMar>
          </w:tcPr>
          <w:p>
            <w:r>
              <w:rPr>
                <w:sz w:val="19"/>
                <w:szCs w:val="19"/>
              </w:rPr>
              <w:t xml:space="preserve">Marginal improvement over logistic regression</w:t>
            </w:r>
          </w:p>
        </w:tc>
      </w:tr>
      <w:tr>
        <w:tc>
          <w:tcPr>
            <w:tcW w:type="dxa" w:w="3200"/>
            <w:shd w:fill="F4F6F5" w:val="clear"/>
            <w:tcMar>
              <w:top w:type="dxa" w:w="90"/>
              <w:left w:type="dxa" w:w="120"/>
              <w:bottom w:type="dxa" w:w="90"/>
              <w:right w:type="dxa" w:w="120"/>
            </w:tcMar>
          </w:tcPr>
          <w:p>
            <w:r>
              <w:rPr>
                <w:sz w:val="19"/>
                <w:szCs w:val="19"/>
              </w:rPr>
              <w:t xml:space="preserve">Gradient Boosting</w:t>
            </w:r>
          </w:p>
        </w:tc>
        <w:tc>
          <w:tcPr>
            <w:tcW w:type="dxa" w:w="3200"/>
            <w:shd w:fill="F4F6F5" w:val="clear"/>
            <w:tcMar>
              <w:top w:type="dxa" w:w="90"/>
              <w:left w:type="dxa" w:w="120"/>
              <w:bottom w:type="dxa" w:w="90"/>
              <w:right w:type="dxa" w:w="120"/>
            </w:tcMar>
          </w:tcPr>
          <w:p>
            <w:r>
              <w:rPr>
                <w:sz w:val="19"/>
                <w:szCs w:val="19"/>
              </w:rPr>
              <w:t xml:space="preserve">0.634</w:t>
            </w:r>
          </w:p>
        </w:tc>
        <w:tc>
          <w:tcPr>
            <w:tcW w:type="dxa" w:w="2950"/>
            <w:shd w:fill="F4F6F5" w:val="clear"/>
            <w:tcMar>
              <w:top w:type="dxa" w:w="90"/>
              <w:left w:type="dxa" w:w="120"/>
              <w:bottom w:type="dxa" w:w="90"/>
              <w:right w:type="dxa" w:w="120"/>
            </w:tcMar>
          </w:tcPr>
          <w:p>
            <w:r>
              <w:rPr>
                <w:sz w:val="19"/>
                <w:szCs w:val="19"/>
              </w:rPr>
              <w:t xml:space="preserve">Best-performing model</w:t>
            </w:r>
          </w:p>
        </w:tc>
      </w:tr>
    </w:tbl>
    <w:p>
      <w:pPr>
        <w:spacing w:before="200"/>
      </w:pPr>
    </w:p>
    <w:p>
      <w:pPr>
        <w:spacing w:after="140" w:line="276"/>
      </w:pPr>
      <w:r>
        <w:rPr>
          <w:sz w:val="21"/>
          <w:szCs w:val="21"/>
        </w:rPr>
        <w:t xml:space="preserve">All three real models clearly outperform random guessing, confirming genuine — if modest — predictive signal exists when features are combined, consistent with Section 6's finding that no single factor is individually decisive. Hyperparameter tuning (grid search) and an XGBoost implementation were also tested as extensions; neither meaningfully improved on the Gradient Boosting baseline, indicating this represents a practical performance ceiling given the available features rather than an undertuned model.</w:t>
      </w:r>
    </w:p>
    <w:p>
      <w:pPr>
        <w:pStyle w:val="Heading2"/>
        <w:spacing w:after="120" w:before="280"/>
      </w:pPr>
      <w:r>
        <w:rPr>
          <w:rFonts w:ascii="Calibri" w:cs="Calibri" w:eastAsia="Calibri" w:hAnsi="Calibri"/>
          <w:b/>
          <w:bCs/>
          <w:color w:val="2C6E7F"/>
          <w:sz w:val="23"/>
          <w:szCs w:val="23"/>
        </w:rPr>
        <w:t xml:space="preserve">7.3 Final Model Performance &amp; Feature Importance</w:t>
      </w:r>
    </w:p>
    <w:p>
      <w:pPr>
        <w:spacing w:after="140" w:line="276"/>
      </w:pPr>
      <w:r>
        <w:rPr>
          <w:sz w:val="21"/>
          <w:szCs w:val="21"/>
        </w:rPr>
        <w:t xml:space="preserve">The final Gradient Boosting model, evaluated on a held-out 25% test set, confirmed the cross-validated result (ROC-AUC 0.624 on this specific split). At the model's default 0.5 probability threshold, recall on the minority (repeat-customer) class was very low — an expected consequence of GradientBoostingClassifier lacking a class-weighting parameter, unlike Random Forest. This does not undermine the model's ranking ability, which is evaluated directly in Section 7.4.</w:t>
      </w:r>
    </w:p>
    <w:p>
      <w:pPr>
        <w:spacing w:after="140" w:line="276"/>
      </w:pPr>
      <w:r>
        <w:rPr>
          <w:sz w:val="21"/>
          <w:szCs w:val="21"/>
        </w:rPr>
        <w:t xml:space="preserve">Feature importances from the final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400"/>
        <w:gridCol w:w="3950"/>
      </w:tblGrid>
      <w:tr>
        <w:trPr>
          <w:tblHeader/>
        </w:trPr>
        <w:tc>
          <w:tcPr>
            <w:tcW w:type="dxa" w:w="5400"/>
            <w:shd w:fill="0F2531" w:val="clear"/>
            <w:tcMar>
              <w:top w:type="dxa" w:w="100"/>
              <w:left w:type="dxa" w:w="120"/>
              <w:bottom w:type="dxa" w:w="100"/>
              <w:right w:type="dxa" w:w="120"/>
            </w:tcMar>
            <w:vAlign w:val="center"/>
          </w:tcPr>
          <w:p>
            <w:r>
              <w:rPr>
                <w:b/>
                <w:bCs/>
                <w:color w:val="FFFFFF"/>
                <w:sz w:val="19"/>
                <w:szCs w:val="19"/>
              </w:rPr>
              <w:t xml:space="preserve">Feature</w:t>
            </w:r>
          </w:p>
        </w:tc>
        <w:tc>
          <w:tcPr>
            <w:tcW w:type="dxa" w:w="3950"/>
            <w:shd w:fill="0F2531" w:val="clear"/>
            <w:tcMar>
              <w:top w:type="dxa" w:w="100"/>
              <w:left w:type="dxa" w:w="120"/>
              <w:bottom w:type="dxa" w:w="100"/>
              <w:right w:type="dxa" w:w="120"/>
            </w:tcMar>
            <w:vAlign w:val="center"/>
          </w:tcPr>
          <w:p>
            <w:r>
              <w:rPr>
                <w:b/>
                <w:bCs/>
                <w:color w:val="FFFFFF"/>
                <w:sz w:val="19"/>
                <w:szCs w:val="19"/>
              </w:rPr>
              <w:t xml:space="preserve">Importance</w:t>
            </w:r>
          </w:p>
        </w:tc>
      </w:tr>
      <w:tr>
        <w:tc>
          <w:tcPr>
            <w:tcW w:type="dxa" w:w="5400"/>
            <w:shd w:fill="FFFFFF" w:val="clear"/>
            <w:tcMar>
              <w:top w:type="dxa" w:w="90"/>
              <w:left w:type="dxa" w:w="120"/>
              <w:bottom w:type="dxa" w:w="90"/>
              <w:right w:type="dxa" w:w="120"/>
            </w:tcMar>
          </w:tcPr>
          <w:p>
            <w:r>
              <w:rPr>
                <w:sz w:val="19"/>
                <w:szCs w:val="19"/>
              </w:rPr>
              <w:t xml:space="preserve">payment_value</w:t>
            </w:r>
          </w:p>
        </w:tc>
        <w:tc>
          <w:tcPr>
            <w:tcW w:type="dxa" w:w="3950"/>
            <w:shd w:fill="FFFFFF" w:val="clear"/>
            <w:tcMar>
              <w:top w:type="dxa" w:w="90"/>
              <w:left w:type="dxa" w:w="120"/>
              <w:bottom w:type="dxa" w:w="90"/>
              <w:right w:type="dxa" w:w="120"/>
            </w:tcMar>
          </w:tcPr>
          <w:p>
            <w:r>
              <w:rPr>
                <w:sz w:val="19"/>
                <w:szCs w:val="19"/>
              </w:rPr>
              <w:t xml:space="preserve">32%</w:t>
            </w:r>
          </w:p>
        </w:tc>
      </w:tr>
      <w:tr>
        <w:tc>
          <w:tcPr>
            <w:tcW w:type="dxa" w:w="5400"/>
            <w:shd w:fill="F4F6F5" w:val="clear"/>
            <w:tcMar>
              <w:top w:type="dxa" w:w="90"/>
              <w:left w:type="dxa" w:w="120"/>
              <w:bottom w:type="dxa" w:w="90"/>
              <w:right w:type="dxa" w:w="120"/>
            </w:tcMar>
          </w:tcPr>
          <w:p>
            <w:r>
              <w:rPr>
                <w:sz w:val="19"/>
                <w:szCs w:val="19"/>
              </w:rPr>
              <w:t xml:space="preserve">days_early_or_late</w:t>
            </w:r>
          </w:p>
        </w:tc>
        <w:tc>
          <w:tcPr>
            <w:tcW w:type="dxa" w:w="3950"/>
            <w:shd w:fill="F4F6F5" w:val="clear"/>
            <w:tcMar>
              <w:top w:type="dxa" w:w="90"/>
              <w:left w:type="dxa" w:w="120"/>
              <w:bottom w:type="dxa" w:w="90"/>
              <w:right w:type="dxa" w:w="120"/>
            </w:tcMar>
          </w:tcPr>
          <w:p>
            <w:r>
              <w:rPr>
                <w:sz w:val="19"/>
                <w:szCs w:val="19"/>
              </w:rPr>
              <w:t xml:space="preserve">15%</w:t>
            </w:r>
          </w:p>
        </w:tc>
      </w:tr>
      <w:tr>
        <w:tc>
          <w:tcPr>
            <w:tcW w:type="dxa" w:w="5400"/>
            <w:shd w:fill="FFFFFF" w:val="clear"/>
            <w:tcMar>
              <w:top w:type="dxa" w:w="90"/>
              <w:left w:type="dxa" w:w="120"/>
              <w:bottom w:type="dxa" w:w="90"/>
              <w:right w:type="dxa" w:w="120"/>
            </w:tcMar>
          </w:tcPr>
          <w:p>
            <w:r>
              <w:rPr>
                <w:sz w:val="19"/>
                <w:szCs w:val="19"/>
              </w:rPr>
              <w:t xml:space="preserve">delivery_days</w:t>
            </w:r>
          </w:p>
        </w:tc>
        <w:tc>
          <w:tcPr>
            <w:tcW w:type="dxa" w:w="3950"/>
            <w:shd w:fill="FFFFFF" w:val="clear"/>
            <w:tcMar>
              <w:top w:type="dxa" w:w="90"/>
              <w:left w:type="dxa" w:w="120"/>
              <w:bottom w:type="dxa" w:w="90"/>
              <w:right w:type="dxa" w:w="120"/>
            </w:tcMar>
          </w:tcPr>
          <w:p>
            <w:r>
              <w:rPr>
                <w:sz w:val="19"/>
                <w:szCs w:val="19"/>
              </w:rPr>
              <w:t xml:space="preserve">7%</w:t>
            </w:r>
          </w:p>
        </w:tc>
      </w:tr>
      <w:tr>
        <w:tc>
          <w:tcPr>
            <w:tcW w:type="dxa" w:w="5400"/>
            <w:shd w:fill="F4F6F5" w:val="clear"/>
            <w:tcMar>
              <w:top w:type="dxa" w:w="90"/>
              <w:left w:type="dxa" w:w="120"/>
              <w:bottom w:type="dxa" w:w="90"/>
              <w:right w:type="dxa" w:w="120"/>
            </w:tcMar>
          </w:tcPr>
          <w:p>
            <w:r>
              <w:rPr>
                <w:sz w:val="19"/>
                <w:szCs w:val="19"/>
              </w:rPr>
              <w:t xml:space="preserve">payment_installments</w:t>
            </w:r>
          </w:p>
        </w:tc>
        <w:tc>
          <w:tcPr>
            <w:tcW w:type="dxa" w:w="3950"/>
            <w:shd w:fill="F4F6F5" w:val="clear"/>
            <w:tcMar>
              <w:top w:type="dxa" w:w="90"/>
              <w:left w:type="dxa" w:w="120"/>
              <w:bottom w:type="dxa" w:w="90"/>
              <w:right w:type="dxa" w:w="120"/>
            </w:tcMar>
          </w:tcPr>
          <w:p>
            <w:r>
              <w:rPr>
                <w:sz w:val="19"/>
                <w:szCs w:val="19"/>
              </w:rPr>
              <w:t xml:space="preserve">7%</w:t>
            </w:r>
          </w:p>
        </w:tc>
      </w:tr>
    </w:tbl>
    <w:p>
      <w:pPr>
        <w:spacing w:before="200"/>
      </w:pPr>
    </w:p>
    <w:p>
      <w:pPr>
        <w:spacing w:after="140" w:line="276"/>
      </w:pPr>
      <w:r>
        <w:rPr>
          <w:sz w:val="21"/>
          <w:szCs w:val="21"/>
        </w:rPr>
        <w:t xml:space="preserve">Payment behavior and delivery timing matter substantially more in combination than either showed in isolation during the Section 6 hypothesis tests. Notably, review_score did not rank among the top 15 features — reinforcing the Section 6.2 finding that customer satisfaction, on its own, does not meaningfully explain repeat-purchase behavior.</w:t>
      </w:r>
    </w:p>
    <w:p>
      <w:pPr>
        <w:pStyle w:val="Heading2"/>
        <w:spacing w:after="120" w:before="280"/>
      </w:pPr>
      <w:r>
        <w:rPr>
          <w:rFonts w:ascii="Calibri" w:cs="Calibri" w:eastAsia="Calibri" w:hAnsi="Calibri"/>
          <w:b/>
          <w:bCs/>
          <w:color w:val="2C6E7F"/>
          <w:sz w:val="23"/>
          <w:szCs w:val="23"/>
        </w:rPr>
        <w:t xml:space="preserve">7.4 Reframing: From Classifier to Targeting Tool</w:t>
      </w:r>
    </w:p>
    <w:tbl>
      <w:tblPr>
        <w:tblW w:type="dxa" w:w="9350"/>
        <w:tblBorders>
          <w:top w:val="single" w:color="8E4162" w:sz="4"/>
          <w:left w:val="single" w:color="8E4162" w:sz="24"/>
          <w:bottom w:val="single" w:color="8E4162" w:sz="4"/>
          <w:right w:val="single" w:color="8E4162" w:sz="4"/>
          <w:insideH w:val="single" w:color="auto" w:sz="4"/>
          <w:insideV w:val="single" w:color="auto" w:sz="4"/>
        </w:tblBorders>
      </w:tblPr>
      <w:tblGrid>
        <w:gridCol w:w="9350"/>
      </w:tblGrid>
      <w:tr>
        <w:tc>
          <w:tcPr>
            <w:tcW w:type="dxa" w:w="9350"/>
            <w:shd w:fill="F4F6F5" w:val="clear"/>
            <w:tcMar>
              <w:top w:type="dxa" w:w="160"/>
              <w:left w:type="dxa" w:w="220"/>
              <w:bottom w:type="dxa" w:w="160"/>
              <w:right w:type="dxa" w:w="220"/>
            </w:tcMar>
          </w:tcPr>
          <w:p>
            <w:pPr>
              <w:spacing w:after="40"/>
            </w:pPr>
            <w:r>
              <w:rPr>
                <w:b/>
                <w:bCs/>
                <w:color w:val="C97B33"/>
                <w:spacing w:val="10"/>
                <w:sz w:val="16"/>
                <w:szCs w:val="16"/>
              </w:rPr>
              <w:t xml:space="preserve">BUSINESS RESULT</w:t>
            </w:r>
          </w:p>
          <w:p>
            <w:pPr>
              <w:spacing w:after="60"/>
            </w:pPr>
            <w:r>
              <w:rPr>
                <w:b/>
                <w:bCs/>
                <w:color w:val="0F2531"/>
                <w:sz w:val="23"/>
                <w:szCs w:val="23"/>
              </w:rPr>
              <w:t xml:space="preserve">2.1× lift when used for targeting</w:t>
            </w:r>
          </w:p>
          <w:p>
            <w:r>
              <w:rPr>
                <w:color w:val="203040"/>
                <w:sz w:val="20"/>
                <w:szCs w:val="20"/>
              </w:rPr>
              <w:t xml:space="preserve">Customers in the top 10% by model-predicted probability have a 9.5% actual repeat-purchase rate, versus a 4.4% baseline across all customers — a 2.1× lift. The model is not reliable enough to predict any single customer's behavior with confidence, but is genuinely useful for prioritizing a limited retention or win-back campaign budget toward the customers most likely to respond.</w:t>
            </w:r>
          </w:p>
        </w:tc>
      </w:tr>
    </w:tbl>
    <w:p>
      <w:pPr>
        <w:spacing w:before="200"/>
      </w:pPr>
    </w:p>
    <w:p>
      <w:pPr>
        <w:spacing w:after="140" w:line="276"/>
      </w:pPr>
      <w:r>
        <w:rPr>
          <w:sz w:val="21"/>
          <w:szCs w:val="21"/>
        </w:rPr>
        <w:t xml:space="preserve">This reframing — from a technically “weak” classifier to an honestly-scoped, business-useful ranking tool — is the central conclusion of the modeling phase, and mirrors how predictive models are commonly deployed in real marketing and retention contexts: as a prioritization signal layered onto human decision-making, not a fully automated decision-maker.</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8. Customer Segmentation (RFM)</w:t>
      </w:r>
    </w:p>
    <w:p>
      <w:pPr>
        <w:spacing w:after="140" w:line="276"/>
      </w:pPr>
      <w:r>
        <w:rPr>
          <w:sz w:val="21"/>
          <w:szCs w:val="21"/>
        </w:rPr>
        <w:t xml:space="preserve">Standard RFM (Recency, Frequency, Monetary) segmentation typically scores all three dimensions into quintiles. Because at least 75% of customers have a Frequency of exactly 1 (Section 6), Frequency has no meaningful spread to score — standard quintile binning is not viable on this dimension. Segmentation was instead built on Recency and Monetary only, both of which have genuine distribution across the customer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50"/>
      </w:tblGrid>
      <w:tr>
        <w:trPr>
          <w:tblHeader/>
        </w:trPr>
        <w:tc>
          <w:tcPr>
            <w:tcW w:type="dxa" w:w="3300"/>
            <w:shd w:fill="0F2531" w:val="clear"/>
            <w:tcMar>
              <w:top w:type="dxa" w:w="100"/>
              <w:left w:type="dxa" w:w="120"/>
              <w:bottom w:type="dxa" w:w="100"/>
              <w:right w:type="dxa" w:w="120"/>
            </w:tcMar>
            <w:vAlign w:val="center"/>
          </w:tcPr>
          <w:p>
            <w:r>
              <w:rPr>
                <w:b/>
                <w:bCs/>
                <w:color w:val="FFFFFF"/>
                <w:sz w:val="19"/>
                <w:szCs w:val="19"/>
              </w:rPr>
              <w:t xml:space="preserve">Segment</w:t>
            </w:r>
          </w:p>
        </w:tc>
        <w:tc>
          <w:tcPr>
            <w:tcW w:type="dxa" w:w="2000"/>
            <w:shd w:fill="0F2531" w:val="clear"/>
            <w:tcMar>
              <w:top w:type="dxa" w:w="100"/>
              <w:left w:type="dxa" w:w="120"/>
              <w:bottom w:type="dxa" w:w="100"/>
              <w:right w:type="dxa" w:w="120"/>
            </w:tcMar>
            <w:vAlign w:val="center"/>
          </w:tcPr>
          <w:p>
            <w:r>
              <w:rPr>
                <w:b/>
                <w:bCs/>
                <w:color w:val="FFFFFF"/>
                <w:sz w:val="19"/>
                <w:szCs w:val="19"/>
              </w:rPr>
              <w:t xml:space="preserve">Customers</w:t>
            </w:r>
          </w:p>
        </w:tc>
        <w:tc>
          <w:tcPr>
            <w:tcW w:type="dxa" w:w="2000"/>
            <w:shd w:fill="0F2531" w:val="clear"/>
            <w:tcMar>
              <w:top w:type="dxa" w:w="100"/>
              <w:left w:type="dxa" w:w="120"/>
              <w:bottom w:type="dxa" w:w="100"/>
              <w:right w:type="dxa" w:w="120"/>
            </w:tcMar>
            <w:vAlign w:val="center"/>
          </w:tcPr>
          <w:p>
            <w:r>
              <w:rPr>
                <w:b/>
                <w:bCs/>
                <w:color w:val="FFFFFF"/>
                <w:sz w:val="19"/>
                <w:szCs w:val="19"/>
              </w:rPr>
              <w:t xml:space="preserve">Avg. Spend</w:t>
            </w:r>
          </w:p>
        </w:tc>
        <w:tc>
          <w:tcPr>
            <w:tcW w:type="dxa" w:w="2050"/>
            <w:shd w:fill="0F2531" w:val="clear"/>
            <w:tcMar>
              <w:top w:type="dxa" w:w="100"/>
              <w:left w:type="dxa" w:w="120"/>
              <w:bottom w:type="dxa" w:w="100"/>
              <w:right w:type="dxa" w:w="120"/>
            </w:tcMar>
            <w:vAlign w:val="center"/>
          </w:tcPr>
          <w:p>
            <w:r>
              <w:rPr>
                <w:b/>
                <w:bCs/>
                <w:color w:val="FFFFFF"/>
                <w:sz w:val="19"/>
                <w:szCs w:val="19"/>
              </w:rPr>
              <w:t xml:space="preserve">Total Value</w:t>
            </w:r>
          </w:p>
        </w:tc>
      </w:tr>
      <w:tr>
        <w:tc>
          <w:tcPr>
            <w:tcW w:type="dxa" w:w="3300"/>
            <w:shd w:fill="FFFFFF" w:val="clear"/>
            <w:tcMar>
              <w:top w:type="dxa" w:w="90"/>
              <w:left w:type="dxa" w:w="120"/>
              <w:bottom w:type="dxa" w:w="90"/>
              <w:right w:type="dxa" w:w="120"/>
            </w:tcMar>
          </w:tcPr>
          <w:p>
            <w:r>
              <w:rPr>
                <w:sz w:val="19"/>
                <w:szCs w:val="19"/>
              </w:rPr>
              <w:t xml:space="preserve">Champions</w:t>
            </w:r>
          </w:p>
        </w:tc>
        <w:tc>
          <w:tcPr>
            <w:tcW w:type="dxa" w:w="2000"/>
            <w:shd w:fill="FFFFFF" w:val="clear"/>
            <w:tcMar>
              <w:top w:type="dxa" w:w="90"/>
              <w:left w:type="dxa" w:w="120"/>
              <w:bottom w:type="dxa" w:w="90"/>
              <w:right w:type="dxa" w:w="120"/>
            </w:tcMar>
          </w:tcPr>
          <w:p>
            <w:r>
              <w:rPr>
                <w:sz w:val="19"/>
                <w:szCs w:val="19"/>
              </w:rPr>
              <w:t xml:space="preserve">15,404</w:t>
            </w:r>
          </w:p>
        </w:tc>
        <w:tc>
          <w:tcPr>
            <w:tcW w:type="dxa" w:w="2000"/>
            <w:shd w:fill="FFFFFF" w:val="clear"/>
            <w:tcMar>
              <w:top w:type="dxa" w:w="90"/>
              <w:left w:type="dxa" w:w="120"/>
              <w:bottom w:type="dxa" w:w="90"/>
              <w:right w:type="dxa" w:w="120"/>
            </w:tcMar>
          </w:tcPr>
          <w:p>
            <w:r>
              <w:rPr>
                <w:sz w:val="19"/>
                <w:szCs w:val="19"/>
              </w:rPr>
              <w:t xml:space="preserve">R$270.72</w:t>
            </w:r>
          </w:p>
        </w:tc>
        <w:tc>
          <w:tcPr>
            <w:tcW w:type="dxa" w:w="2050"/>
            <w:shd w:fill="FFFFFF" w:val="clear"/>
            <w:tcMar>
              <w:top w:type="dxa" w:w="90"/>
              <w:left w:type="dxa" w:w="120"/>
              <w:bottom w:type="dxa" w:w="90"/>
              <w:right w:type="dxa" w:w="120"/>
            </w:tcMar>
          </w:tcPr>
          <w:p>
            <w:r>
              <w:rPr>
                <w:sz w:val="19"/>
                <w:szCs w:val="19"/>
              </w:rPr>
              <w:t xml:space="preserve">R$4,170,128.14</w:t>
            </w:r>
          </w:p>
        </w:tc>
      </w:tr>
      <w:tr>
        <w:tc>
          <w:tcPr>
            <w:tcW w:type="dxa" w:w="3300"/>
            <w:shd w:fill="F4F6F5" w:val="clear"/>
            <w:tcMar>
              <w:top w:type="dxa" w:w="90"/>
              <w:left w:type="dxa" w:w="120"/>
              <w:bottom w:type="dxa" w:w="90"/>
              <w:right w:type="dxa" w:w="120"/>
            </w:tcMar>
          </w:tcPr>
          <w:p>
            <w:r>
              <w:rPr>
                <w:sz w:val="19"/>
                <w:szCs w:val="19"/>
              </w:rPr>
              <w:t xml:space="preserve">High Value At Risk</w:t>
            </w:r>
          </w:p>
        </w:tc>
        <w:tc>
          <w:tcPr>
            <w:tcW w:type="dxa" w:w="2000"/>
            <w:shd w:fill="F4F6F5" w:val="clear"/>
            <w:tcMar>
              <w:top w:type="dxa" w:w="90"/>
              <w:left w:type="dxa" w:w="120"/>
              <w:bottom w:type="dxa" w:w="90"/>
              <w:right w:type="dxa" w:w="120"/>
            </w:tcMar>
          </w:tcPr>
          <w:p>
            <w:r>
              <w:rPr>
                <w:sz w:val="19"/>
                <w:szCs w:val="19"/>
              </w:rPr>
              <w:t xml:space="preserve">14,429</w:t>
            </w:r>
          </w:p>
        </w:tc>
        <w:tc>
          <w:tcPr>
            <w:tcW w:type="dxa" w:w="2000"/>
            <w:shd w:fill="F4F6F5" w:val="clear"/>
            <w:tcMar>
              <w:top w:type="dxa" w:w="90"/>
              <w:left w:type="dxa" w:w="120"/>
              <w:bottom w:type="dxa" w:w="90"/>
              <w:right w:type="dxa" w:w="120"/>
            </w:tcMar>
          </w:tcPr>
          <w:p>
            <w:r>
              <w:rPr>
                <w:sz w:val="19"/>
                <w:szCs w:val="19"/>
              </w:rPr>
              <w:t xml:space="preserve">R$278.51</w:t>
            </w:r>
          </w:p>
        </w:tc>
        <w:tc>
          <w:tcPr>
            <w:tcW w:type="dxa" w:w="2050"/>
            <w:shd w:fill="F4F6F5" w:val="clear"/>
            <w:tcMar>
              <w:top w:type="dxa" w:w="90"/>
              <w:left w:type="dxa" w:w="120"/>
              <w:bottom w:type="dxa" w:w="90"/>
              <w:right w:type="dxa" w:w="120"/>
            </w:tcMar>
          </w:tcPr>
          <w:p>
            <w:r>
              <w:rPr>
                <w:sz w:val="19"/>
                <w:szCs w:val="19"/>
              </w:rPr>
              <w:t xml:space="preserve">R$4,018,607.75</w:t>
            </w:r>
          </w:p>
        </w:tc>
      </w:tr>
      <w:tr>
        <w:tc>
          <w:tcPr>
            <w:tcW w:type="dxa" w:w="3300"/>
            <w:shd w:fill="FFFFFF" w:val="clear"/>
            <w:tcMar>
              <w:top w:type="dxa" w:w="90"/>
              <w:left w:type="dxa" w:w="120"/>
              <w:bottom w:type="dxa" w:w="90"/>
              <w:right w:type="dxa" w:w="120"/>
            </w:tcMar>
          </w:tcPr>
          <w:p>
            <w:r>
              <w:rPr>
                <w:sz w:val="19"/>
                <w:szCs w:val="19"/>
              </w:rPr>
              <w:t xml:space="preserve">Needs Attention</w:t>
            </w:r>
          </w:p>
        </w:tc>
        <w:tc>
          <w:tcPr>
            <w:tcW w:type="dxa" w:w="2000"/>
            <w:shd w:fill="FFFFFF" w:val="clear"/>
            <w:tcMar>
              <w:top w:type="dxa" w:w="90"/>
              <w:left w:type="dxa" w:w="120"/>
              <w:bottom w:type="dxa" w:w="90"/>
              <w:right w:type="dxa" w:w="120"/>
            </w:tcMar>
          </w:tcPr>
          <w:p>
            <w:r>
              <w:rPr>
                <w:sz w:val="19"/>
                <w:szCs w:val="19"/>
              </w:rPr>
              <w:t xml:space="preserve">26,083</w:t>
            </w:r>
          </w:p>
        </w:tc>
        <w:tc>
          <w:tcPr>
            <w:tcW w:type="dxa" w:w="2000"/>
            <w:shd w:fill="FFFFFF" w:val="clear"/>
            <w:tcMar>
              <w:top w:type="dxa" w:w="90"/>
              <w:left w:type="dxa" w:w="120"/>
              <w:bottom w:type="dxa" w:w="90"/>
              <w:right w:type="dxa" w:w="120"/>
            </w:tcMar>
          </w:tcPr>
          <w:p>
            <w:r>
              <w:rPr>
                <w:sz w:val="19"/>
                <w:szCs w:val="19"/>
              </w:rPr>
              <w:t xml:space="preserve">R$121.11</w:t>
            </w:r>
          </w:p>
        </w:tc>
        <w:tc>
          <w:tcPr>
            <w:tcW w:type="dxa" w:w="2050"/>
            <w:shd w:fill="FFFFFF" w:val="clear"/>
            <w:tcMar>
              <w:top w:type="dxa" w:w="90"/>
              <w:left w:type="dxa" w:w="120"/>
              <w:bottom w:type="dxa" w:w="90"/>
              <w:right w:type="dxa" w:w="120"/>
            </w:tcMar>
          </w:tcPr>
          <w:p>
            <w:r>
              <w:rPr>
                <w:sz w:val="19"/>
                <w:szCs w:val="19"/>
              </w:rPr>
              <w:t xml:space="preserve">R$3,158,956.69</w:t>
            </w:r>
          </w:p>
        </w:tc>
      </w:tr>
      <w:tr>
        <w:tc>
          <w:tcPr>
            <w:tcW w:type="dxa" w:w="3300"/>
            <w:shd w:fill="F4F6F5" w:val="clear"/>
            <w:tcMar>
              <w:top w:type="dxa" w:w="90"/>
              <w:left w:type="dxa" w:w="120"/>
              <w:bottom w:type="dxa" w:w="90"/>
              <w:right w:type="dxa" w:w="120"/>
            </w:tcMar>
          </w:tcPr>
          <w:p>
            <w:r>
              <w:rPr>
                <w:sz w:val="19"/>
                <w:szCs w:val="19"/>
              </w:rPr>
              <w:t xml:space="preserve">Recent, Lower Spend</w:t>
            </w:r>
          </w:p>
        </w:tc>
        <w:tc>
          <w:tcPr>
            <w:tcW w:type="dxa" w:w="2000"/>
            <w:shd w:fill="F4F6F5" w:val="clear"/>
            <w:tcMar>
              <w:top w:type="dxa" w:w="90"/>
              <w:left w:type="dxa" w:w="120"/>
              <w:bottom w:type="dxa" w:w="90"/>
              <w:right w:type="dxa" w:w="120"/>
            </w:tcMar>
          </w:tcPr>
          <w:p>
            <w:r>
              <w:rPr>
                <w:sz w:val="19"/>
                <w:szCs w:val="19"/>
              </w:rPr>
              <w:t xml:space="preserve">21,915</w:t>
            </w:r>
          </w:p>
        </w:tc>
        <w:tc>
          <w:tcPr>
            <w:tcW w:type="dxa" w:w="2000"/>
            <w:shd w:fill="F4F6F5" w:val="clear"/>
            <w:tcMar>
              <w:top w:type="dxa" w:w="90"/>
              <w:left w:type="dxa" w:w="120"/>
              <w:bottom w:type="dxa" w:w="90"/>
              <w:right w:type="dxa" w:w="120"/>
            </w:tcMar>
          </w:tcPr>
          <w:p>
            <w:r>
              <w:rPr>
                <w:sz w:val="19"/>
                <w:szCs w:val="19"/>
              </w:rPr>
              <w:t xml:space="preserve">R$55.74</w:t>
            </w:r>
          </w:p>
        </w:tc>
        <w:tc>
          <w:tcPr>
            <w:tcW w:type="dxa" w:w="2050"/>
            <w:shd w:fill="F4F6F5" w:val="clear"/>
            <w:tcMar>
              <w:top w:type="dxa" w:w="90"/>
              <w:left w:type="dxa" w:w="120"/>
              <w:bottom w:type="dxa" w:w="90"/>
              <w:right w:type="dxa" w:w="120"/>
            </w:tcMar>
          </w:tcPr>
          <w:p>
            <w:r>
              <w:rPr>
                <w:sz w:val="19"/>
                <w:szCs w:val="19"/>
              </w:rPr>
              <w:t xml:space="preserve">R$1,221,589.10</w:t>
            </w:r>
          </w:p>
        </w:tc>
      </w:tr>
      <w:tr>
        <w:tc>
          <w:tcPr>
            <w:tcW w:type="dxa" w:w="3300"/>
            <w:shd w:fill="FFFFFF" w:val="clear"/>
            <w:tcMar>
              <w:top w:type="dxa" w:w="90"/>
              <w:left w:type="dxa" w:w="120"/>
              <w:bottom w:type="dxa" w:w="90"/>
              <w:right w:type="dxa" w:w="120"/>
            </w:tcMar>
          </w:tcPr>
          <w:p>
            <w:r>
              <w:rPr>
                <w:sz w:val="19"/>
                <w:szCs w:val="19"/>
              </w:rPr>
              <w:t xml:space="preserve">Lost / Low Value</w:t>
            </w:r>
          </w:p>
        </w:tc>
        <w:tc>
          <w:tcPr>
            <w:tcW w:type="dxa" w:w="2000"/>
            <w:shd w:fill="FFFFFF" w:val="clear"/>
            <w:tcMar>
              <w:top w:type="dxa" w:w="90"/>
              <w:left w:type="dxa" w:w="120"/>
              <w:bottom w:type="dxa" w:w="90"/>
              <w:right w:type="dxa" w:w="120"/>
            </w:tcMar>
          </w:tcPr>
          <w:p>
            <w:r>
              <w:rPr>
                <w:sz w:val="19"/>
                <w:szCs w:val="19"/>
              </w:rPr>
              <w:t xml:space="preserve">15,273</w:t>
            </w:r>
          </w:p>
        </w:tc>
        <w:tc>
          <w:tcPr>
            <w:tcW w:type="dxa" w:w="2000"/>
            <w:shd w:fill="FFFFFF" w:val="clear"/>
            <w:tcMar>
              <w:top w:type="dxa" w:w="90"/>
              <w:left w:type="dxa" w:w="120"/>
              <w:bottom w:type="dxa" w:w="90"/>
              <w:right w:type="dxa" w:w="120"/>
            </w:tcMar>
          </w:tcPr>
          <w:p>
            <w:r>
              <w:rPr>
                <w:sz w:val="19"/>
                <w:szCs w:val="19"/>
              </w:rPr>
              <w:t xml:space="preserve">R$40.05</w:t>
            </w:r>
          </w:p>
        </w:tc>
        <w:tc>
          <w:tcPr>
            <w:tcW w:type="dxa" w:w="2050"/>
            <w:shd w:fill="FFFFFF" w:val="clear"/>
            <w:tcMar>
              <w:top w:type="dxa" w:w="90"/>
              <w:left w:type="dxa" w:w="120"/>
              <w:bottom w:type="dxa" w:w="90"/>
              <w:right w:type="dxa" w:w="120"/>
            </w:tcMar>
          </w:tcPr>
          <w:p>
            <w:r>
              <w:rPr>
                <w:sz w:val="19"/>
                <w:szCs w:val="19"/>
              </w:rPr>
              <w:t xml:space="preserve">R$611,745.45</w:t>
            </w:r>
          </w:p>
        </w:tc>
      </w:tr>
    </w:tbl>
    <w:p>
      <w:pPr>
        <w:spacing w:before="200"/>
      </w:pPr>
    </w:p>
    <w:p>
      <w:pPr>
        <w:spacing w:after="140" w:line="276"/>
      </w:pPr>
      <w:r>
        <w:rPr>
          <w:sz w:val="21"/>
          <w:szCs w:val="21"/>
        </w:rPr>
        <w:t xml:space="preserve">“Champions” and “High Value At Risk” together represent R$8.19M — 62% of total revenue — concentrated in customers who are either currently engaged or have already gone quiet after historically high spend. This is the single most decision-relevant number from the segmentation: it justifies prioritizing retention spend on already-proven-valuable customers over broad, undifferentiated campaigns.</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9. Business Recommendations</w:t>
      </w:r>
    </w:p>
    <w:p>
      <w:pPr>
        <w:pStyle w:val="Heading3"/>
        <w:spacing w:after="90" w:before="200"/>
      </w:pPr>
      <w:r>
        <w:rPr>
          <w:rFonts w:ascii="Calibri" w:cs="Calibri" w:eastAsia="Calibri" w:hAnsi="Calibri"/>
          <w:b/>
          <w:bCs/>
          <w:color w:val="0F2531"/>
          <w:sz w:val="21"/>
          <w:szCs w:val="21"/>
        </w:rPr>
        <w:t xml:space="preserve">1. Launch a win-back campaign targeting the top-10% model-scored customers</w:t>
      </w:r>
    </w:p>
    <w:p>
      <w:pPr>
        <w:spacing w:after="140" w:line="276"/>
      </w:pPr>
      <w:r>
        <w:rPr>
          <w:sz w:val="21"/>
          <w:szCs w:val="21"/>
        </w:rPr>
        <w:t xml:space="preserve">The predictive model shows a 2.1× repeat-purchase lift in this group versus baseline — the highest-return use of a constrained retention budget.</w:t>
      </w:r>
    </w:p>
    <w:p>
      <w:pPr>
        <w:spacing w:after="140" w:line="276"/>
      </w:pPr>
      <w:r>
        <w:rPr>
          <w:b/>
          <w:bCs/>
          <w:i w:val="false"/>
          <w:iCs w:val="false"/>
          <w:sz w:val="21"/>
          <w:szCs w:val="21"/>
        </w:rPr>
        <w:t xml:space="preserve">Evidence: </w:t>
      </w:r>
      <w:r>
        <w:rPr>
          <w:b w:val="false"/>
          <w:bCs w:val="false"/>
          <w:i/>
          <w:iCs/>
          <w:sz w:val="21"/>
          <w:szCs w:val="21"/>
        </w:rPr>
        <w:t xml:space="preserve">Section 7.4</w:t>
      </w:r>
    </w:p>
    <w:p>
      <w:pPr>
        <w:pStyle w:val="Heading3"/>
        <w:spacing w:after="90" w:before="200"/>
      </w:pPr>
      <w:r>
        <w:rPr>
          <w:rFonts w:ascii="Calibri" w:cs="Calibri" w:eastAsia="Calibri" w:hAnsi="Calibri"/>
          <w:b/>
          <w:bCs/>
          <w:color w:val="0F2531"/>
          <w:sz w:val="21"/>
          <w:szCs w:val="21"/>
        </w:rPr>
        <w:t xml:space="preserve">2. Build a dedicated retention program for the “High Value At Risk” segment</w:t>
      </w:r>
    </w:p>
    <w:p>
      <w:pPr>
        <w:spacing w:after="140" w:line="276"/>
      </w:pPr>
      <w:r>
        <w:rPr>
          <w:sz w:val="21"/>
          <w:szCs w:val="21"/>
        </w:rPr>
        <w:t xml:space="preserve">This segment alone represents R$4.02M in historical spend from customers who have gone quiet — protecting even a fraction of this is high-leverage.</w:t>
      </w:r>
    </w:p>
    <w:p>
      <w:pPr>
        <w:spacing w:after="140" w:line="276"/>
      </w:pPr>
      <w:r>
        <w:rPr>
          <w:b/>
          <w:bCs/>
          <w:i w:val="false"/>
          <w:iCs w:val="false"/>
          <w:sz w:val="21"/>
          <w:szCs w:val="21"/>
        </w:rPr>
        <w:t xml:space="preserve">Evidence: </w:t>
      </w:r>
      <w:r>
        <w:rPr>
          <w:b w:val="false"/>
          <w:bCs w:val="false"/>
          <w:i/>
          <w:iCs/>
          <w:sz w:val="21"/>
          <w:szCs w:val="21"/>
        </w:rPr>
        <w:t xml:space="preserve">Section 8</w:t>
      </w:r>
    </w:p>
    <w:p>
      <w:pPr>
        <w:pStyle w:val="Heading3"/>
        <w:spacing w:after="90" w:before="200"/>
      </w:pPr>
      <w:r>
        <w:rPr>
          <w:rFonts w:ascii="Calibri" w:cs="Calibri" w:eastAsia="Calibri" w:hAnsi="Calibri"/>
          <w:b/>
          <w:bCs/>
          <w:color w:val="0F2531"/>
          <w:sz w:val="21"/>
          <w:szCs w:val="21"/>
        </w:rPr>
        <w:t xml:space="preserve">3. Invest in structural retention mechanics, not a targeted operational fix</w:t>
      </w:r>
    </w:p>
    <w:p>
      <w:pPr>
        <w:spacing w:after="140" w:line="276"/>
      </w:pPr>
      <w:r>
        <w:rPr>
          <w:sz w:val="21"/>
          <w:szCs w:val="21"/>
        </w:rPr>
        <w:t xml:space="preserve">Section 6 rules out delivery, category, payment, and geography as fixable root causes. Loyalty programs, subscription mechanics, or lifecycle marketing address the actual (structural) problem.</w:t>
      </w:r>
    </w:p>
    <w:p>
      <w:pPr>
        <w:spacing w:after="140" w:line="276"/>
      </w:pPr>
      <w:r>
        <w:rPr>
          <w:b/>
          <w:bCs/>
          <w:i w:val="false"/>
          <w:iCs w:val="false"/>
          <w:sz w:val="21"/>
          <w:szCs w:val="21"/>
        </w:rPr>
        <w:t xml:space="preserve">Evidence: </w:t>
      </w:r>
      <w:r>
        <w:rPr>
          <w:b w:val="false"/>
          <w:bCs w:val="false"/>
          <w:i/>
          <w:iCs/>
          <w:sz w:val="21"/>
          <w:szCs w:val="21"/>
        </w:rPr>
        <w:t xml:space="preserve">Section 6.3</w:t>
      </w:r>
    </w:p>
    <w:p>
      <w:pPr>
        <w:pStyle w:val="Heading3"/>
        <w:spacing w:after="90" w:before="200"/>
      </w:pPr>
      <w:r>
        <w:rPr>
          <w:rFonts w:ascii="Calibri" w:cs="Calibri" w:eastAsia="Calibri" w:hAnsi="Calibri"/>
          <w:b/>
          <w:bCs/>
          <w:color w:val="0F2531"/>
          <w:sz w:val="21"/>
          <w:szCs w:val="21"/>
        </w:rPr>
        <w:t xml:space="preserve">4. Investigate payment and installment behavior further</w:t>
      </w:r>
    </w:p>
    <w:p>
      <w:pPr>
        <w:spacing w:after="140" w:line="276"/>
      </w:pPr>
      <w:r>
        <w:rPr>
          <w:sz w:val="21"/>
          <w:szCs w:val="21"/>
        </w:rPr>
        <w:t xml:space="preserve">It is the strongest individual predictive signal found (32% feature importance) — understanding why (financing stress vs. simply smaller basket size) could unlock further insight.</w:t>
      </w:r>
    </w:p>
    <w:p>
      <w:pPr>
        <w:spacing w:after="140" w:line="276"/>
      </w:pPr>
      <w:r>
        <w:rPr>
          <w:b/>
          <w:bCs/>
          <w:i w:val="false"/>
          <w:iCs w:val="false"/>
          <w:sz w:val="21"/>
          <w:szCs w:val="21"/>
        </w:rPr>
        <w:t xml:space="preserve">Evidence: </w:t>
      </w:r>
      <w:r>
        <w:rPr>
          <w:b w:val="false"/>
          <w:bCs w:val="false"/>
          <w:i/>
          <w:iCs/>
          <w:sz w:val="21"/>
          <w:szCs w:val="21"/>
        </w:rPr>
        <w:t xml:space="preserve">Section 7.3</w:t>
      </w:r>
    </w:p>
    <w:p>
      <w:pPr>
        <w:pStyle w:val="Heading3"/>
        <w:spacing w:after="90" w:before="200"/>
      </w:pPr>
      <w:r>
        <w:rPr>
          <w:rFonts w:ascii="Calibri" w:cs="Calibri" w:eastAsia="Calibri" w:hAnsi="Calibri"/>
          <w:b/>
          <w:bCs/>
          <w:color w:val="0F2531"/>
          <w:sz w:val="21"/>
          <w:szCs w:val="21"/>
        </w:rPr>
        <w:t xml:space="preserve">5. Address the regional average-order-value gap</w:t>
      </w:r>
    </w:p>
    <w:p>
      <w:pPr>
        <w:spacing w:after="140" w:line="276"/>
      </w:pPr>
      <w:r>
        <w:rPr>
          <w:sz w:val="21"/>
          <w:szCs w:val="21"/>
        </w:rPr>
        <w:t xml:space="preserve">Remote states show 60%+ higher AOV than São Paulo — worth testing whether logistics costs are compressing margin in these regions, or whether there is a genuine underexploited pricing opportunity.</w:t>
      </w:r>
    </w:p>
    <w:p>
      <w:pPr>
        <w:spacing w:after="140" w:line="276"/>
      </w:pPr>
      <w:r>
        <w:rPr>
          <w:b/>
          <w:bCs/>
          <w:i w:val="false"/>
          <w:iCs w:val="false"/>
          <w:sz w:val="21"/>
          <w:szCs w:val="21"/>
        </w:rPr>
        <w:t xml:space="preserve">Evidence: </w:t>
      </w:r>
      <w:r>
        <w:rPr>
          <w:b w:val="false"/>
          <w:bCs w:val="false"/>
          <w:i/>
          <w:iCs/>
          <w:sz w:val="21"/>
          <w:szCs w:val="21"/>
        </w:rPr>
        <w:t xml:space="preserve">Section 5.2</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10. Limitations &amp; Future Work</w:t>
      </w:r>
    </w:p>
    <w:p>
      <w:pPr>
        <w:pStyle w:val="ListParagraph"/>
        <w:numPr>
          <w:ilvl w:val="0"/>
          <w:numId w:val="1"/>
        </w:numPr>
        <w:spacing w:after="90" w:line="264"/>
      </w:pPr>
      <w:r>
        <w:rPr>
          <w:b/>
          <w:bCs/>
          <w:sz w:val="21"/>
          <w:szCs w:val="21"/>
        </w:rPr>
        <w:t xml:space="preserve">Observational, not causal: </w:t>
      </w:r>
      <w:r>
        <w:rPr>
          <w:b w:val="false"/>
          <w:bCs w:val="false"/>
          <w:sz w:val="21"/>
          <w:szCs w:val="21"/>
        </w:rPr>
        <w:t xml:space="preserve">all four hypothesis tests in Section 6 are correlational comparisons, not controlled experiments. A genuine A/B test (e.g., varying delivery speed or first-order discount depth for a random customer sample) would be needed to establish causation rather than association.</w:t>
      </w:r>
    </w:p>
    <w:p>
      <w:pPr>
        <w:pStyle w:val="ListParagraph"/>
        <w:numPr>
          <w:ilvl w:val="0"/>
          <w:numId w:val="1"/>
        </w:numPr>
        <w:spacing w:after="90" w:line="264"/>
      </w:pPr>
      <w:r>
        <w:rPr>
          <w:b/>
          <w:bCs/>
          <w:sz w:val="21"/>
          <w:szCs w:val="21"/>
        </w:rPr>
        <w:t xml:space="preserve">Dataset time window: </w:t>
      </w:r>
      <w:r>
        <w:rPr>
          <w:b w:val="false"/>
          <w:bCs w:val="false"/>
          <w:sz w:val="21"/>
          <w:szCs w:val="21"/>
        </w:rPr>
        <w:t xml:space="preserve">the reliable analysis window (Jan 2017–Aug 2018) reflects Olist's early growth phase. Repeat-purchase dynamics may differ materially as the platform and its seller base mature — findings should be revisited against more recent data if available.</w:t>
      </w:r>
    </w:p>
    <w:p>
      <w:pPr>
        <w:pStyle w:val="ListParagraph"/>
        <w:numPr>
          <w:ilvl w:val="0"/>
          <w:numId w:val="1"/>
        </w:numPr>
        <w:spacing w:after="90" w:line="264"/>
      </w:pPr>
      <w:r>
        <w:rPr>
          <w:b/>
          <w:bCs/>
          <w:sz w:val="21"/>
          <w:szCs w:val="21"/>
        </w:rPr>
        <w:t xml:space="preserve">Unused geolocation data: </w:t>
      </w:r>
      <w:r>
        <w:rPr>
          <w:b w:val="false"/>
          <w:bCs w:val="false"/>
          <w:sz w:val="21"/>
          <w:szCs w:val="21"/>
        </w:rPr>
        <w:t xml:space="preserve">the geolocation table (1M+ rows of zip-to-coordinate mappings) was loaded but not used, since state-level granularity was sufficient for the questions asked. A logistics-focused follow-up (e.g., actual shipping distance vs. delivery time) could make use of it.</w:t>
      </w:r>
    </w:p>
    <w:p>
      <w:pPr>
        <w:pStyle w:val="ListParagraph"/>
        <w:numPr>
          <w:ilvl w:val="0"/>
          <w:numId w:val="1"/>
        </w:numPr>
        <w:spacing w:after="90" w:line="264"/>
      </w:pPr>
      <w:r>
        <w:rPr>
          <w:b/>
          <w:bCs/>
          <w:sz w:val="21"/>
          <w:szCs w:val="21"/>
        </w:rPr>
        <w:t xml:space="preserve">Marketing/lifecycle data not available: </w:t>
      </w:r>
      <w:r>
        <w:rPr>
          <w:b w:val="false"/>
          <w:bCs w:val="false"/>
          <w:sz w:val="21"/>
          <w:szCs w:val="21"/>
        </w:rPr>
        <w:t xml:space="preserve">the dataset contains no record of email campaigns, app engagement, or other lifecycle marketing touchpoints. Given that Section 6 rules out every hypothesis testable within the transactional data itself, marketing engagement is a plausible next hypothesis that this dataset cannot test.</w:t>
      </w:r>
    </w:p>
    <w:p>
      <w:pPr>
        <w:pStyle w:val="ListParagraph"/>
        <w:numPr>
          <w:ilvl w:val="0"/>
          <w:numId w:val="1"/>
        </w:numPr>
        <w:spacing w:after="90" w:line="264"/>
      </w:pPr>
      <w:r>
        <w:rPr>
          <w:b/>
          <w:bCs/>
          <w:sz w:val="21"/>
          <w:szCs w:val="21"/>
        </w:rPr>
        <w:t xml:space="preserve">Model ceiling: </w:t>
      </w:r>
      <w:r>
        <w:rPr>
          <w:b w:val="false"/>
          <w:bCs w:val="false"/>
          <w:sz w:val="21"/>
          <w:szCs w:val="21"/>
        </w:rPr>
        <w:t xml:space="preserve">Section 7.2 notes that hyperparameter tuning and an alternative algorithm (XGBoost) did not improve materially on the reported result, suggesting the ~0.63 ROC-AUC reflects a genuine information ceiling in the available features, not an undertuned model — future work should prioritize acquiring new data sources over further modeling effort on this feature set.</w:t>
      </w:r>
    </w:p>
    <w:p>
      <w:r>
        <w:br w:type="page"/>
      </w:r>
    </w:p>
    <w:p>
      <w:pPr>
        <w:pStyle w:val="Heading1"/>
        <w:pBdr>
          <w:bottom w:val="single" w:color="2C6E7F" w:sz="6"/>
        </w:pBdr>
        <w:spacing w:after="180" w:before="420"/>
      </w:pPr>
      <w:r>
        <w:rPr>
          <w:rFonts w:ascii="Calibri" w:cs="Calibri" w:eastAsia="Calibri" w:hAnsi="Calibri"/>
          <w:b/>
          <w:bCs/>
          <w:color w:val="0F2531"/>
          <w:sz w:val="30"/>
          <w:szCs w:val="30"/>
        </w:rPr>
        <w:t xml:space="preserve">11. Technical Appendix</w:t>
      </w:r>
    </w:p>
    <w:p>
      <w:pPr>
        <w:pStyle w:val="Heading2"/>
        <w:spacing w:after="120" w:before="280"/>
      </w:pPr>
      <w:r>
        <w:rPr>
          <w:rFonts w:ascii="Calibri" w:cs="Calibri" w:eastAsia="Calibri" w:hAnsi="Calibri"/>
          <w:b/>
          <w:bCs/>
          <w:color w:val="2C6E7F"/>
          <w:sz w:val="23"/>
          <w:szCs w:val="23"/>
        </w:rPr>
        <w:t xml:space="preserve">11.1 Tools &amp; Environment</w:t>
      </w:r>
    </w:p>
    <w:p>
      <w:pPr>
        <w:spacing w:after="140" w:line="276"/>
      </w:pPr>
      <w:r>
        <w:rPr>
          <w:sz w:val="21"/>
          <w:szCs w:val="21"/>
        </w:rPr>
        <w:t xml:space="preserve">SQL (SQLite) for data storage and hypothesis testing · Python (pandas, scikit-learn, matplotlib/seaborn) for feature engineering and modeling, run in Google Colab · Power BI Desktop for the executive dashboard · Git/GitHub for version control and portfolio hosting.</w:t>
      </w:r>
    </w:p>
    <w:p>
      <w:pPr>
        <w:pStyle w:val="Heading2"/>
        <w:spacing w:after="120" w:before="280"/>
      </w:pPr>
      <w:r>
        <w:rPr>
          <w:rFonts w:ascii="Calibri" w:cs="Calibri" w:eastAsia="Calibri" w:hAnsi="Calibri"/>
          <w:b/>
          <w:bCs/>
          <w:color w:val="2C6E7F"/>
          <w:sz w:val="23"/>
          <w:szCs w:val="23"/>
        </w:rPr>
        <w:t xml:space="preserve">11.2 SQL Techniques Demonstrated</w:t>
      </w:r>
    </w:p>
    <w:p>
      <w:pPr>
        <w:spacing w:after="140" w:line="276"/>
      </w:pPr>
      <w:r>
        <w:rPr>
          <w:sz w:val="21"/>
          <w:szCs w:val="21"/>
        </w:rPr>
        <w:t xml:space="preserve">Multi-table JOINs across up to six tables · GROUP BY / HAVING aggregation · common table expressions (CTEs) · window functions (RANK() OVER (PARTITION BY …), LAG(), ROW_NUMBER()) · date arithmetic (JULIANDAY, strftime) · CASE WHEN segmentation logic · controlled hypothesis-testing queries with explicit eligibility-window filtering to avoid recency bias.</w:t>
      </w:r>
    </w:p>
    <w:p>
      <w:pPr>
        <w:pStyle w:val="Heading2"/>
        <w:spacing w:after="120" w:before="280"/>
      </w:pPr>
      <w:r>
        <w:rPr>
          <w:rFonts w:ascii="Calibri" w:cs="Calibri" w:eastAsia="Calibri" w:hAnsi="Calibri"/>
          <w:b/>
          <w:bCs/>
          <w:color w:val="2C6E7F"/>
          <w:sz w:val="23"/>
          <w:szCs w:val="23"/>
        </w:rPr>
        <w:t xml:space="preserve">11.3 Python Techniques Demonstrated</w:t>
      </w:r>
    </w:p>
    <w:p>
      <w:pPr>
        <w:spacing w:after="140" w:line="276"/>
      </w:pPr>
      <w:r>
        <w:rPr>
          <w:sz w:val="21"/>
          <w:szCs w:val="21"/>
        </w:rPr>
        <w:t xml:space="preserve">Data cleaning and validation · RFM segmentation with non-standard (Recency + Monetary only) quintile scoring, adapted to the data's actual distribution rather than applied by default · feature engineering with explicit label-leakage avoidance · five-fold stratified cross-validated model comparison across four algorithms · handling of severe class imbalance · reframing a statistically weak classifier as a business-useful ranking tool.</w:t>
      </w:r>
    </w:p>
    <w:p>
      <w:pPr>
        <w:pStyle w:val="Heading2"/>
        <w:spacing w:after="120" w:before="280"/>
      </w:pPr>
      <w:r>
        <w:rPr>
          <w:rFonts w:ascii="Calibri" w:cs="Calibri" w:eastAsia="Calibri" w:hAnsi="Calibri"/>
          <w:b/>
          <w:bCs/>
          <w:color w:val="2C6E7F"/>
          <w:sz w:val="23"/>
          <w:szCs w:val="23"/>
        </w:rPr>
        <w:t xml:space="preserve">11.4 Repository &amp; Reproducibility</w:t>
      </w:r>
    </w:p>
    <w:p>
      <w:pPr>
        <w:spacing w:after="140" w:line="276"/>
      </w:pPr>
      <w:r>
        <w:rPr>
          <w:sz w:val="21"/>
          <w:szCs w:val="21"/>
        </w:rPr>
        <w:t xml:space="preserve">The complete SQL scripts, analysis notebook, Power BI dashboard file, and supporting documentation — including a full log of technical issues encountered during development and how each was diagnosed and resolved — are available in the accompanying GitHub repository.</w:t>
      </w:r>
    </w:p>
    <w:p>
      <w:pPr>
        <w:pBdr>
          <w:top w:val="single" w:color="D9D9D9" w:sz="4"/>
        </w:pBdr>
        <w:spacing w:before="400"/>
      </w:pPr>
    </w:p>
    <w:p>
      <w:pPr>
        <w:spacing w:after="140" w:line="276"/>
      </w:pPr>
      <w:r>
        <w:rPr>
          <w:i/>
          <w:iCs/>
          <w:color w:val="5B7280"/>
          <w:sz w:val="19"/>
          <w:szCs w:val="19"/>
        </w:rPr>
        <w:t xml:space="preserve">End of report.</w:t>
      </w:r>
    </w:p>
    <w:sectPr>
      <w:pgSz w:w="11906" w:h="16838" w:orient="portrait"/>
      <w:pgMar w:top="720" w:right="830" w:bottom="720" w:left="8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2026-08-21T07:40:14.713Z</dcterms:created>
  <dcterms:modified xsi:type="dcterms:W3CDTF">2026-08-21T07:40:14.714Z</dcterms:modified>
</cp:coreProperties>
</file>

<file path=docProps/custom.xml><?xml version="1.0" encoding="utf-8"?>
<Properties xmlns="http://schemas.openxmlformats.org/officeDocument/2006/custom-properties" xmlns:vt="http://schemas.openxmlformats.org/officeDocument/2006/docPropsVTypes"/>
</file>