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C0000"/>
          <w:sz w:val="32"/>
          <w:szCs w:val="32"/>
        </w:rPr>
        <w:t xml:space="preserve">YouTube Trending Content Analytics: Ireland vs. GB, US &amp; India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Executive Summary</w:t>
      </w:r>
    </w:p>
    <w:p>
      <w:pPr>
        <w:pBdr>
          <w:bottom w:val="single" w:color="CC0000" w:sz="4" w:space="4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Business problem</w:t>
      </w:r>
    </w:p>
    <w:p>
      <w:pPr>
        <w:spacing w:after="100"/>
      </w:pPr>
      <w:r>
        <w:rPr>
          <w:sz w:val="20"/>
          <w:szCs w:val="20"/>
        </w:rPr>
        <w:t xml:space="preserve">Content platforms and creator-economy businesses (e.g. YouTube, media/advertising teams) need to decide where to invest creator support and promotion budget across markets. This analysis asks: does Ireland's YouTube trending market behave differently from larger English-speaking markets, and if so, what does that mean for content strategy and creator investment decisions?</w:t>
      </w:r>
    </w:p>
    <w:p>
      <w:pPr>
        <w:pBdr>
          <w:bottom w:val="single" w:color="CC0000" w:sz="4" w:space="4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Approach</w:t>
      </w:r>
    </w:p>
    <w:p>
      <w:pPr>
        <w:spacing w:after="100"/>
      </w:pPr>
      <w:r>
        <w:rPr>
          <w:sz w:val="20"/>
          <w:szCs w:val="20"/>
        </w:rPr>
        <w:t xml:space="preserve">Ninety days of daily YouTube trending-chart data across four markets (Ireland, Great Britain, United States, India) were analyzed to compare content diversity, engagement, and trending longevity. A predictive model (Random Forest, benchmarked against Linear Regression and XGBoost) was then built to identify which factors most influence how long a video stays trending.</w:t>
      </w:r>
    </w:p>
    <w:p>
      <w:pPr>
        <w:pBdr>
          <w:bottom w:val="single" w:color="CC0000" w:sz="4" w:space="4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Ireland's trending chart has far lower content diversity: ~800 unique videos over 90 days vs. 2,500–3,700+ in GB, US, and India, despite similar total daily chart activity.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Videos that do trend in Ireland stay trending much longer (~5.5 days on average vs. 1.2–1.8 days elsewhere) and reach higher peak views — a pattern confirmed at the median, not just driven by outliers.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Random Forest model predicted trending duration with strong accuracy (R² = 0.68, average error under half a day) — outperforming Linear Regression and XGBoost.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single strongest predictor of trending duration was whether a video was trending in Ireland — more influential than the video’s own views or likes.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Local Irish content can still break through despite this pattern (e.g. Kingfishr, a CMAT collaboration both reached Ireland’s top-10 longest-trending videos).</w:t>
      </w:r>
    </w:p>
    <w:p>
      <w:pPr>
        <w:pBdr>
          <w:bottom w:val="single" w:color="CC0000" w:sz="4" w:space="4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Business recommendation</w:t>
      </w:r>
    </w:p>
    <w:p>
      <w:pPr>
        <w:spacing w:after="100"/>
      </w:pPr>
      <w:r>
        <w:rPr>
          <w:sz w:val="20"/>
          <w:szCs w:val="20"/>
        </w:rPr>
        <w:t xml:space="preserve">Ireland's small trending chart is easily dominated by long-running, often internationally-driven hits, which may crowd out emerging local creators. This raises a genuine strategic question for a platform or media company: would targeted investment in Irish creator programs measurably increase local content diversity and engagement, or does the current pattern simply reflect authentic audience preference for global hits? We recommend a small-scale test — e.g. a promotional push behind a cohort of Irish creators — with before/after chart-diversity metrics to answer this empirically.</w:t>
      </w:r>
    </w:p>
    <w:p>
      <w:pPr>
        <w:pBdr>
          <w:bottom w:val="single" w:color="CC0000" w:sz="4" w:space="4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Methodology note</w:t>
      </w:r>
    </w:p>
    <w:p>
      <w:pPr>
        <w:spacing w:after="100"/>
      </w:pPr>
      <w:r>
        <w:rPr>
          <w:sz w:val="20"/>
          <w:szCs w:val="20"/>
        </w:rPr>
        <w:t xml:space="preserve">Content categories were derived via keyword-matching on titles (~45% unclassified as “Other”); figures reflect a rolling 90-day window and will shift slightly if re-run against the live, daily-updating dataset. Full methodology, code, and an interactive Power BI dashboard accompany this summary.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2026-07-27T09:35:49.064Z</dcterms:created>
  <dcterms:modified xsi:type="dcterms:W3CDTF">2026-07-27T09:35:49.078Z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