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CC0000"/>
          <w:sz w:val="40"/>
          <w:szCs w:val="40"/>
        </w:rPr>
        <w:t xml:space="preserve">YouTube Trending Content Analytics</w:t>
      </w:r>
    </w:p>
    <w:p>
      <w:pPr>
        <w:spacing w:after="300"/>
      </w:pPr>
      <w:r>
        <w:rPr>
          <w:i/>
          <w:iCs/>
          <w:color w:val="595959"/>
          <w:sz w:val="22"/>
          <w:szCs w:val="22"/>
        </w:rPr>
        <w:t xml:space="preserve">Ireland vs. GB, US &amp; India — Full Analytical Report</w:t>
      </w:r>
    </w:p>
    <w:p>
      <w:pPr>
        <w:pStyle w:val="Heading1"/>
        <w:pBdr>
          <w:bottom w:val="single" w:color="CC0000" w:sz="4" w:space="4"/>
        </w:pBdr>
        <w:spacing w:after="150" w:before="300"/>
      </w:pPr>
      <w:r>
        <w:rPr>
          <w:b/>
          <w:bCs/>
          <w:color w:val="1A1A1A"/>
          <w:sz w:val="26"/>
          <w:szCs w:val="26"/>
        </w:rPr>
        <w:t xml:space="preserve">1. Business problem</w:t>
      </w:r>
    </w:p>
    <w:p>
      <w:pPr>
        <w:spacing w:after="120"/>
      </w:pPr>
      <w:r>
        <w:rPr>
          <w:sz w:val="21"/>
          <w:szCs w:val="21"/>
        </w:rPr>
        <w:t xml:space="preserve">Platforms and media companies operating across multiple markets — YouTube, streaming services, or advertising teams working with them — must decide where to invest creator support, promotional budget, and localized content strategy. A key open question for a market like Ireland is whether its relatively small population and content ecosystem produce a fundamentally different trending dynamic than larger markets, and if so, what that implies for strategy: is Ireland's chart naturally dominated by global hits because that's what audiences prefer, or because there isn't yet enough local content supply to compete for chart space?</w:t>
      </w:r>
    </w:p>
    <w:p>
      <w:pPr>
        <w:spacing w:after="120"/>
      </w:pPr>
      <w:r>
        <w:rPr>
          <w:sz w:val="21"/>
          <w:szCs w:val="21"/>
        </w:rPr>
        <w:t xml:space="preserve">This project answers that question using real trending-chart data, and additionally tests whether the pattern is not just descriptive but predictive — i.e., whether market alone can help forecast how long a video will stay trending, which would have direct implications for content investment decisions.</w:t>
      </w:r>
    </w:p>
    <w:p>
      <w:pPr>
        <w:pStyle w:val="Heading1"/>
        <w:pBdr>
          <w:bottom w:val="single" w:color="CC0000" w:sz="4" w:space="4"/>
        </w:pBdr>
        <w:spacing w:after="150" w:before="300"/>
      </w:pPr>
      <w:r>
        <w:rPr>
          <w:b/>
          <w:bCs/>
          <w:color w:val="1A1A1A"/>
          <w:sz w:val="26"/>
          <w:szCs w:val="26"/>
        </w:rPr>
        <w:t xml:space="preserve">2. Data and methodology</w:t>
      </w:r>
    </w:p>
    <w:p>
      <w:pPr>
        <w:pStyle w:val="Heading2"/>
        <w:spacing w:after="100" w:before="200"/>
      </w:pPr>
      <w:r>
        <w:rPr>
          <w:b/>
          <w:bCs/>
          <w:color w:val="1A1A1A"/>
          <w:sz w:val="22"/>
          <w:szCs w:val="22"/>
        </w:rPr>
        <w:t xml:space="preserve">2.1 Data source</w:t>
      </w:r>
    </w:p>
    <w:p>
      <w:pPr>
        <w:spacing w:after="120"/>
      </w:pPr>
      <w:r>
        <w:rPr>
          <w:sz w:val="21"/>
          <w:szCs w:val="21"/>
        </w:rPr>
        <w:t xml:space="preserve">Data was sourced from the Kaggle dataset “Trending YouTube Videos, 113 Countries” (updated daily), which records each country's YouTube trending chart on a daily basis, including view/like/comment counts, rank, and video metadata.</w:t>
      </w:r>
    </w:p>
    <w:p>
      <w:pPr>
        <w:pStyle w:val="Heading2"/>
        <w:spacing w:after="100" w:before="200"/>
      </w:pPr>
      <w:r>
        <w:rPr>
          <w:b/>
          <w:bCs/>
          <w:color w:val="1A1A1A"/>
          <w:sz w:val="22"/>
          <w:szCs w:val="22"/>
        </w:rPr>
        <w:t xml:space="preserve">2.2 Scope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7"/>
        <w:gridCol w:w="6133"/>
      </w:tblGrid>
      <w:tr>
        <w:tc>
          <w:tcPr>
            <w:tcW w:type="dxa" w:w="3067"/>
            <w:shd w:fill="F2F2F2" w:val="clear"/>
            <w:tcMar>
              <w:top w:type="dxa" w:w="80"/>
              <w:left w:type="dxa" w:w="120"/>
              <w:bottom w:type="dxa" w:w="80"/>
              <w:right w:type="dxa" w:w="120"/>
            </w:tcMar>
          </w:tcPr>
          <w:p>
            <w:r>
              <w:rPr>
                <w:b/>
                <w:bCs/>
                <w:sz w:val="19"/>
                <w:szCs w:val="19"/>
              </w:rPr>
              <w:t xml:space="preserve">Markets</w:t>
            </w:r>
          </w:p>
        </w:tc>
        <w:tc>
          <w:tcPr>
            <w:tcW w:type="dxa" w:w="6133"/>
            <w:tcMar>
              <w:top w:type="dxa" w:w="80"/>
              <w:left w:type="dxa" w:w="120"/>
              <w:bottom w:type="dxa" w:w="80"/>
              <w:right w:type="dxa" w:w="120"/>
            </w:tcMar>
          </w:tcPr>
          <w:p>
            <w:r>
              <w:rPr>
                <w:b w:val="false"/>
                <w:bCs w:val="false"/>
                <w:sz w:val="19"/>
                <w:szCs w:val="19"/>
              </w:rPr>
              <w:t xml:space="preserve">Ireland (IE), Great Britain (GB), United States (US), India (IN)</w:t>
            </w:r>
          </w:p>
        </w:tc>
      </w:tr>
      <w:tr>
        <w:tc>
          <w:tcPr>
            <w:tcW w:type="dxa" w:w="3067"/>
            <w:shd w:fill="F2F2F2" w:val="clear"/>
            <w:tcMar>
              <w:top w:type="dxa" w:w="80"/>
              <w:left w:type="dxa" w:w="120"/>
              <w:bottom w:type="dxa" w:w="80"/>
              <w:right w:type="dxa" w:w="120"/>
            </w:tcMar>
          </w:tcPr>
          <w:p>
            <w:r>
              <w:rPr>
                <w:b/>
                <w:bCs/>
                <w:sz w:val="19"/>
                <w:szCs w:val="19"/>
              </w:rPr>
              <w:t xml:space="preserve">Time window</w:t>
            </w:r>
          </w:p>
        </w:tc>
        <w:tc>
          <w:tcPr>
            <w:tcW w:type="dxa" w:w="6133"/>
            <w:tcMar>
              <w:top w:type="dxa" w:w="80"/>
              <w:left w:type="dxa" w:w="120"/>
              <w:bottom w:type="dxa" w:w="80"/>
              <w:right w:type="dxa" w:w="120"/>
            </w:tcMar>
          </w:tcPr>
          <w:p>
            <w:r>
              <w:rPr>
                <w:b w:val="false"/>
                <w:bCs w:val="false"/>
                <w:sz w:val="19"/>
                <w:szCs w:val="19"/>
              </w:rPr>
              <w:t xml:space="preserve">Rolling 90 days from the most recent snapshot in the source data</w:t>
            </w:r>
          </w:p>
        </w:tc>
      </w:tr>
      <w:tr>
        <w:tc>
          <w:tcPr>
            <w:tcW w:type="dxa" w:w="3067"/>
            <w:shd w:fill="F2F2F2" w:val="clear"/>
            <w:tcMar>
              <w:top w:type="dxa" w:w="80"/>
              <w:left w:type="dxa" w:w="120"/>
              <w:bottom w:type="dxa" w:w="80"/>
              <w:right w:type="dxa" w:w="120"/>
            </w:tcMar>
          </w:tcPr>
          <w:p>
            <w:r>
              <w:rPr>
                <w:b/>
                <w:bCs/>
                <w:sz w:val="19"/>
                <w:szCs w:val="19"/>
              </w:rPr>
              <w:t xml:space="preserve">Unit of analysis</w:t>
            </w:r>
          </w:p>
        </w:tc>
        <w:tc>
          <w:tcPr>
            <w:tcW w:type="dxa" w:w="6133"/>
            <w:tcMar>
              <w:top w:type="dxa" w:w="80"/>
              <w:left w:type="dxa" w:w="120"/>
              <w:bottom w:type="dxa" w:w="80"/>
              <w:right w:type="dxa" w:w="120"/>
            </w:tcMar>
          </w:tcPr>
          <w:p>
            <w:r>
              <w:rPr>
                <w:b w:val="false"/>
                <w:bCs w:val="false"/>
                <w:sz w:val="19"/>
                <w:szCs w:val="19"/>
              </w:rPr>
              <w:t xml:space="preserve">Per video-per-day (raw), and per unique video (deduplicated for fair comparison)</w:t>
            </w:r>
          </w:p>
        </w:tc>
      </w:tr>
      <w:tr>
        <w:tc>
          <w:tcPr>
            <w:tcW w:type="dxa" w:w="3067"/>
            <w:shd w:fill="F2F2F2" w:val="clear"/>
            <w:tcMar>
              <w:top w:type="dxa" w:w="80"/>
              <w:left w:type="dxa" w:w="120"/>
              <w:bottom w:type="dxa" w:w="80"/>
              <w:right w:type="dxa" w:w="120"/>
            </w:tcMar>
          </w:tcPr>
          <w:p>
            <w:r>
              <w:rPr>
                <w:b/>
                <w:bCs/>
                <w:sz w:val="19"/>
                <w:szCs w:val="19"/>
              </w:rPr>
              <w:t xml:space="preserve">Records analyzed</w:t>
            </w:r>
          </w:p>
        </w:tc>
        <w:tc>
          <w:tcPr>
            <w:tcW w:type="dxa" w:w="6133"/>
            <w:tcMar>
              <w:top w:type="dxa" w:w="80"/>
              <w:left w:type="dxa" w:w="120"/>
              <w:bottom w:type="dxa" w:w="80"/>
              <w:right w:type="dxa" w:w="120"/>
            </w:tcMar>
          </w:tcPr>
          <w:p>
            <w:r>
              <w:rPr>
                <w:b w:val="false"/>
                <w:bCs w:val="false"/>
                <w:sz w:val="19"/>
                <w:szCs w:val="19"/>
              </w:rPr>
              <w:t xml:space="preserve">~18,000 video-country-day rows; 10,645 unique videos after deduplication</w:t>
            </w:r>
          </w:p>
        </w:tc>
      </w:tr>
    </w:tbl>
    <w:p>
      <w:pPr>
        <w:spacing w:after="150"/>
      </w:pPr>
    </w:p>
    <w:p>
      <w:pPr>
        <w:pStyle w:val="Heading2"/>
        <w:spacing w:after="100" w:before="200"/>
      </w:pPr>
      <w:r>
        <w:rPr>
          <w:b/>
          <w:bCs/>
          <w:color w:val="1A1A1A"/>
          <w:sz w:val="22"/>
          <w:szCs w:val="22"/>
        </w:rPr>
        <w:t xml:space="preserve">2.3 Data cleaning</w:t>
      </w:r>
    </w:p>
    <w:p>
      <w:pPr>
        <w:spacing w:after="120"/>
      </w:pPr>
      <w:r>
        <w:rPr>
          <w:sz w:val="21"/>
          <w:szCs w:val="21"/>
        </w:rPr>
        <w:t xml:space="preserve">Text fields with missing values (description, tags, language) were filled with clear placeholders rather than dropped, to avoid biasing the sample toward content types that happen to use tags more consistently. No duplicate rows were found. Date fields were converted to proper datetime types to enable time-based filtering.</w:t>
      </w:r>
    </w:p>
    <w:p>
      <w:pPr>
        <w:pStyle w:val="Heading2"/>
        <w:spacing w:after="100" w:before="200"/>
      </w:pPr>
      <w:r>
        <w:rPr>
          <w:b/>
          <w:bCs/>
          <w:color w:val="1A1A1A"/>
          <w:sz w:val="22"/>
          <w:szCs w:val="22"/>
        </w:rPr>
        <w:t xml:space="preserve">2.4 Content categorization</w:t>
      </w:r>
    </w:p>
    <w:p>
      <w:pPr>
        <w:spacing w:after="120"/>
      </w:pPr>
      <w:r>
        <w:rPr>
          <w:sz w:val="21"/>
          <w:szCs w:val="21"/>
        </w:rPr>
        <w:t xml:space="preserve">The dataset does not include a pre-labeled content category. Categories (Music, Gaming, Movie/TV Trailer, Sports, Challenge/Stunt, Reaction, News, Podcast/Interview, Other) were derived via iterative keyword-matching on video titles, refined across three passes by sampling and inspecting the unclassified “Other” bucket each time. This reduced “Other” from ~57% to ~45% of videos. The remaining unclassified share is treated as an honest limitation rather than forced into a poor-fit category (see Section 6).</w:t>
      </w:r>
    </w:p>
    <w:p>
      <w:pPr>
        <w:pStyle w:val="Heading1"/>
        <w:pBdr>
          <w:bottom w:val="single" w:color="CC0000" w:sz="4" w:space="4"/>
        </w:pBdr>
        <w:spacing w:after="150" w:before="300"/>
      </w:pPr>
      <w:r>
        <w:rPr>
          <w:b/>
          <w:bCs/>
          <w:color w:val="1A1A1A"/>
          <w:sz w:val="26"/>
          <w:szCs w:val="26"/>
        </w:rPr>
        <w:t xml:space="preserve">3. Exploratory findings</w:t>
      </w:r>
    </w:p>
    <w:p>
      <w:pPr>
        <w:pStyle w:val="Heading2"/>
        <w:spacing w:after="100" w:before="200"/>
      </w:pPr>
      <w:r>
        <w:rPr>
          <w:b/>
          <w:bCs/>
          <w:color w:val="1A1A1A"/>
          <w:sz w:val="22"/>
          <w:szCs w:val="22"/>
        </w:rPr>
        <w:t xml:space="preserve">3.1 A misleading first look, and why medians mattered</w:t>
      </w:r>
    </w:p>
    <w:p>
      <w:pPr>
        <w:spacing w:after="120"/>
      </w:pPr>
      <w:r>
        <w:rPr>
          <w:sz w:val="21"/>
          <w:szCs w:val="21"/>
        </w:rPr>
        <w:t xml:space="preserve">An initial comparison of average view counts by country showed Ireland with far higher averages than GB, US, or even India — counter-intuitive given Ireland's much smaller population. Comparing mean against median revealed the cause: Ireland's average was being inflated by a small number of videos that stay trending (and accumulate rows/views) for an unusually long time.</w:t>
      </w:r>
    </w:p>
    <w:p>
      <w:pPr>
        <w:pStyle w:val="Heading2"/>
        <w:spacing w:after="100" w:before="200"/>
      </w:pPr>
      <w:r>
        <w:rPr>
          <w:b/>
          <w:bCs/>
          <w:color w:val="1A1A1A"/>
          <w:sz w:val="22"/>
          <w:szCs w:val="22"/>
        </w:rPr>
        <w:t xml:space="preserve">3.2 Content diversity is the real driver</w:t>
      </w:r>
    </w:p>
    <w:p>
      <w:pPr>
        <w:spacing w:after="120"/>
      </w:pPr>
      <w:r>
        <w:rPr>
          <w:sz w:val="21"/>
          <w:szCs w:val="21"/>
        </w:rPr>
        <w:t xml:space="preserve">Deduplicating to one row per unique video showed Ireland had only ~800 unique videos trend over the 90-day window, versus 2,500–3,700+ in GB, US, and India — despite similar total daily chart volume. In other words, the same small set of Irish-charting videos repeats far more often, rather than fresh content constantly cycling through.</w:t>
      </w:r>
    </w:p>
    <w:p>
      <w:pPr>
        <w:pStyle w:val="Heading2"/>
        <w:spacing w:after="100" w:before="200"/>
      </w:pPr>
      <w:r>
        <w:rPr>
          <w:b/>
          <w:bCs/>
          <w:color w:val="1A1A1A"/>
          <w:sz w:val="22"/>
          <w:szCs w:val="22"/>
        </w:rPr>
        <w:t xml:space="preserve">3.3 This is a genuine pattern, not one outlier</w:t>
      </w:r>
    </w:p>
    <w:p>
      <w:pPr>
        <w:spacing w:after="120"/>
      </w:pPr>
      <w:r>
        <w:rPr>
          <w:sz w:val="21"/>
          <w:szCs w:val="21"/>
        </w:rPr>
        <w:t xml:space="preserve">A distribution analysis (boxplot) of peak views by country showed Ireland's entire distribution — including the median, not just extreme outliers — sitting higher than the other three markets. This confirms the pattern reflects the typical trending video in Ireland, not a single viral fluke skewing the picture.</w:t>
      </w:r>
    </w:p>
    <w:p>
      <w:pPr>
        <w:pStyle w:val="Heading2"/>
        <w:spacing w:after="100" w:before="200"/>
      </w:pPr>
      <w:r>
        <w:rPr>
          <w:b/>
          <w:bCs/>
          <w:color w:val="1A1A1A"/>
          <w:sz w:val="22"/>
          <w:szCs w:val="22"/>
        </w:rPr>
        <w:t xml:space="preserve">3.4 Content category mix</w:t>
      </w:r>
    </w:p>
    <w:p>
      <w:pPr>
        <w:spacing w:after="120"/>
      </w:pPr>
      <w:r>
        <w:rPr>
          <w:sz w:val="21"/>
          <w:szCs w:val="21"/>
        </w:rPr>
        <w:t xml:space="preserve">India showed a notably higher share of Gaming content (~24%) than the other three markets. Ireland and GB showed broadly similar category mixes, suggesting Ireland's difference is about volume/diversity of unique videos, not a fundamentally different taste profile.</w:t>
      </w:r>
    </w:p>
    <w:p>
      <w:pPr>
        <w:pStyle w:val="Heading2"/>
        <w:spacing w:after="100" w:before="200"/>
      </w:pPr>
      <w:r>
        <w:rPr>
          <w:b/>
          <w:bCs/>
          <w:color w:val="1A1A1A"/>
          <w:sz w:val="22"/>
          <w:szCs w:val="22"/>
        </w:rPr>
        <w:t xml:space="preserve">3.5 Local content can still break through</w:t>
      </w:r>
    </w:p>
    <w:p>
      <w:pPr>
        <w:spacing w:after="120"/>
      </w:pPr>
      <w:r>
        <w:rPr>
          <w:sz w:val="21"/>
          <w:szCs w:val="21"/>
        </w:rPr>
        <w:t xml:space="preserve">Despite Ireland's chart being dominated by long-running international hits, genuinely Irish content did reach the top 10 longest-trending videos in the window analyzed — including a track by Kingfishr and a CMAT collaboration — indicating the pattern reflects market structure and scale, not an absolute ceiling on local content success.</w:t>
      </w:r>
    </w:p>
    <w:p>
      <w:pPr>
        <w:pStyle w:val="Heading1"/>
        <w:pBdr>
          <w:bottom w:val="single" w:color="CC0000" w:sz="4" w:space="4"/>
        </w:pBdr>
        <w:spacing w:after="150" w:before="300"/>
      </w:pPr>
      <w:r>
        <w:rPr>
          <w:b/>
          <w:bCs/>
          <w:color w:val="1A1A1A"/>
          <w:sz w:val="26"/>
          <w:szCs w:val="26"/>
        </w:rPr>
        <w:t xml:space="preserve">4. Predictive modeling</w:t>
      </w:r>
    </w:p>
    <w:p>
      <w:pPr>
        <w:pStyle w:val="Heading2"/>
        <w:spacing w:after="100" w:before="200"/>
      </w:pPr>
      <w:r>
        <w:rPr>
          <w:b/>
          <w:bCs/>
          <w:color w:val="1A1A1A"/>
          <w:sz w:val="22"/>
          <w:szCs w:val="22"/>
        </w:rPr>
        <w:t xml:space="preserve">4.1 Objective and approach</w:t>
      </w:r>
    </w:p>
    <w:p>
      <w:pPr>
        <w:spacing w:after="120"/>
      </w:pPr>
      <w:r>
        <w:rPr>
          <w:sz w:val="21"/>
          <w:szCs w:val="21"/>
        </w:rPr>
        <w:t xml:space="preserve">A regression model was built to predict days_trending (how long a video stays on the trending chart) from features available relatively early in a video's lifecycle: market (country), content category, best chart rank achieved, peak views, and peak likes. Three algorithms of increasing complexity were trained and compared on a held-out 20% test set: Linear Regression, Random Forest, and XGBoost.</w:t>
      </w:r>
    </w:p>
    <w:p>
      <w:pPr>
        <w:pStyle w:val="Heading2"/>
        <w:spacing w:after="100" w:before="200"/>
      </w:pPr>
      <w:r>
        <w:rPr>
          <w:b/>
          <w:bCs/>
          <w:color w:val="1A1A1A"/>
          <w:sz w:val="22"/>
          <w:szCs w:val="22"/>
        </w:rPr>
        <w:t xml:space="preserve">4.2 Model comparison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6"/>
      </w:tblGrid>
      <w:tr>
        <w:tc>
          <w:tcPr>
            <w:tcW w:type="dxa" w:w="3067"/>
            <w:shd w:fill="F2F2F2" w:val="clear"/>
            <w:tcMar>
              <w:top w:type="dxa" w:w="80"/>
              <w:left w:type="dxa" w:w="120"/>
              <w:bottom w:type="dxa" w:w="80"/>
              <w:right w:type="dxa" w:w="120"/>
            </w:tcMar>
          </w:tcPr>
          <w:p>
            <w:r>
              <w:rPr>
                <w:b/>
                <w:bCs/>
                <w:sz w:val="19"/>
                <w:szCs w:val="19"/>
              </w:rPr>
              <w:t xml:space="preserve">Model</w:t>
            </w:r>
          </w:p>
        </w:tc>
        <w:tc>
          <w:tcPr>
            <w:tcW w:type="dxa" w:w="3067"/>
            <w:shd w:fill="F2F2F2" w:val="clear"/>
            <w:tcMar>
              <w:top w:type="dxa" w:w="80"/>
              <w:left w:type="dxa" w:w="120"/>
              <w:bottom w:type="dxa" w:w="80"/>
              <w:right w:type="dxa" w:w="120"/>
            </w:tcMar>
          </w:tcPr>
          <w:p>
            <w:r>
              <w:rPr>
                <w:b/>
                <w:bCs/>
                <w:sz w:val="19"/>
                <w:szCs w:val="19"/>
              </w:rPr>
              <w:t xml:space="preserve">MAE (days)</w:t>
            </w:r>
          </w:p>
        </w:tc>
        <w:tc>
          <w:tcPr>
            <w:tcW w:type="dxa" w:w="3066"/>
            <w:shd w:fill="F2F2F2" w:val="clear"/>
            <w:tcMar>
              <w:top w:type="dxa" w:w="80"/>
              <w:left w:type="dxa" w:w="120"/>
              <w:bottom w:type="dxa" w:w="80"/>
              <w:right w:type="dxa" w:w="120"/>
            </w:tcMar>
          </w:tcPr>
          <w:p>
            <w:r>
              <w:rPr>
                <w:b/>
                <w:bCs/>
                <w:sz w:val="19"/>
                <w:szCs w:val="19"/>
              </w:rPr>
              <w:t xml:space="preserve">R² Score</w:t>
            </w:r>
          </w:p>
        </w:tc>
      </w:tr>
      <w:tr>
        <w:tc>
          <w:tcPr>
            <w:tcW w:type="dxa" w:w="3067"/>
            <w:tcMar>
              <w:top w:type="dxa" w:w="80"/>
              <w:left w:type="dxa" w:w="120"/>
              <w:bottom w:type="dxa" w:w="80"/>
              <w:right w:type="dxa" w:w="120"/>
            </w:tcMar>
          </w:tcPr>
          <w:p>
            <w:r>
              <w:rPr>
                <w:b w:val="false"/>
                <w:bCs w:val="false"/>
                <w:sz w:val="19"/>
                <w:szCs w:val="19"/>
              </w:rPr>
              <w:t xml:space="preserve">Random Forest</w:t>
            </w:r>
          </w:p>
        </w:tc>
        <w:tc>
          <w:tcPr>
            <w:tcW w:type="dxa" w:w="3067"/>
            <w:tcMar>
              <w:top w:type="dxa" w:w="80"/>
              <w:left w:type="dxa" w:w="120"/>
              <w:bottom w:type="dxa" w:w="80"/>
              <w:right w:type="dxa" w:w="120"/>
            </w:tcMar>
          </w:tcPr>
          <w:p>
            <w:r>
              <w:rPr>
                <w:b w:val="false"/>
                <w:bCs w:val="false"/>
                <w:sz w:val="19"/>
                <w:szCs w:val="19"/>
              </w:rPr>
              <w:t xml:space="preserve">0.43</w:t>
            </w:r>
          </w:p>
        </w:tc>
        <w:tc>
          <w:tcPr>
            <w:tcW w:type="dxa" w:w="3066"/>
            <w:tcMar>
              <w:top w:type="dxa" w:w="80"/>
              <w:left w:type="dxa" w:w="120"/>
              <w:bottom w:type="dxa" w:w="80"/>
              <w:right w:type="dxa" w:w="120"/>
            </w:tcMar>
          </w:tcPr>
          <w:p>
            <w:r>
              <w:rPr>
                <w:b w:val="false"/>
                <w:bCs w:val="false"/>
                <w:sz w:val="19"/>
                <w:szCs w:val="19"/>
              </w:rPr>
              <w:t xml:space="preserve">0.683</w:t>
            </w:r>
          </w:p>
        </w:tc>
      </w:tr>
      <w:tr>
        <w:tc>
          <w:tcPr>
            <w:tcW w:type="dxa" w:w="3067"/>
            <w:tcMar>
              <w:top w:type="dxa" w:w="80"/>
              <w:left w:type="dxa" w:w="120"/>
              <w:bottom w:type="dxa" w:w="80"/>
              <w:right w:type="dxa" w:w="120"/>
            </w:tcMar>
          </w:tcPr>
          <w:p>
            <w:r>
              <w:rPr>
                <w:b w:val="false"/>
                <w:bCs w:val="false"/>
                <w:sz w:val="19"/>
                <w:szCs w:val="19"/>
              </w:rPr>
              <w:t xml:space="preserve">XGBoost</w:t>
            </w:r>
          </w:p>
        </w:tc>
        <w:tc>
          <w:tcPr>
            <w:tcW w:type="dxa" w:w="3067"/>
            <w:tcMar>
              <w:top w:type="dxa" w:w="80"/>
              <w:left w:type="dxa" w:w="120"/>
              <w:bottom w:type="dxa" w:w="80"/>
              <w:right w:type="dxa" w:w="120"/>
            </w:tcMar>
          </w:tcPr>
          <w:p>
            <w:r>
              <w:rPr>
                <w:b w:val="false"/>
                <w:bCs w:val="false"/>
                <w:sz w:val="19"/>
                <w:szCs w:val="19"/>
              </w:rPr>
              <w:t xml:space="preserve">0.48</w:t>
            </w:r>
          </w:p>
        </w:tc>
        <w:tc>
          <w:tcPr>
            <w:tcW w:type="dxa" w:w="3066"/>
            <w:tcMar>
              <w:top w:type="dxa" w:w="80"/>
              <w:left w:type="dxa" w:w="120"/>
              <w:bottom w:type="dxa" w:w="80"/>
              <w:right w:type="dxa" w:w="120"/>
            </w:tcMar>
          </w:tcPr>
          <w:p>
            <w:r>
              <w:rPr>
                <w:b w:val="false"/>
                <w:bCs w:val="false"/>
                <w:sz w:val="19"/>
                <w:szCs w:val="19"/>
              </w:rPr>
              <w:t xml:space="preserve">0.548</w:t>
            </w:r>
          </w:p>
        </w:tc>
      </w:tr>
      <w:tr>
        <w:tc>
          <w:tcPr>
            <w:tcW w:type="dxa" w:w="3067"/>
            <w:tcMar>
              <w:top w:type="dxa" w:w="80"/>
              <w:left w:type="dxa" w:w="120"/>
              <w:bottom w:type="dxa" w:w="80"/>
              <w:right w:type="dxa" w:w="120"/>
            </w:tcMar>
          </w:tcPr>
          <w:p>
            <w:r>
              <w:rPr>
                <w:b w:val="false"/>
                <w:bCs w:val="false"/>
                <w:sz w:val="19"/>
                <w:szCs w:val="19"/>
              </w:rPr>
              <w:t xml:space="preserve">Linear Regression</w:t>
            </w:r>
          </w:p>
        </w:tc>
        <w:tc>
          <w:tcPr>
            <w:tcW w:type="dxa" w:w="3067"/>
            <w:tcMar>
              <w:top w:type="dxa" w:w="80"/>
              <w:left w:type="dxa" w:w="120"/>
              <w:bottom w:type="dxa" w:w="80"/>
              <w:right w:type="dxa" w:w="120"/>
            </w:tcMar>
          </w:tcPr>
          <w:p>
            <w:r>
              <w:rPr>
                <w:b w:val="false"/>
                <w:bCs w:val="false"/>
                <w:sz w:val="19"/>
                <w:szCs w:val="19"/>
              </w:rPr>
              <w:t xml:space="preserve">0.67</w:t>
            </w:r>
          </w:p>
        </w:tc>
        <w:tc>
          <w:tcPr>
            <w:tcW w:type="dxa" w:w="3066"/>
            <w:tcMar>
              <w:top w:type="dxa" w:w="80"/>
              <w:left w:type="dxa" w:w="120"/>
              <w:bottom w:type="dxa" w:w="80"/>
              <w:right w:type="dxa" w:w="120"/>
            </w:tcMar>
          </w:tcPr>
          <w:p>
            <w:r>
              <w:rPr>
                <w:b w:val="false"/>
                <w:bCs w:val="false"/>
                <w:sz w:val="19"/>
                <w:szCs w:val="19"/>
              </w:rPr>
              <w:t xml:space="preserve">0.542</w:t>
            </w:r>
          </w:p>
        </w:tc>
      </w:tr>
    </w:tbl>
    <w:p>
      <w:pPr>
        <w:spacing w:after="150"/>
      </w:pPr>
    </w:p>
    <w:p>
      <w:pPr>
        <w:spacing w:after="120"/>
      </w:pPr>
      <w:r>
        <w:rPr>
          <w:sz w:val="21"/>
          <w:szCs w:val="21"/>
        </w:rPr>
        <w:t xml:space="preserve">Random Forest was the strongest performer, with an average prediction error under half a day and an R² of 0.68 — explaining roughly two-thirds of the variation in trending duration, a strong result given how much of virality is driven by unmeasurable human/social factors. Notably, XGBoost — often the default choice for tabular data — underperformed here, likely due to being more sensitive to hyperparameter tuning than Random Forest, which performs robustly out-of-the-box. This is treated as a genuine, reportable finding: algorithm choice should be validated empirically, not assumed from general reputation.</w:t>
      </w:r>
    </w:p>
    <w:p>
      <w:pPr>
        <w:pStyle w:val="Heading2"/>
        <w:spacing w:after="100" w:before="200"/>
      </w:pPr>
      <w:r>
        <w:rPr>
          <w:b/>
          <w:bCs/>
          <w:color w:val="1A1A1A"/>
          <w:sz w:val="22"/>
          <w:szCs w:val="22"/>
        </w:rPr>
        <w:t xml:space="preserve">4.3 Feature importance</w:t>
      </w:r>
    </w:p>
    <w:p>
      <w:pPr>
        <w:spacing w:after="120"/>
      </w:pPr>
      <w:r>
        <w:rPr>
          <w:sz w:val="21"/>
          <w:szCs w:val="21"/>
        </w:rPr>
        <w:t xml:space="preserve">The Random Forest model's feature importance ranking placed country (specifically, whether a video was trending in Ireland) as the single most important predictor — ahead of the video's own peak views, best rank, or peak likes. This independently confirms the exploratory finding in Section 3: Ireland's market dynamics are not just a descriptive curiosity but a genuinely predictive signal.</w:t>
      </w:r>
    </w:p>
    <w:p>
      <w:pPr>
        <w:pBdr>
          <w:left w:val="single" w:color="CC0000" w:sz="12" w:space="8"/>
        </w:pBdr>
        <w:spacing w:after="150" w:before="100"/>
        <w:ind w:left="300"/>
      </w:pPr>
      <w:r>
        <w:rPr>
          <w:i/>
          <w:iCs/>
          <w:color w:val="333333"/>
          <w:sz w:val="21"/>
          <w:szCs w:val="21"/>
        </w:rPr>
        <w:t xml:space="preserve">A model trained without any manual steering toward the “Ireland” finding arrived at the same conclusion independently — strengthening confidence that this is a real market effect, not an artifact of how the exploratory analysis happened to be framed.</w:t>
      </w:r>
    </w:p>
    <w:p>
      <w:pPr>
        <w:pStyle w:val="Heading1"/>
        <w:pBdr>
          <w:bottom w:val="single" w:color="CC0000" w:sz="4" w:space="4"/>
        </w:pBdr>
        <w:spacing w:after="150" w:before="300"/>
      </w:pPr>
      <w:r>
        <w:rPr>
          <w:b/>
          <w:bCs/>
          <w:color w:val="1A1A1A"/>
          <w:sz w:val="26"/>
          <w:szCs w:val="26"/>
        </w:rPr>
        <w:t xml:space="preserve">5. Business recommendations</w:t>
      </w:r>
    </w:p>
    <w:p>
      <w:pPr>
        <w:pStyle w:val="ListParagraph"/>
        <w:numPr>
          <w:ilvl w:val="0"/>
          <w:numId w:val="1"/>
        </w:numPr>
        <w:spacing w:after="80"/>
      </w:pPr>
      <w:r>
        <w:rPr>
          <w:sz w:val="21"/>
          <w:szCs w:val="21"/>
        </w:rPr>
        <w:t xml:space="preserve">Investigate whether Ireland's low chart diversity reflects a genuine content supply gap (worth addressing via creator investment) versus authentic audience preference for global hits (which would not warrant intervention).</w:t>
      </w:r>
    </w:p>
    <w:p>
      <w:pPr>
        <w:pStyle w:val="ListParagraph"/>
        <w:numPr>
          <w:ilvl w:val="0"/>
          <w:numId w:val="1"/>
        </w:numPr>
        <w:spacing w:after="80"/>
      </w:pPr>
      <w:r>
        <w:rPr>
          <w:sz w:val="21"/>
          <w:szCs w:val="21"/>
        </w:rPr>
        <w:t xml:space="preserve">Consider a small-scale test: promotional support for a cohort of Irish creators, measuring before/after impact on chart diversity metrics (unique videos, average trending duration) to answer this empirically rather than by assumption.</w:t>
      </w:r>
    </w:p>
    <w:p>
      <w:pPr>
        <w:pStyle w:val="ListParagraph"/>
        <w:numPr>
          <w:ilvl w:val="0"/>
          <w:numId w:val="1"/>
        </w:numPr>
        <w:spacing w:after="80"/>
      </w:pPr>
      <w:r>
        <w:rPr>
          <w:sz w:val="21"/>
          <w:szCs w:val="21"/>
        </w:rPr>
        <w:t xml:space="preserve">Given market (not just content popularity) is a strong predictor of trending longevity, market-specific strategy — rather than a one-size-fits-all global content approach — is justified by this data.</w:t>
      </w:r>
    </w:p>
    <w:p>
      <w:pPr>
        <w:pStyle w:val="ListParagraph"/>
        <w:numPr>
          <w:ilvl w:val="0"/>
          <w:numId w:val="1"/>
        </w:numPr>
        <w:spacing w:after="80"/>
      </w:pPr>
      <w:r>
        <w:rPr>
          <w:sz w:val="21"/>
          <w:szCs w:val="21"/>
        </w:rPr>
        <w:t xml:space="preserve">Extend this analysis to additional small/medium markets to test whether the “small market → lower diversity, higher longevity” pattern generalizes beyond Ireland, which would strengthen the case for a broader market-tiered content strategy.</w:t>
      </w:r>
    </w:p>
    <w:p>
      <w:pPr>
        <w:pStyle w:val="Heading1"/>
        <w:pBdr>
          <w:bottom w:val="single" w:color="CC0000" w:sz="4" w:space="4"/>
        </w:pBdr>
        <w:spacing w:after="150" w:before="300"/>
      </w:pPr>
      <w:r>
        <w:rPr>
          <w:b/>
          <w:bCs/>
          <w:color w:val="1A1A1A"/>
          <w:sz w:val="26"/>
          <w:szCs w:val="26"/>
        </w:rPr>
        <w:t xml:space="preserve">6. Limitations</w:t>
      </w:r>
    </w:p>
    <w:p>
      <w:pPr>
        <w:pStyle w:val="ListParagraph"/>
        <w:numPr>
          <w:ilvl w:val="0"/>
          <w:numId w:val="1"/>
        </w:numPr>
        <w:spacing w:after="80"/>
      </w:pPr>
      <w:r>
        <w:rPr>
          <w:sz w:val="21"/>
          <w:szCs w:val="21"/>
        </w:rPr>
        <w:t xml:space="preserve">Content categorization relies on keyword-matching on titles rather than YouTube's own category taxonomy; ~45% of videos remain in an unclassified “Other” bucket. A production analysis would use platform-native category data or a trained text classifier.</w:t>
      </w:r>
    </w:p>
    <w:p>
      <w:pPr>
        <w:pStyle w:val="ListParagraph"/>
        <w:numPr>
          <w:ilvl w:val="0"/>
          <w:numId w:val="1"/>
        </w:numPr>
        <w:spacing w:after="80"/>
      </w:pPr>
      <w:r>
        <w:rPr>
          <w:sz w:val="21"/>
          <w:szCs w:val="21"/>
        </w:rPr>
        <w:t xml:space="preserve">peak_views and peak_likes are partly a consequence of days_trending itself (longer-trending videos naturally accumulate more views), so some model accuracy reflects this relationship rather than a purely independent, early-warning signal. A stronger follow-up would restrict model features to only those knowable very early in a video's chart lifecycle (e.g. best_rank alone).</w:t>
      </w:r>
    </w:p>
    <w:p>
      <w:pPr>
        <w:pStyle w:val="ListParagraph"/>
        <w:numPr>
          <w:ilvl w:val="0"/>
          <w:numId w:val="1"/>
        </w:numPr>
        <w:spacing w:after="80"/>
      </w:pPr>
      <w:r>
        <w:rPr>
          <w:sz w:val="21"/>
          <w:szCs w:val="21"/>
        </w:rPr>
        <w:t xml:space="preserve">The source dataset updates daily; because this analysis uses a rolling 90-day window, exact figures will shift slightly if the underlying notebook is re-run at a later date. This is expected behavior of live data, not an error.</w:t>
      </w:r>
    </w:p>
    <w:p>
      <w:pPr>
        <w:pStyle w:val="ListParagraph"/>
        <w:numPr>
          <w:ilvl w:val="0"/>
          <w:numId w:val="1"/>
        </w:numPr>
        <w:spacing w:after="80"/>
      </w:pPr>
      <w:r>
        <w:rPr>
          <w:sz w:val="21"/>
          <w:szCs w:val="21"/>
        </w:rPr>
        <w:t xml:space="preserve">Team/sports-specific trending videos (e.g. two team names with no other identifying keyword) are difficult to categorize reliably from titles alone without a full team-name reference list; these are acknowledged as a known gap rather than force-fit into an incorrect category.</w:t>
      </w:r>
    </w:p>
    <w:p>
      <w:pPr>
        <w:pStyle w:val="Heading1"/>
        <w:pBdr>
          <w:bottom w:val="single" w:color="CC0000" w:sz="4" w:space="4"/>
        </w:pBdr>
        <w:spacing w:after="150" w:before="300"/>
      </w:pPr>
      <w:r>
        <w:rPr>
          <w:b/>
          <w:bCs/>
          <w:color w:val="1A1A1A"/>
          <w:sz w:val="26"/>
          <w:szCs w:val="26"/>
        </w:rPr>
        <w:t xml:space="preserve">7. Conclusion</w:t>
      </w:r>
    </w:p>
    <w:p>
      <w:pPr>
        <w:spacing w:after="120"/>
      </w:pPr>
      <w:r>
        <w:rPr>
          <w:sz w:val="21"/>
          <w:szCs w:val="21"/>
        </w:rPr>
        <w:t xml:space="preserve">This analysis combined exploratory data analysis with predictive modeling to answer a genuine business question about market-specific content strategy. The findings were mutually reinforcing across both approaches: Ireland's YouTube trending chart is structurally less diverse and longer-lasting per video than larger markets, and this pattern is strong enough that a machine learning model identified market alone as the single strongest predictor of trending duration — ahead of a video's own popularity metrics. This suggests real strategic value in market-specific content and creator investment decisions, while also highlighting that local content can and does break through despite structural disadvantages, which should temper any assumption that intervention is strictly necessary without further testing.</w:t>
      </w:r>
    </w:p>
    <w:p>
      <w:pPr>
        <w:spacing w:after="120"/>
      </w:pPr>
      <w:r>
        <w:rPr>
          <w:sz w:val="21"/>
          <w:szCs w:val="21"/>
        </w:rPr>
        <w:t xml:space="preserve">Full code, an interactive Power BI dashboard, and this report accompany the project repository.</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2026-07-27T09:36:40.750Z</dcterms:created>
  <dcterms:modified xsi:type="dcterms:W3CDTF">2026-07-27T09:36:40.750Z</dcterms:modified>
</cp:coreProperties>
</file>

<file path=docProps/custom.xml><?xml version="1.0" encoding="utf-8"?>
<Properties xmlns="http://schemas.openxmlformats.org/officeDocument/2006/custom-properties" xmlns:vt="http://schemas.openxmlformats.org/officeDocument/2006/docPropsVTypes"/>
</file>