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3863B9">
      <w:pPr>
        <w:rPr>
          <w:b/>
          <w:sz w:val="40"/>
        </w:rPr>
      </w:pPr>
      <w:r w:rsidRPr="003863B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5904B9" w:rsidRDefault="005904B9">
      <w:pPr>
        <w:spacing w:after="0"/>
      </w:pPr>
    </w:p>
    <w:p w:rsidR="005904B9" w:rsidRDefault="005904B9"/>
    <w:p w:rsidR="005904B9" w:rsidRDefault="00557EF2">
      <w:pPr>
        <w:pStyle w:val="Heading1"/>
      </w:pPr>
      <w:bookmarkStart w:id="0" w:name="_Toc94700167"/>
      <w:bookmarkStart w:id="1" w:name="_Toc94953683"/>
      <w:bookmarkStart w:id="2" w:name="_Toc94953685"/>
      <w:bookmarkStart w:id="3" w:name="_Toc94700169"/>
      <w:bookmarkStart w:id="4" w:name="_Toc94953686"/>
      <w:bookmarkEnd w:id="0"/>
      <w:bookmarkEnd w:id="1"/>
      <w:bookmarkEnd w:id="2"/>
      <w:bookmarkEnd w:id="3"/>
      <w:bookmarkEnd w:id="4"/>
      <w:r>
        <w:br w:type="page"/>
      </w:r>
      <w:bookmarkStart w:id="5" w:name="_Toc192060811"/>
      <w:bookmarkStart w:id="6" w:name="_Toc192643288"/>
      <w:bookmarkStart w:id="7" w:name="_Toc308099971"/>
      <w:r>
        <w:lastRenderedPageBreak/>
        <w:t>Inledning</w:t>
      </w:r>
      <w:bookmarkEnd w:id="5"/>
      <w:bookmarkEnd w:id="6"/>
      <w:bookmarkEnd w:id="7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>” är 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3863B9">
      <w:pPr>
        <w:pStyle w:val="BodyTextIndent"/>
      </w:pPr>
      <w:r>
        <w:pict>
          <v:shape id="_x0000_s3633" type="#_x0000_t202" style="width:222pt;height:265.1pt;mso-position-horizontal-relative:char;mso-position-vertical-relative:line" o:allowincell="f" fillcolor="#ddd">
            <v:textbox style="mso-next-textbox:#_x0000_s3633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Default="004E1E72">
                  <w:pPr>
                    <w:pStyle w:val="Footer"/>
                  </w:pPr>
                  <w:r>
                    <w:t>Stefan Gustanvsson (Mawell),</w:t>
                  </w:r>
                </w:p>
                <w:p w:rsidR="0015793D" w:rsidRDefault="004E1E72">
                  <w:pPr>
                    <w:pStyle w:val="Footer"/>
                  </w:pPr>
                  <w:r>
                    <w:t>Kasper (C</w:t>
                  </w:r>
                  <w:r w:rsidR="00CB6A4B">
                    <w:t>h</w:t>
                  </w:r>
                  <w:r>
                    <w:t>orus)</w:t>
                  </w:r>
                </w:p>
                <w:p w:rsidR="00072F35" w:rsidRDefault="0015793D">
                  <w:pPr>
                    <w:pStyle w:val="Footer"/>
                    <w:rPr>
                      <w:i/>
                    </w:rPr>
                  </w:pPr>
                  <w:r>
                    <w:t>Lars P (SLL).</w:t>
                  </w:r>
                  <w:r w:rsidR="00072F35"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>
        <w:t xml:space="preserve"> behöver.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Verksamhetsmeddelandemodell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A025AD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3863B9">
      <w:pPr>
        <w:rPr>
          <w:rFonts w:ascii="Verdana" w:hAnsi="Verdana"/>
          <w:b/>
        </w:rPr>
      </w:pPr>
      <w:r w:rsidRPr="003863B9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8F189A" w:rsidRDefault="003863B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099971" w:history="1">
        <w:r w:rsidR="008F189A" w:rsidRPr="00601FC9">
          <w:rPr>
            <w:rStyle w:val="Hyperlink"/>
            <w:noProof/>
          </w:rPr>
          <w:t>1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Inledning</w:t>
        </w:r>
        <w:r w:rsidR="008F189A">
          <w:rPr>
            <w:noProof/>
            <w:webHidden/>
          </w:rPr>
          <w:tab/>
        </w:r>
        <w:r w:rsidR="008F189A"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_Toc308099971 \h </w:instrText>
        </w:r>
        <w:r w:rsidR="008F189A">
          <w:rPr>
            <w:noProof/>
            <w:webHidden/>
          </w:rPr>
        </w:r>
        <w:r w:rsidR="008F189A"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2</w:t>
        </w:r>
        <w:r w:rsidR="008F189A"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2" w:history="1">
        <w:r w:rsidRPr="00601FC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3" w:history="1">
        <w:r w:rsidRPr="00601FC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4" w:history="1">
        <w:r w:rsidRPr="00601FC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5" w:history="1">
        <w:r w:rsidRPr="00601FC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6" w:history="1">
        <w:r w:rsidRPr="00601FC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7" w:history="1">
        <w:r w:rsidRPr="00601FC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8" w:history="1">
        <w:r w:rsidRPr="00601FC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9" w:history="1">
        <w:r w:rsidRPr="00601FC9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Remiss 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80" w:history="1">
        <w:r w:rsidRPr="00601FC9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1" w:history="1">
        <w:r w:rsidRPr="00601FC9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Remiss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2" w:history="1">
        <w:r w:rsidRPr="00601FC9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3" w:history="1">
        <w:r w:rsidRPr="00601FC9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Statushändelse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4" w:history="1">
        <w:r w:rsidRPr="00601FC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85" w:history="1">
        <w:r w:rsidRPr="00601FC9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Hämta remiss 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6" w:history="1">
        <w:r w:rsidRPr="00601FC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7" w:history="1">
        <w:r w:rsidRPr="00601FC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8" w:history="1">
        <w:r w:rsidRPr="00601FC9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9" w:history="1">
        <w:r w:rsidRPr="00601FC9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189A" w:rsidRDefault="008F189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90" w:history="1">
        <w:r w:rsidRPr="00601FC9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01FC9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04B9" w:rsidRDefault="003863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3863B9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3863B9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08099972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08099973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>Följande generella SLA-krav gäller för tjänsteproducenter av dessa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099974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099975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08099976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099977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>
        <w:tc>
          <w:tcPr>
            <w:tcW w:w="2501" w:type="dxa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>
            <w:r>
              <w:t>Information om förändring av status på remissen, dvs var någon 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099978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099979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p w:rsidR="005904B9" w:rsidRDefault="00DC62ED">
      <w:r>
        <w:rPr>
          <w:noProof/>
        </w:rPr>
        <w:drawing>
          <wp:inline distT="0" distB="0" distL="0" distR="0">
            <wp:extent cx="5677535" cy="1956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A025AD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08099980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831A07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08099981"/>
      <w:r>
        <w:t>Remiss</w:t>
      </w:r>
      <w:bookmarkEnd w:id="53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523E37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.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0662E7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komplettering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kommer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 av framställan anger här att komplettering av t.ex. remissens innehåll kommer att ske, t.ex. då man tagit ett kreatininprov och kommer att skicka svaret som behövs innan undersökningen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  <w:p w:rsidR="00FC5290" w:rsidRPr="0057096A" w:rsidRDefault="00FC5290" w:rsidP="006B22C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enhet/proces /adress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enhet/process /telefonnummer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051ACC" w:rsidRPr="0057096A" w:rsidRDefault="00051ACC" w:rsidP="00051AC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453FB8" w:rsidRPr="0057096A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185E06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AA49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m</w:t>
            </w:r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>ottagande</w:t>
            </w:r>
            <w:proofErr w:type="spellEnd"/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 </w:t>
            </w:r>
            <w:proofErr w:type="spellStart"/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AD34CF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57096A" w:rsidRDefault="00F9304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 </w:t>
            </w: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77686D" w:rsidRDefault="00D63975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77686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Källsystem</w:t>
            </w:r>
            <w:proofErr w:type="spellEnd"/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A26422">
      <w:pPr>
        <w:pStyle w:val="Heading3"/>
        <w:ind w:left="1304" w:hanging="1304"/>
      </w:pPr>
      <w:bookmarkStart w:id="54" w:name="_Toc308099982"/>
      <w:bookmarkEnd w:id="49"/>
      <w:bookmarkEnd w:id="50"/>
      <w:r>
        <w:t>Patient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ED64CB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t>Förnamn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lastRenderedPageBreak/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AE55F7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Efternamn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1"/>
      <w:bookmarkEnd w:id="52"/>
    </w:p>
    <w:p w:rsidR="00FB59EC" w:rsidRDefault="00FB59EC" w:rsidP="00FB59EC">
      <w:pPr>
        <w:pStyle w:val="Heading3"/>
        <w:ind w:left="1304" w:hanging="1304"/>
      </w:pPr>
      <w:bookmarkStart w:id="56" w:name="_Toc308099983"/>
      <w:r>
        <w:t>Statushändelse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235BB0">
        <w:t>Statushändelse</w:t>
      </w:r>
      <w:r>
        <w:t>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Status-kod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Pr="00575FAF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  <w:t>Remiss-svar</w:t>
            </w:r>
          </w:p>
        </w:tc>
        <w:tc>
          <w:tcPr>
            <w:tcW w:w="3285" w:type="dxa"/>
          </w:tcPr>
          <w:p w:rsidR="00F86406" w:rsidRPr="00575FAF" w:rsidRDefault="003C502B" w:rsidP="00E5676E">
            <w:pPr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TODO: Behövs detta, med status-kod så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kan regel avgöra om det är ett svar eller inte (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dvs </w:t>
            </w:r>
            <w:r w:rsidR="00B61CC0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status anger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var någonstans i processen som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lastRenderedPageBreak/>
              <w:t>remissen befinner sig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).</w:t>
            </w:r>
          </w:p>
        </w:tc>
        <w:tc>
          <w:tcPr>
            <w:tcW w:w="854" w:type="dxa"/>
          </w:tcPr>
          <w:p w:rsidR="00F86406" w:rsidRDefault="00843565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lastRenderedPageBreak/>
              <w:t>BL</w:t>
            </w:r>
          </w:p>
        </w:tc>
        <w:tc>
          <w:tcPr>
            <w:tcW w:w="694" w:type="dxa"/>
          </w:tcPr>
          <w:p w:rsidR="00F86406" w:rsidRDefault="00F86406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lastRenderedPageBreak/>
              <w:t>Händelsetid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464192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099984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099985"/>
      <w:r>
        <w:t>Hämta remiss status</w:t>
      </w:r>
      <w:r w:rsidR="005C11CF">
        <w:t>ar</w:t>
      </w:r>
      <w:bookmarkEnd w:id="58"/>
    </w:p>
    <w:p w:rsidR="00EB3F2D" w:rsidRDefault="00EB3F2D" w:rsidP="00EB3F2D">
      <w:r>
        <w:t>Indata</w:t>
      </w:r>
    </w:p>
    <w:p w:rsidR="00EB3F2D" w:rsidRDefault="00983D7B" w:rsidP="00EB3F2D">
      <w:r>
        <w:rPr>
          <w:noProof/>
        </w:rPr>
        <w:drawing>
          <wp:inline distT="0" distB="0" distL="0" distR="0">
            <wp:extent cx="1021715" cy="74993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EB3F2D" w:rsidRDefault="00EB3F2D" w:rsidP="00EB3F2D">
      <w:r>
        <w:t>Utdata</w:t>
      </w:r>
    </w:p>
    <w:p w:rsidR="005904B9" w:rsidRDefault="00351BD1">
      <w:r w:rsidRPr="00351BD1">
        <w:rPr>
          <w:noProof/>
        </w:rPr>
        <w:drawing>
          <wp:inline distT="0" distB="0" distL="0" distR="0">
            <wp:extent cx="5816009" cy="229496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99" cy="22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511528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099986"/>
      <w:r>
        <w:lastRenderedPageBreak/>
        <w:t>Termer och definitioner</w:t>
      </w:r>
      <w:bookmarkEnd w:id="47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140822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08099987"/>
      <w:bookmarkEnd w:id="61"/>
      <w:bookmarkEnd w:id="62"/>
      <w:bookmarkEnd w:id="63"/>
      <w:bookmarkEnd w:id="64"/>
      <w:bookmarkEnd w:id="65"/>
      <w:bookmarkEnd w:id="66"/>
      <w:bookmarkEnd w:id="67"/>
      <w:r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9052D">
        <w:tc>
          <w:tcPr>
            <w:tcW w:w="2235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2784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883AB2" w:rsidRDefault="004F2E32" w:rsidP="00883AB2">
      <w:pPr>
        <w:pStyle w:val="Heading3"/>
      </w:pPr>
      <w:r>
        <w:t xml:space="preserve"> </w:t>
      </w:r>
      <w:bookmarkStart w:id="78" w:name="_Toc308099988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Bedömaren har begärt ytterligare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lastRenderedPageBreak/>
              <w:t>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lastRenderedPageBreak/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</w:t>
            </w:r>
            <w:r w:rsidR="008C5712"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511528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A025AD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099989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4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E6DDF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099990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315087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21E" w:rsidRDefault="0021021E">
      <w:r>
        <w:separator/>
      </w:r>
    </w:p>
  </w:endnote>
  <w:endnote w:type="continuationSeparator" w:id="0">
    <w:p w:rsidR="0021021E" w:rsidRDefault="002102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21E" w:rsidRDefault="0021021E"/>
  </w:footnote>
  <w:footnote w:type="continuationSeparator" w:id="0">
    <w:p w:rsidR="0021021E" w:rsidRDefault="002102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3863B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3863B9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8F189A">
            <w:rPr>
              <w:rStyle w:val="PageNumber"/>
              <w:rFonts w:ascii="Arial" w:hAnsi="Arial"/>
              <w:noProof/>
              <w:sz w:val="20"/>
            </w:rPr>
            <w:t>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8F189A">
            <w:rPr>
              <w:rStyle w:val="PageNumber"/>
              <w:rFonts w:ascii="Arial" w:hAnsi="Arial"/>
              <w:noProof/>
              <w:sz w:val="20"/>
            </w:rPr>
            <w:t>22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072F35" w:rsidP="005C604F">
          <w:pPr>
            <w:pStyle w:val="Header"/>
            <w:numPr>
              <w:ins w:id="8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0.1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5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4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5"/>
  </w:num>
  <w:num w:numId="20">
    <w:abstractNumId w:val="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63490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4FC5"/>
    <w:rsid w:val="000162AF"/>
    <w:rsid w:val="000206EA"/>
    <w:rsid w:val="00023E88"/>
    <w:rsid w:val="00025861"/>
    <w:rsid w:val="00030FB1"/>
    <w:rsid w:val="000479BF"/>
    <w:rsid w:val="00051ACC"/>
    <w:rsid w:val="000639E0"/>
    <w:rsid w:val="00064956"/>
    <w:rsid w:val="000662E7"/>
    <w:rsid w:val="00072F35"/>
    <w:rsid w:val="000817CC"/>
    <w:rsid w:val="000846E1"/>
    <w:rsid w:val="0009052D"/>
    <w:rsid w:val="0009104A"/>
    <w:rsid w:val="000A07F3"/>
    <w:rsid w:val="000B5534"/>
    <w:rsid w:val="000C42CE"/>
    <w:rsid w:val="000D2B06"/>
    <w:rsid w:val="0011447E"/>
    <w:rsid w:val="001234CD"/>
    <w:rsid w:val="001238A1"/>
    <w:rsid w:val="00135A8E"/>
    <w:rsid w:val="00140822"/>
    <w:rsid w:val="001448C2"/>
    <w:rsid w:val="0015793D"/>
    <w:rsid w:val="00170B69"/>
    <w:rsid w:val="001816EE"/>
    <w:rsid w:val="00185E06"/>
    <w:rsid w:val="001866F5"/>
    <w:rsid w:val="001B5D96"/>
    <w:rsid w:val="001C70AD"/>
    <w:rsid w:val="001D2C56"/>
    <w:rsid w:val="001D38D0"/>
    <w:rsid w:val="001D7527"/>
    <w:rsid w:val="001E4CED"/>
    <w:rsid w:val="001E5150"/>
    <w:rsid w:val="001F658B"/>
    <w:rsid w:val="0021020F"/>
    <w:rsid w:val="0021021E"/>
    <w:rsid w:val="00214E83"/>
    <w:rsid w:val="002163E7"/>
    <w:rsid w:val="00221349"/>
    <w:rsid w:val="00224268"/>
    <w:rsid w:val="00235BB0"/>
    <w:rsid w:val="00240F47"/>
    <w:rsid w:val="00262292"/>
    <w:rsid w:val="002629F8"/>
    <w:rsid w:val="00273B27"/>
    <w:rsid w:val="00283445"/>
    <w:rsid w:val="00297CB3"/>
    <w:rsid w:val="002A07F7"/>
    <w:rsid w:val="002C6C2E"/>
    <w:rsid w:val="002D19E0"/>
    <w:rsid w:val="002D1FB1"/>
    <w:rsid w:val="002E3B58"/>
    <w:rsid w:val="002F2D9D"/>
    <w:rsid w:val="002F56B5"/>
    <w:rsid w:val="0031330B"/>
    <w:rsid w:val="00315087"/>
    <w:rsid w:val="0033247F"/>
    <w:rsid w:val="00340BBE"/>
    <w:rsid w:val="00340F02"/>
    <w:rsid w:val="00351BD1"/>
    <w:rsid w:val="00356243"/>
    <w:rsid w:val="003650CE"/>
    <w:rsid w:val="00380BFF"/>
    <w:rsid w:val="00381505"/>
    <w:rsid w:val="003863B9"/>
    <w:rsid w:val="00392637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72973"/>
    <w:rsid w:val="0048084C"/>
    <w:rsid w:val="00497E97"/>
    <w:rsid w:val="004C52C0"/>
    <w:rsid w:val="004D0F34"/>
    <w:rsid w:val="004E1E72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70EE"/>
    <w:rsid w:val="0057096A"/>
    <w:rsid w:val="00571BD0"/>
    <w:rsid w:val="00575FAF"/>
    <w:rsid w:val="005814A8"/>
    <w:rsid w:val="005904B9"/>
    <w:rsid w:val="005C11CF"/>
    <w:rsid w:val="005C604F"/>
    <w:rsid w:val="005D31E4"/>
    <w:rsid w:val="005E3B54"/>
    <w:rsid w:val="005E7636"/>
    <w:rsid w:val="00603744"/>
    <w:rsid w:val="00607911"/>
    <w:rsid w:val="00614DA8"/>
    <w:rsid w:val="00615E32"/>
    <w:rsid w:val="00621A2F"/>
    <w:rsid w:val="00626AF0"/>
    <w:rsid w:val="006317C0"/>
    <w:rsid w:val="00641E0C"/>
    <w:rsid w:val="00656173"/>
    <w:rsid w:val="00685D34"/>
    <w:rsid w:val="0069521B"/>
    <w:rsid w:val="006A7D57"/>
    <w:rsid w:val="006B22CA"/>
    <w:rsid w:val="006B603C"/>
    <w:rsid w:val="006D5026"/>
    <w:rsid w:val="006E16F4"/>
    <w:rsid w:val="006E3279"/>
    <w:rsid w:val="006E6DDF"/>
    <w:rsid w:val="006F02BC"/>
    <w:rsid w:val="006F2BD5"/>
    <w:rsid w:val="006F5C94"/>
    <w:rsid w:val="00741D54"/>
    <w:rsid w:val="007508C8"/>
    <w:rsid w:val="00754F25"/>
    <w:rsid w:val="007602C0"/>
    <w:rsid w:val="0076154E"/>
    <w:rsid w:val="007637F9"/>
    <w:rsid w:val="00766037"/>
    <w:rsid w:val="0077686D"/>
    <w:rsid w:val="00792A59"/>
    <w:rsid w:val="0079479D"/>
    <w:rsid w:val="007A6EE6"/>
    <w:rsid w:val="007B24B1"/>
    <w:rsid w:val="007B5C71"/>
    <w:rsid w:val="007B6C55"/>
    <w:rsid w:val="007C76B1"/>
    <w:rsid w:val="007D4F0A"/>
    <w:rsid w:val="007E5858"/>
    <w:rsid w:val="007F6E4C"/>
    <w:rsid w:val="00806C49"/>
    <w:rsid w:val="00822D95"/>
    <w:rsid w:val="00831A07"/>
    <w:rsid w:val="008404CB"/>
    <w:rsid w:val="0084220C"/>
    <w:rsid w:val="00843565"/>
    <w:rsid w:val="008470F9"/>
    <w:rsid w:val="008523FC"/>
    <w:rsid w:val="00865D5F"/>
    <w:rsid w:val="0087627F"/>
    <w:rsid w:val="00883AB2"/>
    <w:rsid w:val="008C5712"/>
    <w:rsid w:val="008F189A"/>
    <w:rsid w:val="008F3F8B"/>
    <w:rsid w:val="008F52D7"/>
    <w:rsid w:val="009037BC"/>
    <w:rsid w:val="00904516"/>
    <w:rsid w:val="00914509"/>
    <w:rsid w:val="00915F3E"/>
    <w:rsid w:val="00925616"/>
    <w:rsid w:val="009321C1"/>
    <w:rsid w:val="009356A7"/>
    <w:rsid w:val="0094779F"/>
    <w:rsid w:val="009517D6"/>
    <w:rsid w:val="00952C21"/>
    <w:rsid w:val="00952C39"/>
    <w:rsid w:val="009559B2"/>
    <w:rsid w:val="00960A08"/>
    <w:rsid w:val="00975F47"/>
    <w:rsid w:val="00983D7B"/>
    <w:rsid w:val="00986E16"/>
    <w:rsid w:val="009A1584"/>
    <w:rsid w:val="009A6CAF"/>
    <w:rsid w:val="009A6E58"/>
    <w:rsid w:val="009B1D8D"/>
    <w:rsid w:val="009B7202"/>
    <w:rsid w:val="009C46A2"/>
    <w:rsid w:val="009C67C3"/>
    <w:rsid w:val="009E2BCB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36815"/>
    <w:rsid w:val="00B41CE0"/>
    <w:rsid w:val="00B41D84"/>
    <w:rsid w:val="00B460D2"/>
    <w:rsid w:val="00B561CD"/>
    <w:rsid w:val="00B609C4"/>
    <w:rsid w:val="00B61CC0"/>
    <w:rsid w:val="00B82002"/>
    <w:rsid w:val="00B841BE"/>
    <w:rsid w:val="00B84FFC"/>
    <w:rsid w:val="00B85D44"/>
    <w:rsid w:val="00BA01DD"/>
    <w:rsid w:val="00BB47D3"/>
    <w:rsid w:val="00BC4359"/>
    <w:rsid w:val="00BC7EC9"/>
    <w:rsid w:val="00BD1D92"/>
    <w:rsid w:val="00BD6DA9"/>
    <w:rsid w:val="00BF0B3D"/>
    <w:rsid w:val="00BF4140"/>
    <w:rsid w:val="00C0307E"/>
    <w:rsid w:val="00C04DE5"/>
    <w:rsid w:val="00C54E90"/>
    <w:rsid w:val="00C77166"/>
    <w:rsid w:val="00C80CAB"/>
    <w:rsid w:val="00C927C6"/>
    <w:rsid w:val="00CB6A4B"/>
    <w:rsid w:val="00CD4624"/>
    <w:rsid w:val="00CD67DB"/>
    <w:rsid w:val="00CF4D67"/>
    <w:rsid w:val="00CF6640"/>
    <w:rsid w:val="00D06D98"/>
    <w:rsid w:val="00D23AA6"/>
    <w:rsid w:val="00D43D77"/>
    <w:rsid w:val="00D56030"/>
    <w:rsid w:val="00D63975"/>
    <w:rsid w:val="00DB4052"/>
    <w:rsid w:val="00DC62ED"/>
    <w:rsid w:val="00DD5AFC"/>
    <w:rsid w:val="00DE01A8"/>
    <w:rsid w:val="00DF6F2D"/>
    <w:rsid w:val="00E3406C"/>
    <w:rsid w:val="00E35153"/>
    <w:rsid w:val="00E411B3"/>
    <w:rsid w:val="00E44511"/>
    <w:rsid w:val="00E5676E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D1A49"/>
    <w:rsid w:val="00ED64CB"/>
    <w:rsid w:val="00EE15F4"/>
    <w:rsid w:val="00EE7CAC"/>
    <w:rsid w:val="00F16CDE"/>
    <w:rsid w:val="00F171D6"/>
    <w:rsid w:val="00F26F5B"/>
    <w:rsid w:val="00F377B1"/>
    <w:rsid w:val="00F534F3"/>
    <w:rsid w:val="00F7278E"/>
    <w:rsid w:val="00F81BDC"/>
    <w:rsid w:val="00F86406"/>
    <w:rsid w:val="00F91695"/>
    <w:rsid w:val="00F91882"/>
    <w:rsid w:val="00F91B3F"/>
    <w:rsid w:val="00F9304A"/>
    <w:rsid w:val="00FA3C2A"/>
    <w:rsid w:val="00FB1193"/>
    <w:rsid w:val="00FB4611"/>
    <w:rsid w:val="00FB59EC"/>
    <w:rsid w:val="00FC15D9"/>
    <w:rsid w:val="00FC3720"/>
    <w:rsid w:val="00FC5071"/>
    <w:rsid w:val="00FC5290"/>
    <w:rsid w:val="00FE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arkitekturledningen.se/undermappar/Dokument/V-TIM_v2_091013_English_attributes.pdf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ISO_86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42AC8-FF46-47FD-B358-AF271EAF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407</TotalTime>
  <Pages>22</Pages>
  <Words>2503</Words>
  <Characters>13269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15741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Kristin Schoug</dc:creator>
  <cp:lastModifiedBy>Robert Georén</cp:lastModifiedBy>
  <cp:revision>241</cp:revision>
  <cp:lastPrinted>2011-11-03T09:23:00Z</cp:lastPrinted>
  <dcterms:created xsi:type="dcterms:W3CDTF">2010-04-20T16:23:00Z</dcterms:created>
  <dcterms:modified xsi:type="dcterms:W3CDTF">2011-11-03T15:10:00Z</dcterms:modified>
</cp:coreProperties>
</file>