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6DE7B3CE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193AD8">
        <w:rPr>
          <w:sz w:val="36"/>
          <w:szCs w:val="36"/>
        </w:rPr>
        <w:t>1.0.</w:t>
      </w:r>
      <w:r w:rsidR="00FD3D7C">
        <w:rPr>
          <w:sz w:val="36"/>
          <w:szCs w:val="36"/>
        </w:rPr>
        <w:t>RC3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4FFB883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9B31C6">
        <w:rPr>
          <w:sz w:val="36"/>
          <w:szCs w:val="36"/>
        </w:rPr>
        <w:t>20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368FC636" w14:textId="77777777" w:rsidR="00A35B79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1146" w:history="1">
        <w:r w:rsidR="00A35B79" w:rsidRPr="00107297">
          <w:rPr>
            <w:rStyle w:val="Hyperlnk"/>
          </w:rPr>
          <w:t>1.</w:t>
        </w:r>
        <w:r w:rsidR="00A35B79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A35B79" w:rsidRPr="00107297">
          <w:rPr>
            <w:rStyle w:val="Hyperlnk"/>
          </w:rPr>
          <w:t>Inledning</w:t>
        </w:r>
        <w:r w:rsidR="00A35B79">
          <w:rPr>
            <w:webHidden/>
          </w:rPr>
          <w:tab/>
        </w:r>
        <w:r w:rsidR="00A35B79">
          <w:rPr>
            <w:webHidden/>
          </w:rPr>
          <w:fldChar w:fldCharType="begin"/>
        </w:r>
        <w:r w:rsidR="00A35B79">
          <w:rPr>
            <w:webHidden/>
          </w:rPr>
          <w:instrText xml:space="preserve"> PAGEREF _Toc380691146 \h </w:instrText>
        </w:r>
        <w:r w:rsidR="00A35B79">
          <w:rPr>
            <w:webHidden/>
          </w:rPr>
        </w:r>
        <w:r w:rsidR="00A35B79">
          <w:rPr>
            <w:webHidden/>
          </w:rPr>
          <w:fldChar w:fldCharType="separate"/>
        </w:r>
        <w:r w:rsidR="00A35B79">
          <w:rPr>
            <w:webHidden/>
          </w:rPr>
          <w:t>4</w:t>
        </w:r>
        <w:r w:rsidR="00A35B79">
          <w:rPr>
            <w:webHidden/>
          </w:rPr>
          <w:fldChar w:fldCharType="end"/>
        </w:r>
      </w:hyperlink>
    </w:p>
    <w:p w14:paraId="44B3C4A2" w14:textId="77777777" w:rsidR="00A35B79" w:rsidRDefault="00A92E0C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7" w:history="1">
        <w:r w:rsidR="00A35B79" w:rsidRPr="00107297">
          <w:rPr>
            <w:rStyle w:val="Hyperlnk"/>
            <w:noProof/>
          </w:rPr>
          <w:t>1.1.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Syfte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_Toc380691147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4</w:t>
        </w:r>
        <w:r w:rsidR="00A35B79">
          <w:rPr>
            <w:noProof/>
            <w:webHidden/>
          </w:rPr>
          <w:fldChar w:fldCharType="end"/>
        </w:r>
      </w:hyperlink>
    </w:p>
    <w:p w14:paraId="3F8B4B7A" w14:textId="77777777" w:rsidR="00A35B79" w:rsidRDefault="00A92E0C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48" w:history="1">
        <w:r w:rsidR="00A35B79" w:rsidRPr="00107297">
          <w:rPr>
            <w:rStyle w:val="Hyperlnk"/>
            <w:noProof/>
          </w:rPr>
          <w:t>1.2.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Begrepp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_Toc380691148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4</w:t>
        </w:r>
        <w:r w:rsidR="00A35B79">
          <w:rPr>
            <w:noProof/>
            <w:webHidden/>
          </w:rPr>
          <w:fldChar w:fldCharType="end"/>
        </w:r>
      </w:hyperlink>
    </w:p>
    <w:p w14:paraId="5DDB4BE1" w14:textId="77777777" w:rsidR="00A35B79" w:rsidRDefault="00A92E0C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1149" w:history="1">
        <w:r w:rsidR="00A35B79" w:rsidRPr="00107297">
          <w:rPr>
            <w:rStyle w:val="Hyperlnk"/>
          </w:rPr>
          <w:t>2.</w:t>
        </w:r>
        <w:r w:rsidR="00A35B79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A35B79" w:rsidRPr="00107297">
          <w:rPr>
            <w:rStyle w:val="Hyperlnk"/>
          </w:rPr>
          <w:t>Arkitekturella beslut</w:t>
        </w:r>
        <w:r w:rsidR="00A35B79">
          <w:rPr>
            <w:webHidden/>
          </w:rPr>
          <w:tab/>
        </w:r>
        <w:r w:rsidR="00A35B79">
          <w:rPr>
            <w:webHidden/>
          </w:rPr>
          <w:fldChar w:fldCharType="begin"/>
        </w:r>
        <w:r w:rsidR="00A35B79">
          <w:rPr>
            <w:webHidden/>
          </w:rPr>
          <w:instrText xml:space="preserve"> PAGEREF _Toc380691149 \h </w:instrText>
        </w:r>
        <w:r w:rsidR="00A35B79">
          <w:rPr>
            <w:webHidden/>
          </w:rPr>
        </w:r>
        <w:r w:rsidR="00A35B79">
          <w:rPr>
            <w:webHidden/>
          </w:rPr>
          <w:fldChar w:fldCharType="separate"/>
        </w:r>
        <w:r w:rsidR="00A35B79">
          <w:rPr>
            <w:webHidden/>
          </w:rPr>
          <w:t>5</w:t>
        </w:r>
        <w:r w:rsidR="00A35B79">
          <w:rPr>
            <w:webHidden/>
          </w:rPr>
          <w:fldChar w:fldCharType="end"/>
        </w:r>
      </w:hyperlink>
    </w:p>
    <w:p w14:paraId="40FAD84C" w14:textId="77777777" w:rsidR="00A35B79" w:rsidRDefault="00A92E0C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0" w:history="1">
        <w:r w:rsidR="00A35B79" w:rsidRPr="00107297">
          <w:rPr>
            <w:rStyle w:val="Hyperlnk"/>
            <w:noProof/>
          </w:rPr>
          <w:t>2.1.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AB: Beslut om typ av tjänstekontrakt som behöver utvecklas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_Toc380691150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5</w:t>
        </w:r>
        <w:r w:rsidR="00A35B79">
          <w:rPr>
            <w:noProof/>
            <w:webHidden/>
          </w:rPr>
          <w:fldChar w:fldCharType="end"/>
        </w:r>
      </w:hyperlink>
    </w:p>
    <w:p w14:paraId="7248A21D" w14:textId="77777777" w:rsidR="00A35B79" w:rsidRDefault="00A92E0C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1151" w:history="1">
        <w:r w:rsidR="00A35B79" w:rsidRPr="00107297">
          <w:rPr>
            <w:rStyle w:val="Hyperlnk"/>
            <w:noProof/>
          </w:rPr>
          <w:t>2.2.</w:t>
        </w:r>
        <w:r w:rsidR="00A35B79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A35B79" w:rsidRPr="00107297">
          <w:rPr>
            <w:rStyle w:val="Hyperlnk"/>
            <w:noProof/>
          </w:rPr>
          <w:t>AB: Beslut om ej behov av aggregerande tjänst</w:t>
        </w:r>
        <w:r w:rsidR="00A35B79">
          <w:rPr>
            <w:noProof/>
            <w:webHidden/>
          </w:rPr>
          <w:tab/>
        </w:r>
        <w:r w:rsidR="00A35B79">
          <w:rPr>
            <w:noProof/>
            <w:webHidden/>
          </w:rPr>
          <w:fldChar w:fldCharType="begin"/>
        </w:r>
        <w:r w:rsidR="00A35B79">
          <w:rPr>
            <w:noProof/>
            <w:webHidden/>
          </w:rPr>
          <w:instrText xml:space="preserve"> PAGEREF _Toc380691151 \h </w:instrText>
        </w:r>
        <w:r w:rsidR="00A35B79">
          <w:rPr>
            <w:noProof/>
            <w:webHidden/>
          </w:rPr>
        </w:r>
        <w:r w:rsidR="00A35B79">
          <w:rPr>
            <w:noProof/>
            <w:webHidden/>
          </w:rPr>
          <w:fldChar w:fldCharType="separate"/>
        </w:r>
        <w:r w:rsidR="00A35B79">
          <w:rPr>
            <w:noProof/>
            <w:webHidden/>
          </w:rPr>
          <w:t>6</w:t>
        </w:r>
        <w:r w:rsidR="00A35B79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193AD8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5957F31C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66E7D64" w:rsidR="001A4DD6" w:rsidRDefault="001A4DD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  <w:tr w:rsidR="009B31C6" w:rsidRPr="009B31C6" w14:paraId="53C8BDA9" w14:textId="77777777" w:rsidTr="00933E2C">
        <w:tc>
          <w:tcPr>
            <w:tcW w:w="964" w:type="dxa"/>
          </w:tcPr>
          <w:p w14:paraId="1AA6BC87" w14:textId="5720E7EA" w:rsidR="009B31C6" w:rsidRDefault="009B31C6" w:rsidP="00933E2C">
            <w:pPr>
              <w:pStyle w:val="TableText"/>
              <w:ind w:right="0"/>
              <w:jc w:val="center"/>
            </w:pPr>
            <w:r>
              <w:t>RC2</w:t>
            </w:r>
          </w:p>
        </w:tc>
        <w:tc>
          <w:tcPr>
            <w:tcW w:w="1224" w:type="dxa"/>
          </w:tcPr>
          <w:p w14:paraId="099B4A08" w14:textId="246DEEF3" w:rsidR="009B31C6" w:rsidRDefault="009B31C6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2573D738" w14:textId="300F4636" w:rsidR="009B31C6" w:rsidRDefault="009B31C6" w:rsidP="00B52C0D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Addera</w:t>
            </w:r>
            <w:r w:rsidR="008E5511">
              <w:rPr>
                <w:lang w:val="sv-SE"/>
              </w:rPr>
              <w:t>t notering/beslut om att aggregerad tjä</w:t>
            </w:r>
            <w:r>
              <w:rPr>
                <w:lang w:val="sv-SE"/>
              </w:rPr>
              <w:t>nst inte behövs</w:t>
            </w:r>
          </w:p>
        </w:tc>
        <w:tc>
          <w:tcPr>
            <w:tcW w:w="1980" w:type="dxa"/>
          </w:tcPr>
          <w:p w14:paraId="68144FAA" w14:textId="1EFE3AA1" w:rsidR="009B31C6" w:rsidRPr="009B31C6" w:rsidRDefault="009B31C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6E41222B" w14:textId="77777777" w:rsidR="009B31C6" w:rsidRPr="009B31C6" w:rsidRDefault="009B31C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FD3D7C" w:rsidRPr="009B31C6" w14:paraId="1D0A4E61" w14:textId="77777777" w:rsidTr="00933E2C">
        <w:tc>
          <w:tcPr>
            <w:tcW w:w="964" w:type="dxa"/>
          </w:tcPr>
          <w:p w14:paraId="55301393" w14:textId="6CE9D33B" w:rsidR="00FD3D7C" w:rsidRDefault="00193AD8" w:rsidP="00933E2C">
            <w:pPr>
              <w:pStyle w:val="TableText"/>
              <w:ind w:right="0"/>
              <w:jc w:val="center"/>
            </w:pPr>
            <w:r>
              <w:t>1.0.</w:t>
            </w:r>
            <w:bookmarkStart w:id="1" w:name="_GoBack"/>
            <w:bookmarkEnd w:id="1"/>
            <w:r w:rsidR="00FD3D7C">
              <w:t>RC3</w:t>
            </w:r>
          </w:p>
        </w:tc>
        <w:tc>
          <w:tcPr>
            <w:tcW w:w="1224" w:type="dxa"/>
          </w:tcPr>
          <w:p w14:paraId="306BD714" w14:textId="1B5174C2" w:rsidR="00FD3D7C" w:rsidRDefault="00FD3D7C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3426EA97" w14:textId="33E301E2" w:rsidR="00FD3D7C" w:rsidRDefault="00FD3D7C" w:rsidP="00FD3D7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stavfel</w:t>
            </w:r>
          </w:p>
        </w:tc>
        <w:tc>
          <w:tcPr>
            <w:tcW w:w="1980" w:type="dxa"/>
          </w:tcPr>
          <w:p w14:paraId="540271E7" w14:textId="26CC1757" w:rsidR="00FD3D7C" w:rsidRDefault="00FD3D7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7CD89CF5" w14:textId="77777777" w:rsidR="00FD3D7C" w:rsidRPr="009B31C6" w:rsidRDefault="00FD3D7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Pr="009B31C6" w:rsidRDefault="00933E2C" w:rsidP="00933E2C"/>
    <w:p w14:paraId="1DB9AAC2" w14:textId="77777777" w:rsidR="00933E2C" w:rsidRDefault="00933E2C" w:rsidP="00933E2C">
      <w:pPr>
        <w:rPr>
          <w:b/>
        </w:rPr>
      </w:pPr>
      <w:bookmarkStart w:id="2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1146"/>
      <w:r w:rsidRPr="00C62266">
        <w:lastRenderedPageBreak/>
        <w:t>Inledning</w:t>
      </w:r>
      <w:bookmarkEnd w:id="2"/>
      <w:bookmarkEnd w:id="3"/>
    </w:p>
    <w:p w14:paraId="5FAED2B9" w14:textId="0D3BEC93" w:rsidR="00582A1F" w:rsidRDefault="00933E2C" w:rsidP="00933E2C">
      <w:r>
        <w:t xml:space="preserve">Detta dokument beskriver de viktiga arkitekturella beslut (AB) som fattats under </w:t>
      </w:r>
      <w:r w:rsidR="001D2365">
        <w:t xml:space="preserve">utvecklingen av </w:t>
      </w:r>
      <w:r w:rsidR="00DF5CB9" w:rsidRPr="00A568B0">
        <w:t>Get</w:t>
      </w:r>
      <w:r w:rsidR="00DF5CB9">
        <w:t>RheumatoidArthritis</w:t>
      </w:r>
      <w:r w:rsidR="00DF5CB9" w:rsidRPr="00A568B0">
        <w:t>Data</w:t>
      </w:r>
      <w:r w:rsidR="00DF5CB9">
        <w:t xml:space="preserve"> </w:t>
      </w:r>
      <w:r w:rsidR="001D2365">
        <w:t>-kontraktet</w:t>
      </w:r>
      <w:r w:rsidR="00DF5CB9">
        <w:t>.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>Ett arkitekturellt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4" w:name="_Toc264866304"/>
      <w:bookmarkStart w:id="5" w:name="_Toc185913452"/>
      <w:bookmarkStart w:id="6" w:name="_Toc380691147"/>
      <w:r w:rsidRPr="001F2F8E">
        <w:t>Syfte</w:t>
      </w:r>
      <w:bookmarkEnd w:id="4"/>
      <w:bookmarkEnd w:id="5"/>
      <w:bookmarkEnd w:id="6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Etablera en enda plats där alla viktiga arkitekturella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7" w:name="_Toc380691148"/>
      <w:r w:rsidRPr="001F2F8E">
        <w:t>Begrepp</w:t>
      </w:r>
      <w:bookmarkEnd w:id="7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9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88"/>
        <w:gridCol w:w="3516"/>
      </w:tblGrid>
      <w:tr w:rsidR="00933E2C" w14:paraId="76D03EF7" w14:textId="77777777" w:rsidTr="00050477">
        <w:trPr>
          <w:trHeight w:val="338"/>
        </w:trPr>
        <w:tc>
          <w:tcPr>
            <w:tcW w:w="1985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58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050477">
        <w:trPr>
          <w:trHeight w:val="351"/>
        </w:trPr>
        <w:tc>
          <w:tcPr>
            <w:tcW w:w="1985" w:type="dxa"/>
          </w:tcPr>
          <w:p w14:paraId="2E0C8870" w14:textId="559F76FB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r</w:t>
            </w:r>
            <w:r w:rsidR="009461AC" w:rsidRPr="00DB301D">
              <w:rPr>
                <w:lang w:val="sv-SE"/>
              </w:rPr>
              <w:t>eumatismdata</w:t>
            </w:r>
          </w:p>
        </w:tc>
        <w:tc>
          <w:tcPr>
            <w:tcW w:w="3588" w:type="dxa"/>
          </w:tcPr>
          <w:p w14:paraId="31DAEA29" w14:textId="4E66133D" w:rsidR="00933E2C" w:rsidRPr="00DB301D" w:rsidRDefault="009461AC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3872AA62" w:rsidR="00933E2C" w:rsidRPr="00DB301D" w:rsidRDefault="009461AC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Informationsmängden beskrivs i tjänstekontraktsbeskrivningen</w:t>
            </w:r>
          </w:p>
        </w:tc>
      </w:tr>
      <w:tr w:rsidR="00933E2C" w14:paraId="5BE37CB4" w14:textId="77777777" w:rsidTr="00050477">
        <w:trPr>
          <w:trHeight w:val="338"/>
        </w:trPr>
        <w:tc>
          <w:tcPr>
            <w:tcW w:w="1985" w:type="dxa"/>
          </w:tcPr>
          <w:p w14:paraId="602B90A4" w14:textId="6B5B457E" w:rsidR="00933E2C" w:rsidRPr="00DB301D" w:rsidRDefault="00050477" w:rsidP="00933E2C">
            <w:pPr>
              <w:pStyle w:val="Brdtext"/>
              <w:snapToGrid w:val="0"/>
              <w:rPr>
                <w:lang w:val="sv-SE"/>
              </w:rPr>
            </w:pPr>
            <w:r w:rsidRPr="00DB301D">
              <w:rPr>
                <w:lang w:val="sv-SE"/>
              </w:rPr>
              <w:t>grunddatatjänster</w:t>
            </w:r>
          </w:p>
        </w:tc>
        <w:tc>
          <w:tcPr>
            <w:tcW w:w="3588" w:type="dxa"/>
          </w:tcPr>
          <w:p w14:paraId="0258C883" w14:textId="6066E69E" w:rsidR="00933E2C" w:rsidRPr="00DB301D" w:rsidRDefault="00B94F98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Tjänstekontraktsbeskrivning för clinicalprocess:healthcond:basic</w:t>
            </w:r>
          </w:p>
        </w:tc>
        <w:tc>
          <w:tcPr>
            <w:tcW w:w="3516" w:type="dxa"/>
          </w:tcPr>
          <w:p w14:paraId="2310F068" w14:textId="57106AE7" w:rsidR="00933E2C" w:rsidRPr="00DB301D" w:rsidRDefault="00DB301D" w:rsidP="004509FD">
            <w:pPr>
              <w:pStyle w:val="Brdtext"/>
              <w:snapToGrid w:val="0"/>
              <w:rPr>
                <w:bCs/>
                <w:lang w:val="sv-SE"/>
              </w:rPr>
            </w:pPr>
            <w:r w:rsidRPr="00DB301D">
              <w:rPr>
                <w:bCs/>
                <w:lang w:val="sv-SE"/>
              </w:rPr>
              <w:t>Beskrivning av</w:t>
            </w:r>
            <w:r>
              <w:rPr>
                <w:bCs/>
                <w:lang w:val="sv-SE"/>
              </w:rPr>
              <w:t xml:space="preserve"> informationsinnehåll i grunddatatjänsterna</w:t>
            </w:r>
            <w:r w:rsidR="004509FD">
              <w:rPr>
                <w:bCs/>
                <w:lang w:val="sv-SE"/>
              </w:rPr>
              <w:t xml:space="preserve"> som t.ex. GetObservation, GetMeasurement</w:t>
            </w:r>
          </w:p>
        </w:tc>
      </w:tr>
      <w:tr w:rsidR="00933E2C" w14:paraId="497EBCCE" w14:textId="77777777" w:rsidTr="00050477">
        <w:trPr>
          <w:trHeight w:val="351"/>
        </w:trPr>
        <w:tc>
          <w:tcPr>
            <w:tcW w:w="1985" w:type="dxa"/>
          </w:tcPr>
          <w:p w14:paraId="4133FBB4" w14:textId="6341A58E" w:rsidR="00933E2C" w:rsidRPr="00D015D3" w:rsidRDefault="00D015D3" w:rsidP="00933E2C">
            <w:pPr>
              <w:pStyle w:val="Brdtext"/>
              <w:snapToGrid w:val="0"/>
              <w:rPr>
                <w:lang w:val="sv-SE"/>
              </w:rPr>
            </w:pPr>
            <w:r w:rsidRPr="00D015D3">
              <w:rPr>
                <w:lang w:val="sv-SE"/>
              </w:rPr>
              <w:t>GetCareContacts</w:t>
            </w:r>
          </w:p>
        </w:tc>
        <w:tc>
          <w:tcPr>
            <w:tcW w:w="3588" w:type="dxa"/>
          </w:tcPr>
          <w:p w14:paraId="024BFAF7" w14:textId="281E26D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>g för clinicalprocess:logistics:logistics</w:t>
            </w:r>
          </w:p>
        </w:tc>
        <w:tc>
          <w:tcPr>
            <w:tcW w:w="3516" w:type="dxa"/>
          </w:tcPr>
          <w:p w14:paraId="37E78FA7" w14:textId="1EF8D09C" w:rsidR="00933E2C" w:rsidRPr="00D015D3" w:rsidRDefault="00D015D3" w:rsidP="00933E2C">
            <w:pPr>
              <w:pStyle w:val="Brdtext"/>
              <w:snapToGrid w:val="0"/>
              <w:rPr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vård- och omsorgskontakt</w:t>
            </w:r>
          </w:p>
        </w:tc>
      </w:tr>
      <w:tr w:rsidR="00933E2C" w14:paraId="255D8F47" w14:textId="77777777" w:rsidTr="00050477">
        <w:trPr>
          <w:trHeight w:val="338"/>
        </w:trPr>
        <w:tc>
          <w:tcPr>
            <w:tcW w:w="1985" w:type="dxa"/>
          </w:tcPr>
          <w:p w14:paraId="1E1E1217" w14:textId="7515C94D" w:rsidR="00933E2C" w:rsidRDefault="00D015D3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GetCareDocumentation</w:t>
            </w:r>
          </w:p>
        </w:tc>
        <w:tc>
          <w:tcPr>
            <w:tcW w:w="3588" w:type="dxa"/>
          </w:tcPr>
          <w:p w14:paraId="02A8BB60" w14:textId="07AD8D9B" w:rsidR="00933E2C" w:rsidRDefault="0055205F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Tjänstekontraktsbeskrivn</w:t>
            </w:r>
            <w:r w:rsidR="00CA0463">
              <w:rPr>
                <w:bCs/>
                <w:lang w:val="sv-SE"/>
              </w:rPr>
              <w:t>in</w:t>
            </w:r>
            <w:r w:rsidRPr="00D015D3">
              <w:rPr>
                <w:bCs/>
                <w:lang w:val="sv-SE"/>
              </w:rPr>
              <w:t>g för cli</w:t>
            </w:r>
            <w:r>
              <w:rPr>
                <w:bCs/>
                <w:lang w:val="sv-SE"/>
              </w:rPr>
              <w:t>nicalprocess:healthcond:description</w:t>
            </w:r>
          </w:p>
        </w:tc>
        <w:tc>
          <w:tcPr>
            <w:tcW w:w="3516" w:type="dxa"/>
          </w:tcPr>
          <w:p w14:paraId="1E28FC23" w14:textId="0CA16AD7" w:rsidR="00933E2C" w:rsidRDefault="00D015D3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D015D3">
              <w:rPr>
                <w:bCs/>
                <w:lang w:val="sv-SE"/>
              </w:rPr>
              <w:t>Beskrivning av informationsinnehåll</w:t>
            </w:r>
            <w:r>
              <w:rPr>
                <w:bCs/>
                <w:lang w:val="sv-SE"/>
              </w:rPr>
              <w:t xml:space="preserve"> i det strukturerade kontraktet för </w:t>
            </w:r>
            <w:r w:rsidR="0055205F">
              <w:rPr>
                <w:bCs/>
                <w:lang w:val="sv-SE"/>
              </w:rPr>
              <w:t>ostrukturerat</w:t>
            </w:r>
            <w:r>
              <w:rPr>
                <w:bCs/>
                <w:lang w:val="sv-SE"/>
              </w:rPr>
              <w:t xml:space="preserve"> vård- och omsorgs</w:t>
            </w:r>
            <w:r w:rsidR="0055205F">
              <w:rPr>
                <w:bCs/>
                <w:lang w:val="sv-SE"/>
              </w:rPr>
              <w:t>dokument</w:t>
            </w:r>
          </w:p>
        </w:tc>
      </w:tr>
      <w:tr w:rsidR="00933E2C" w14:paraId="11D20A16" w14:textId="77777777" w:rsidTr="00050477">
        <w:trPr>
          <w:trHeight w:val="338"/>
        </w:trPr>
        <w:tc>
          <w:tcPr>
            <w:tcW w:w="1985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58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1149"/>
      <w:r w:rsidRPr="008007C3">
        <w:lastRenderedPageBreak/>
        <w:t>Arkitekturella beslut</w:t>
      </w:r>
      <w:bookmarkEnd w:id="8"/>
      <w:bookmarkEnd w:id="9"/>
      <w:bookmarkEnd w:id="10"/>
    </w:p>
    <w:p w14:paraId="54E2828A" w14:textId="0A53919B" w:rsidR="00933E2C" w:rsidRDefault="00DE35C6" w:rsidP="00DE35C6">
      <w:pPr>
        <w:pStyle w:val="Rubrik2"/>
      </w:pPr>
      <w:bookmarkStart w:id="11" w:name="_Toc185913456"/>
      <w:bookmarkStart w:id="12" w:name="_Toc380691150"/>
      <w:r>
        <w:t>AB</w:t>
      </w:r>
      <w:r w:rsidR="00933E2C" w:rsidRPr="005132B7">
        <w:t xml:space="preserve">: </w:t>
      </w:r>
      <w:bookmarkEnd w:id="11"/>
      <w:r w:rsidR="00B409B4">
        <w:t>Beslut om typ av tjänstekontrakt som behöver utvecklas</w:t>
      </w:r>
      <w:bookmarkEnd w:id="12"/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5B5D4A56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(piloter</w:t>
            </w:r>
            <w:r w:rsidR="009461AC">
              <w:rPr>
                <w:sz w:val="22"/>
              </w:rPr>
              <w:t>;projekten Journal på Nätet, 4D</w:t>
            </w:r>
            <w:r w:rsidR="000318E7">
              <w:rPr>
                <w:sz w:val="22"/>
              </w:rPr>
              <w:t xml:space="preserve">) samt ta hänsyn till producerande system </w:t>
            </w:r>
            <w:r w:rsidR="00AE493B">
              <w:rPr>
                <w:sz w:val="22"/>
              </w:rPr>
              <w:t>(</w:t>
            </w:r>
            <w:r w:rsidR="00B75EF6">
              <w:rPr>
                <w:sz w:val="22"/>
              </w:rPr>
              <w:t xml:space="preserve">här </w:t>
            </w:r>
            <w:r w:rsidR="00AE493B">
              <w:rPr>
                <w:sz w:val="22"/>
              </w:rPr>
              <w:t xml:space="preserve">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8CBC27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NPDi, kontrakt för ”grunddata”</w:t>
            </w:r>
            <w:r w:rsidR="009461AC">
              <w:rPr>
                <w:sz w:val="22"/>
              </w:rPr>
              <w:t>; grunddatatjänster</w:t>
            </w:r>
            <w:r w:rsidR="00E56869" w:rsidRPr="00B946EC">
              <w:rPr>
                <w:sz w:val="22"/>
              </w:rPr>
              <w:t>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03FCDA7C" w:rsidR="00933E2C" w:rsidRPr="00A465DD" w:rsidRDefault="00933E2C" w:rsidP="00D940E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</w:t>
            </w:r>
            <w:r w:rsidR="00D940E6">
              <w:rPr>
                <w:sz w:val="22"/>
              </w:rPr>
              <w:t xml:space="preserve">informationsstruktur </w:t>
            </w:r>
            <w:r w:rsidR="005132B7" w:rsidRPr="00B946EC">
              <w:rPr>
                <w:sz w:val="22"/>
              </w:rPr>
              <w:t>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D940E6">
              <w:rPr>
                <w:sz w:val="22"/>
              </w:rPr>
              <w:t xml:space="preserve"> och visa på fungerande produkton och konsumtion ”end-to-end”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20EE0A6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GetMeasurement, GetObservation, GetCareContacts, </w:t>
            </w:r>
            <w:r w:rsidR="009F23C3" w:rsidRPr="00B946EC">
              <w:rPr>
                <w:sz w:val="22"/>
              </w:rPr>
              <w:t xml:space="preserve">GetMedicationHistory </w:t>
            </w:r>
            <w:r w:rsidR="004A3441">
              <w:rPr>
                <w:sz w:val="22"/>
              </w:rPr>
              <w:t xml:space="preserve">(under framtagande) </w:t>
            </w:r>
            <w:r w:rsidR="009F23C3" w:rsidRPr="00B946EC">
              <w:rPr>
                <w:sz w:val="22"/>
              </w:rPr>
              <w:t xml:space="preserve">samt </w:t>
            </w:r>
            <w:r w:rsidR="005132B7" w:rsidRPr="00B946EC">
              <w:rPr>
                <w:sz w:val="22"/>
              </w:rPr>
              <w:t>GetCareDocumentation).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277DF8BF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utifrån kravet om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en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proof-of-concept-visning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>”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vid en demonstration 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under kvartal 1 2004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>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E86520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(4D)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3A08B9">
              <w:rPr>
                <w:rFonts w:ascii="Arial" w:hAnsi="Arial"/>
                <w:szCs w:val="20"/>
                <w:lang w:val="sv-SE" w:eastAsia="ar-SA"/>
              </w:rPr>
              <w:t xml:space="preserve"> och kräva förändringar i det aktuella källsystemet (producent) Reuma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6BEE3FC8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>De nya kontrakt som är under framtagande och framgent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r>
              <w:rPr>
                <w:rFonts w:ascii="Arial" w:hAnsi="Arial"/>
                <w:szCs w:val="20"/>
                <w:lang w:val="sv-SE" w:eastAsia="ar-SA"/>
              </w:rPr>
              <w:t>, och GetMedicationHistory,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</w:t>
            </w:r>
            <w:r w:rsidR="007F325C">
              <w:rPr>
                <w:rFonts w:ascii="Arial" w:hAnsi="Arial"/>
                <w:szCs w:val="20"/>
                <w:lang w:val="sv-SE" w:eastAsia="ar-SA"/>
              </w:rPr>
              <w:t xml:space="preserve">Inera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2D5B02B9" w:rsidR="005132B7" w:rsidRPr="00A465DD" w:rsidRDefault="00A93389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Källsystemet (producenten) 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Reuma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</w:t>
            </w:r>
            <w:r w:rsidR="00E04477">
              <w:rPr>
                <w:rFonts w:ascii="Arial" w:hAnsi="Arial"/>
                <w:szCs w:val="20"/>
                <w:lang w:val="sv-SE" w:eastAsia="ar-SA"/>
              </w:rPr>
              <w:t>e (grunddatatjänster)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48C8A9C8" w14:textId="4B13E0AC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="00443507">
              <w:rPr>
                <w:rFonts w:ascii="Arial" w:hAnsi="Arial" w:cs="Arial"/>
                <w:lang w:val="sv-SE"/>
              </w:rPr>
              <w:t xml:space="preserve">pass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förvisso 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tillåter mindre höggradigt kodad data, är de </w:t>
            </w:r>
            <w:r w:rsidR="002625FF">
              <w:rPr>
                <w:rFonts w:ascii="Arial" w:hAnsi="Arial" w:cs="Arial"/>
                <w:szCs w:val="22"/>
                <w:lang w:val="sv-SE"/>
              </w:rPr>
              <w:t xml:space="preserve">utformade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>mmunicera välkodad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388C052F" w14:textId="27C59E90" w:rsidR="009B31C6" w:rsidRDefault="009B31C6" w:rsidP="005869C4">
      <w:pPr>
        <w:pStyle w:val="Rubrik2"/>
      </w:pPr>
      <w:bookmarkStart w:id="13" w:name="_Toc380691151"/>
      <w:r w:rsidRPr="009B31C6">
        <w:t xml:space="preserve">AB: Beslut om </w:t>
      </w:r>
      <w:r w:rsidR="00CA0463">
        <w:t xml:space="preserve">ej behov av </w:t>
      </w:r>
      <w:r>
        <w:t>aggregerande tjänst</w:t>
      </w:r>
      <w:bookmarkEnd w:id="13"/>
    </w:p>
    <w:p w14:paraId="3DE04490" w14:textId="77777777" w:rsidR="009B31C6" w:rsidRDefault="009B31C6" w:rsidP="009B31C6"/>
    <w:p w14:paraId="73A58132" w14:textId="68704B00" w:rsidR="009B31C6" w:rsidRPr="009B31C6" w:rsidRDefault="009B31C6" w:rsidP="009B31C6">
      <w:r>
        <w:t xml:space="preserve">För </w:t>
      </w:r>
      <w:r w:rsidR="00F25723">
        <w:t xml:space="preserve">denna tjänstedomäns </w:t>
      </w:r>
      <w:r>
        <w:t>tjänstekontrakt behöver inte någon aggregerande tjänst tas fram och installeras eftersom endast ett (1) källsystem (producent) finns.</w:t>
      </w: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74211" w14:textId="77777777" w:rsidR="00A92E0C" w:rsidRDefault="00A92E0C" w:rsidP="00C72B17">
      <w:pPr>
        <w:spacing w:line="240" w:lineRule="auto"/>
      </w:pPr>
      <w:r>
        <w:separator/>
      </w:r>
    </w:p>
  </w:endnote>
  <w:endnote w:type="continuationSeparator" w:id="0">
    <w:p w14:paraId="6B9F4602" w14:textId="77777777" w:rsidR="00A92E0C" w:rsidRDefault="00A92E0C" w:rsidP="00C72B17">
      <w:pPr>
        <w:spacing w:line="240" w:lineRule="auto"/>
      </w:pPr>
      <w:r>
        <w:continuationSeparator/>
      </w:r>
    </w:p>
  </w:endnote>
  <w:endnote w:type="continuationNotice" w:id="1">
    <w:p w14:paraId="343225E0" w14:textId="77777777" w:rsidR="00A92E0C" w:rsidRDefault="00A92E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4D96F" w14:textId="77777777" w:rsidR="00A92E0C" w:rsidRDefault="00A92E0C" w:rsidP="00C72B17">
      <w:pPr>
        <w:spacing w:line="240" w:lineRule="auto"/>
      </w:pPr>
      <w:r>
        <w:separator/>
      </w:r>
    </w:p>
  </w:footnote>
  <w:footnote w:type="continuationSeparator" w:id="0">
    <w:p w14:paraId="0365C928" w14:textId="77777777" w:rsidR="00A92E0C" w:rsidRDefault="00A92E0C" w:rsidP="00C72B17">
      <w:pPr>
        <w:spacing w:line="240" w:lineRule="auto"/>
      </w:pPr>
      <w:r>
        <w:continuationSeparator/>
      </w:r>
    </w:p>
  </w:footnote>
  <w:footnote w:type="continuationNotice" w:id="1">
    <w:p w14:paraId="008D82A4" w14:textId="77777777" w:rsidR="00A92E0C" w:rsidRDefault="00A92E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310CA8A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1"/>
    <w:r>
      <w:t>2</w:t>
    </w:r>
    <w:r w:rsidR="009B31C6">
      <w:t>0</w:t>
    </w:r>
    <w:r>
      <w:t xml:space="preserve"> </w:t>
    </w:r>
    <w:r w:rsidR="001D2365">
      <w:t>januari</w:t>
    </w:r>
    <w:r>
      <w:t xml:space="preserve"> 201</w:t>
    </w:r>
    <w:bookmarkEnd w:id="14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5" w:name="LDnr1"/>
    <w:bookmarkEnd w:id="15"/>
    <w:r>
      <w:t xml:space="preserve"> </w:t>
    </w:r>
    <w:bookmarkStart w:id="16" w:name="Dnr1"/>
    <w:bookmarkEnd w:id="16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3AD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193AD8" w:rsidRPr="00193AD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93AD8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193AD8" w:rsidRPr="00193AD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83EA8BB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7" w:name="Date"/>
    <w:r w:rsidR="009B31C6">
      <w:t>20</w:t>
    </w:r>
    <w:r>
      <w:t xml:space="preserve"> </w:t>
    </w:r>
    <w:r w:rsidR="007B7455">
      <w:t xml:space="preserve">februari </w:t>
    </w:r>
    <w:r>
      <w:t>201</w:t>
    </w:r>
    <w:bookmarkEnd w:id="17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8" w:name="LDnr"/>
    <w:bookmarkEnd w:id="18"/>
    <w:r>
      <w:t xml:space="preserve"> </w:t>
    </w:r>
    <w:bookmarkStart w:id="19" w:name="Dnr"/>
    <w:bookmarkEnd w:id="19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3AD8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193AD8" w:rsidRPr="00193AD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93AD8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193AD8" w:rsidRPr="00193AD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E97025C6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0805"/>
    <w:multiLevelType w:val="multilevel"/>
    <w:tmpl w:val="97F885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7"/>
  </w:num>
  <w:num w:numId="9">
    <w:abstractNumId w:val="18"/>
  </w:num>
  <w:num w:numId="10">
    <w:abstractNumId w:val="17"/>
  </w:num>
  <w:num w:numId="11">
    <w:abstractNumId w:val="13"/>
  </w:num>
  <w:num w:numId="12">
    <w:abstractNumId w:val="28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30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1"/>
  </w:num>
  <w:num w:numId="28">
    <w:abstractNumId w:val="12"/>
  </w:num>
  <w:num w:numId="29">
    <w:abstractNumId w:val="29"/>
  </w:num>
  <w:num w:numId="30">
    <w:abstractNumId w:val="6"/>
  </w:num>
  <w:num w:numId="31">
    <w:abstractNumId w:val="19"/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634B"/>
    <w:rsid w:val="00047E25"/>
    <w:rsid w:val="00050477"/>
    <w:rsid w:val="00053977"/>
    <w:rsid w:val="00064631"/>
    <w:rsid w:val="0008100A"/>
    <w:rsid w:val="00082370"/>
    <w:rsid w:val="00082384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0F1E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93AD8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25FF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80981"/>
    <w:rsid w:val="00390030"/>
    <w:rsid w:val="00394F76"/>
    <w:rsid w:val="003A08B9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3507"/>
    <w:rsid w:val="00444C74"/>
    <w:rsid w:val="004509FD"/>
    <w:rsid w:val="00460BEE"/>
    <w:rsid w:val="00473C81"/>
    <w:rsid w:val="00482B99"/>
    <w:rsid w:val="00491FA2"/>
    <w:rsid w:val="0049416E"/>
    <w:rsid w:val="004972DF"/>
    <w:rsid w:val="004A3441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05F"/>
    <w:rsid w:val="005521B0"/>
    <w:rsid w:val="005577EF"/>
    <w:rsid w:val="0056497A"/>
    <w:rsid w:val="0057032F"/>
    <w:rsid w:val="00582A1F"/>
    <w:rsid w:val="005869C4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17A03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7F325C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819DE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5511"/>
    <w:rsid w:val="008E73EF"/>
    <w:rsid w:val="008F0C20"/>
    <w:rsid w:val="008F38AA"/>
    <w:rsid w:val="008F6ADA"/>
    <w:rsid w:val="009036DE"/>
    <w:rsid w:val="00917AF8"/>
    <w:rsid w:val="00933E2C"/>
    <w:rsid w:val="00934DF5"/>
    <w:rsid w:val="009461AC"/>
    <w:rsid w:val="00956547"/>
    <w:rsid w:val="009737BD"/>
    <w:rsid w:val="00987592"/>
    <w:rsid w:val="009A056B"/>
    <w:rsid w:val="009A24FD"/>
    <w:rsid w:val="009A70FF"/>
    <w:rsid w:val="009A7229"/>
    <w:rsid w:val="009B1690"/>
    <w:rsid w:val="009B31C6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B79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92E0C"/>
    <w:rsid w:val="00A93389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52C0D"/>
    <w:rsid w:val="00B6227B"/>
    <w:rsid w:val="00B72189"/>
    <w:rsid w:val="00B73EF6"/>
    <w:rsid w:val="00B75EF6"/>
    <w:rsid w:val="00B77D5E"/>
    <w:rsid w:val="00B81E18"/>
    <w:rsid w:val="00B86215"/>
    <w:rsid w:val="00B90A42"/>
    <w:rsid w:val="00B946EC"/>
    <w:rsid w:val="00B94F98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A0463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15D3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940E6"/>
    <w:rsid w:val="00DA1759"/>
    <w:rsid w:val="00DA5D2D"/>
    <w:rsid w:val="00DB301D"/>
    <w:rsid w:val="00DB56E2"/>
    <w:rsid w:val="00DC3968"/>
    <w:rsid w:val="00DE35C6"/>
    <w:rsid w:val="00DE55EA"/>
    <w:rsid w:val="00DF5CB9"/>
    <w:rsid w:val="00DF66CC"/>
    <w:rsid w:val="00E0353A"/>
    <w:rsid w:val="00E04477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EF1881"/>
    <w:rsid w:val="00F01C49"/>
    <w:rsid w:val="00F07598"/>
    <w:rsid w:val="00F25723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3D7C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9B31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B31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8E5D-F1FE-46E6-9DB5-A53E58FE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313</TotalTime>
  <Pages>6</Pages>
  <Words>1113</Words>
  <Characters>5902</Characters>
  <Application>Microsoft Office Word</Application>
  <DocSecurity>0</DocSecurity>
  <Lines>49</Lines>
  <Paragraphs>14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7001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92</cp:revision>
  <dcterms:created xsi:type="dcterms:W3CDTF">2013-08-28T13:45:00Z</dcterms:created>
  <dcterms:modified xsi:type="dcterms:W3CDTF">2014-02-20T20:20:00Z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