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29ACC030" w:rsidR="002D631E" w:rsidRDefault="002D631E" w:rsidP="004F3D80">
      <w:pPr>
        <w:tabs>
          <w:tab w:val="left" w:pos="2552"/>
        </w:tabs>
        <w:spacing w:line="240" w:lineRule="auto"/>
        <w:jc w:val="center"/>
        <w:rPr>
          <w:sz w:val="32"/>
          <w:szCs w:val="32"/>
        </w:rPr>
      </w:pPr>
      <w:r>
        <w:rPr>
          <w:sz w:val="32"/>
          <w:szCs w:val="32"/>
        </w:rPr>
        <w:t xml:space="preserve">Version </w:t>
      </w:r>
      <w:r w:rsidR="00911BBA">
        <w:rPr>
          <w:sz w:val="32"/>
          <w:szCs w:val="32"/>
        </w:rPr>
        <w:t>RC2</w:t>
      </w:r>
    </w:p>
    <w:p w14:paraId="5659363F" w14:textId="77777777" w:rsidR="002D631E" w:rsidRDefault="002D631E" w:rsidP="004F3D80">
      <w:pPr>
        <w:tabs>
          <w:tab w:val="left" w:pos="2552"/>
        </w:tabs>
        <w:spacing w:line="240" w:lineRule="auto"/>
        <w:jc w:val="center"/>
        <w:rPr>
          <w:sz w:val="32"/>
          <w:szCs w:val="32"/>
        </w:rPr>
      </w:pPr>
    </w:p>
    <w:p w14:paraId="37830127" w14:textId="0B0626D2"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393514">
        <w:rPr>
          <w:sz w:val="32"/>
          <w:szCs w:val="32"/>
        </w:rPr>
        <w:t>19</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TOCHeading"/>
            <w:jc w:val="both"/>
          </w:pPr>
          <w:r>
            <w:t>Innehållsförteckning</w:t>
          </w:r>
        </w:p>
        <w:p w14:paraId="08CD271D" w14:textId="77777777" w:rsidR="004F3D80"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ink"/>
                <w:noProof/>
              </w:rPr>
              <w:t>1</w:t>
            </w:r>
            <w:r w:rsidR="004F3D80">
              <w:rPr>
                <w:rFonts w:asciiTheme="minorHAnsi" w:eastAsiaTheme="minorEastAsia" w:hAnsiTheme="minorHAnsi" w:cstheme="minorBidi"/>
                <w:noProof/>
                <w:sz w:val="22"/>
                <w:lang w:eastAsia="sv-SE"/>
              </w:rPr>
              <w:tab/>
            </w:r>
            <w:r w:rsidR="004F3D80" w:rsidRPr="007E3CC0">
              <w:rPr>
                <w:rStyle w:val="Hyperli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51139B">
          <w:pPr>
            <w:pStyle w:val="TOC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ink"/>
                <w:noProof/>
              </w:rPr>
              <w:t>2</w:t>
            </w:r>
            <w:r w:rsidR="004F3D80">
              <w:rPr>
                <w:rFonts w:asciiTheme="minorHAnsi" w:eastAsiaTheme="minorEastAsia" w:hAnsiTheme="minorHAnsi" w:cstheme="minorBidi"/>
                <w:noProof/>
                <w:sz w:val="22"/>
                <w:lang w:eastAsia="sv-SE"/>
              </w:rPr>
              <w:tab/>
            </w:r>
            <w:r w:rsidR="004F3D80" w:rsidRPr="007E3CC0">
              <w:rPr>
                <w:rStyle w:val="Hyperli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ink"/>
                <w:noProof/>
              </w:rPr>
              <w:t>2.1</w:t>
            </w:r>
            <w:r w:rsidR="004F3D80">
              <w:rPr>
                <w:rFonts w:asciiTheme="minorHAnsi" w:eastAsiaTheme="minorEastAsia" w:hAnsiTheme="minorHAnsi" w:cstheme="minorBidi"/>
                <w:noProof/>
                <w:sz w:val="22"/>
                <w:lang w:eastAsia="sv-SE"/>
              </w:rPr>
              <w:tab/>
            </w:r>
            <w:r w:rsidR="004F3D80" w:rsidRPr="007E3CC0">
              <w:rPr>
                <w:rStyle w:val="Hyperlink"/>
                <w:noProof/>
              </w:rPr>
              <w:t xml:space="preserve">Version </w:t>
            </w:r>
            <w:r w:rsidR="004F3D80" w:rsidRPr="007E3CC0">
              <w:rPr>
                <w:rStyle w:val="Hyperlink"/>
                <w:b/>
                <w:noProof/>
              </w:rPr>
              <w:t>1</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ink"/>
                <w:noProof/>
              </w:rPr>
              <w:t>2.1.1</w:t>
            </w:r>
            <w:r w:rsidR="004F3D80">
              <w:rPr>
                <w:rFonts w:asciiTheme="minorHAnsi" w:eastAsiaTheme="minorEastAsia" w:hAnsiTheme="minorHAnsi" w:cstheme="minorBidi"/>
                <w:noProof/>
                <w:sz w:val="22"/>
                <w:lang w:eastAsia="sv-SE"/>
              </w:rPr>
              <w:tab/>
            </w:r>
            <w:r w:rsidR="004F3D80" w:rsidRPr="007E3CC0">
              <w:rPr>
                <w:rStyle w:val="Hyperli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ink"/>
                <w:noProof/>
              </w:rPr>
              <w:t>2.1.2</w:t>
            </w:r>
            <w:r w:rsidR="004F3D80">
              <w:rPr>
                <w:rFonts w:asciiTheme="minorHAnsi" w:eastAsiaTheme="minorEastAsia" w:hAnsiTheme="minorHAnsi" w:cstheme="minorBidi"/>
                <w:noProof/>
                <w:sz w:val="22"/>
                <w:lang w:eastAsia="sv-SE"/>
              </w:rPr>
              <w:tab/>
            </w:r>
            <w:r w:rsidR="004F3D80" w:rsidRPr="007E3CC0">
              <w:rPr>
                <w:rStyle w:val="Hyperli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ink"/>
                <w:noProof/>
              </w:rPr>
              <w:t>2.1.3</w:t>
            </w:r>
            <w:r w:rsidR="004F3D80">
              <w:rPr>
                <w:rFonts w:asciiTheme="minorHAnsi" w:eastAsiaTheme="minorEastAsia" w:hAnsiTheme="minorHAnsi" w:cstheme="minorBidi"/>
                <w:noProof/>
                <w:sz w:val="22"/>
                <w:lang w:eastAsia="sv-SE"/>
              </w:rPr>
              <w:tab/>
            </w:r>
            <w:r w:rsidR="004F3D80" w:rsidRPr="007E3CC0">
              <w:rPr>
                <w:rStyle w:val="Hyperli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ink"/>
                <w:noProof/>
              </w:rPr>
              <w:t>2.1.4</w:t>
            </w:r>
            <w:r w:rsidR="004F3D80">
              <w:rPr>
                <w:rFonts w:asciiTheme="minorHAnsi" w:eastAsiaTheme="minorEastAsia" w:hAnsiTheme="minorHAnsi" w:cstheme="minorBidi"/>
                <w:noProof/>
                <w:sz w:val="22"/>
                <w:lang w:eastAsia="sv-SE"/>
              </w:rPr>
              <w:tab/>
            </w:r>
            <w:r w:rsidR="004F3D80" w:rsidRPr="007E3CC0">
              <w:rPr>
                <w:rStyle w:val="Hyperli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ink"/>
                <w:noProof/>
              </w:rPr>
              <w:t>2.2</w:t>
            </w:r>
            <w:r w:rsidR="004F3D80">
              <w:rPr>
                <w:rFonts w:asciiTheme="minorHAnsi" w:eastAsiaTheme="minorEastAsia" w:hAnsiTheme="minorHAnsi" w:cstheme="minorBidi"/>
                <w:noProof/>
                <w:sz w:val="22"/>
                <w:lang w:eastAsia="sv-SE"/>
              </w:rPr>
              <w:tab/>
            </w:r>
            <w:r w:rsidR="004F3D80" w:rsidRPr="007E3CC0">
              <w:rPr>
                <w:rStyle w:val="Hyperli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51139B">
          <w:pPr>
            <w:pStyle w:val="TOC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ink"/>
                <w:noProof/>
              </w:rPr>
              <w:t>3</w:t>
            </w:r>
            <w:r w:rsidR="004F3D80">
              <w:rPr>
                <w:rFonts w:asciiTheme="minorHAnsi" w:eastAsiaTheme="minorEastAsia" w:hAnsiTheme="minorHAnsi" w:cstheme="minorBidi"/>
                <w:noProof/>
                <w:sz w:val="22"/>
                <w:lang w:eastAsia="sv-SE"/>
              </w:rPr>
              <w:tab/>
            </w:r>
            <w:r w:rsidR="004F3D80" w:rsidRPr="007E3CC0">
              <w:rPr>
                <w:rStyle w:val="Hyperli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ink"/>
                <w:noProof/>
              </w:rPr>
              <w:t>3.1</w:t>
            </w:r>
            <w:r w:rsidR="004F3D80">
              <w:rPr>
                <w:rFonts w:asciiTheme="minorHAnsi" w:eastAsiaTheme="minorEastAsia" w:hAnsiTheme="minorHAnsi" w:cstheme="minorBidi"/>
                <w:noProof/>
                <w:sz w:val="22"/>
                <w:lang w:eastAsia="sv-SE"/>
              </w:rPr>
              <w:tab/>
            </w:r>
            <w:r w:rsidR="004F3D80" w:rsidRPr="007E3CC0">
              <w:rPr>
                <w:rStyle w:val="Hyperli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ink"/>
                <w:noProof/>
              </w:rPr>
              <w:t>3.1.1</w:t>
            </w:r>
            <w:r w:rsidR="004F3D80">
              <w:rPr>
                <w:rFonts w:asciiTheme="minorHAnsi" w:eastAsiaTheme="minorEastAsia" w:hAnsiTheme="minorHAnsi" w:cstheme="minorBidi"/>
                <w:noProof/>
                <w:sz w:val="22"/>
                <w:lang w:eastAsia="sv-SE"/>
              </w:rPr>
              <w:tab/>
            </w:r>
            <w:r w:rsidR="004F3D80" w:rsidRPr="007E3CC0">
              <w:rPr>
                <w:rStyle w:val="Hyperli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ink"/>
                <w:noProof/>
              </w:rPr>
              <w:t>3.1.2</w:t>
            </w:r>
            <w:r w:rsidR="004F3D80">
              <w:rPr>
                <w:rFonts w:asciiTheme="minorHAnsi" w:eastAsiaTheme="minorEastAsia" w:hAnsiTheme="minorHAnsi" w:cstheme="minorBidi"/>
                <w:noProof/>
                <w:sz w:val="22"/>
                <w:lang w:eastAsia="sv-SE"/>
              </w:rPr>
              <w:tab/>
            </w:r>
            <w:r w:rsidR="004F3D80" w:rsidRPr="007E3CC0">
              <w:rPr>
                <w:rStyle w:val="Hyperli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ink"/>
                <w:noProof/>
              </w:rPr>
              <w:t>3.2</w:t>
            </w:r>
            <w:r w:rsidR="004F3D80">
              <w:rPr>
                <w:rFonts w:asciiTheme="minorHAnsi" w:eastAsiaTheme="minorEastAsia" w:hAnsiTheme="minorHAnsi" w:cstheme="minorBidi"/>
                <w:noProof/>
                <w:sz w:val="22"/>
                <w:lang w:eastAsia="sv-SE"/>
              </w:rPr>
              <w:tab/>
            </w:r>
            <w:r w:rsidR="004F3D80" w:rsidRPr="007E3CC0">
              <w:rPr>
                <w:rStyle w:val="Hyperli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ink"/>
                <w:noProof/>
              </w:rPr>
              <w:t>3.2.1</w:t>
            </w:r>
            <w:r w:rsidR="004F3D80">
              <w:rPr>
                <w:rFonts w:asciiTheme="minorHAnsi" w:eastAsiaTheme="minorEastAsia" w:hAnsiTheme="minorHAnsi" w:cstheme="minorBidi"/>
                <w:noProof/>
                <w:sz w:val="22"/>
                <w:lang w:eastAsia="sv-SE"/>
              </w:rPr>
              <w:tab/>
            </w:r>
            <w:r w:rsidR="004F3D80" w:rsidRPr="007E3CC0">
              <w:rPr>
                <w:rStyle w:val="Hyperli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ink"/>
                <w:noProof/>
              </w:rPr>
              <w:t>3.3</w:t>
            </w:r>
            <w:r w:rsidR="004F3D80">
              <w:rPr>
                <w:rFonts w:asciiTheme="minorHAnsi" w:eastAsiaTheme="minorEastAsia" w:hAnsiTheme="minorHAnsi" w:cstheme="minorBidi"/>
                <w:noProof/>
                <w:sz w:val="22"/>
                <w:lang w:eastAsia="sv-SE"/>
              </w:rPr>
              <w:tab/>
            </w:r>
            <w:r w:rsidR="004F3D80" w:rsidRPr="007E3CC0">
              <w:rPr>
                <w:rStyle w:val="Hyperli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51139B">
          <w:pPr>
            <w:pStyle w:val="TOC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ink"/>
                <w:noProof/>
              </w:rPr>
              <w:t>4</w:t>
            </w:r>
            <w:r w:rsidR="004F3D80">
              <w:rPr>
                <w:rFonts w:asciiTheme="minorHAnsi" w:eastAsiaTheme="minorEastAsia" w:hAnsiTheme="minorHAnsi" w:cstheme="minorBidi"/>
                <w:noProof/>
                <w:sz w:val="22"/>
                <w:lang w:eastAsia="sv-SE"/>
              </w:rPr>
              <w:tab/>
            </w:r>
            <w:r w:rsidR="004F3D80" w:rsidRPr="007E3CC0">
              <w:rPr>
                <w:rStyle w:val="Hyperli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ink"/>
                <w:noProof/>
              </w:rPr>
              <w:t>4.1</w:t>
            </w:r>
            <w:r w:rsidR="004F3D80">
              <w:rPr>
                <w:rFonts w:asciiTheme="minorHAnsi" w:eastAsiaTheme="minorEastAsia" w:hAnsiTheme="minorHAnsi" w:cstheme="minorBidi"/>
                <w:noProof/>
                <w:sz w:val="22"/>
                <w:lang w:eastAsia="sv-SE"/>
              </w:rPr>
              <w:tab/>
            </w:r>
            <w:r w:rsidR="004F3D80" w:rsidRPr="007E3CC0">
              <w:rPr>
                <w:rStyle w:val="Hyperli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ink"/>
                <w:noProof/>
              </w:rPr>
              <w:t>4.2</w:t>
            </w:r>
            <w:r w:rsidR="004F3D80">
              <w:rPr>
                <w:rFonts w:asciiTheme="minorHAnsi" w:eastAsiaTheme="minorEastAsia" w:hAnsiTheme="minorHAnsi" w:cstheme="minorBidi"/>
                <w:noProof/>
                <w:sz w:val="22"/>
                <w:lang w:eastAsia="sv-SE"/>
              </w:rPr>
              <w:tab/>
            </w:r>
            <w:r w:rsidR="004F3D80" w:rsidRPr="007E3CC0">
              <w:rPr>
                <w:rStyle w:val="Hyperli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ink"/>
                <w:noProof/>
              </w:rPr>
              <w:t>4.2.1</w:t>
            </w:r>
            <w:r w:rsidR="004F3D80">
              <w:rPr>
                <w:rFonts w:asciiTheme="minorHAnsi" w:eastAsiaTheme="minorEastAsia" w:hAnsiTheme="minorHAnsi" w:cstheme="minorBidi"/>
                <w:noProof/>
                <w:sz w:val="22"/>
                <w:lang w:eastAsia="sv-SE"/>
              </w:rPr>
              <w:tab/>
            </w:r>
            <w:r w:rsidR="004F3D80" w:rsidRPr="007E3CC0">
              <w:rPr>
                <w:rStyle w:val="Hyperli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ink"/>
                <w:noProof/>
              </w:rPr>
              <w:t>4.2.2</w:t>
            </w:r>
            <w:r w:rsidR="004F3D80">
              <w:rPr>
                <w:rFonts w:asciiTheme="minorHAnsi" w:eastAsiaTheme="minorEastAsia" w:hAnsiTheme="minorHAnsi" w:cstheme="minorBidi"/>
                <w:noProof/>
                <w:sz w:val="22"/>
                <w:lang w:eastAsia="sv-SE"/>
              </w:rPr>
              <w:tab/>
            </w:r>
            <w:r w:rsidR="004F3D80" w:rsidRPr="007E3CC0">
              <w:rPr>
                <w:rStyle w:val="Hyperli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ink"/>
                <w:noProof/>
              </w:rPr>
              <w:t>4.2.3</w:t>
            </w:r>
            <w:r w:rsidR="004F3D80">
              <w:rPr>
                <w:rFonts w:asciiTheme="minorHAnsi" w:eastAsiaTheme="minorEastAsia" w:hAnsiTheme="minorHAnsi" w:cstheme="minorBidi"/>
                <w:noProof/>
                <w:sz w:val="22"/>
                <w:lang w:eastAsia="sv-SE"/>
              </w:rPr>
              <w:tab/>
            </w:r>
            <w:r w:rsidR="004F3D80" w:rsidRPr="007E3CC0">
              <w:rPr>
                <w:rStyle w:val="Hyperli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ink"/>
                <w:noProof/>
              </w:rPr>
              <w:t>4.3</w:t>
            </w:r>
            <w:r w:rsidR="004F3D80">
              <w:rPr>
                <w:rFonts w:asciiTheme="minorHAnsi" w:eastAsiaTheme="minorEastAsia" w:hAnsiTheme="minorHAnsi" w:cstheme="minorBidi"/>
                <w:noProof/>
                <w:sz w:val="22"/>
                <w:lang w:eastAsia="sv-SE"/>
              </w:rPr>
              <w:tab/>
            </w:r>
            <w:r w:rsidR="004F3D80" w:rsidRPr="007E3CC0">
              <w:rPr>
                <w:rStyle w:val="Hyperli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ink"/>
                <w:noProof/>
              </w:rPr>
              <w:t>4.3.1</w:t>
            </w:r>
            <w:r w:rsidR="004F3D80">
              <w:rPr>
                <w:rFonts w:asciiTheme="minorHAnsi" w:eastAsiaTheme="minorEastAsia" w:hAnsiTheme="minorHAnsi" w:cstheme="minorBidi"/>
                <w:noProof/>
                <w:sz w:val="22"/>
                <w:lang w:eastAsia="sv-SE"/>
              </w:rPr>
              <w:tab/>
            </w:r>
            <w:r w:rsidR="004F3D80" w:rsidRPr="007E3CC0">
              <w:rPr>
                <w:rStyle w:val="Hyperli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ink"/>
                <w:noProof/>
              </w:rPr>
              <w:t>4.3.2</w:t>
            </w:r>
            <w:r w:rsidR="004F3D80">
              <w:rPr>
                <w:rFonts w:asciiTheme="minorHAnsi" w:eastAsiaTheme="minorEastAsia" w:hAnsiTheme="minorHAnsi" w:cstheme="minorBidi"/>
                <w:noProof/>
                <w:sz w:val="22"/>
                <w:lang w:eastAsia="sv-SE"/>
              </w:rPr>
              <w:tab/>
            </w:r>
            <w:r w:rsidR="004F3D80" w:rsidRPr="007E3CC0">
              <w:rPr>
                <w:rStyle w:val="Hyperli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ink"/>
                <w:noProof/>
              </w:rPr>
              <w:t>4.4</w:t>
            </w:r>
            <w:r w:rsidR="004F3D80">
              <w:rPr>
                <w:rFonts w:asciiTheme="minorHAnsi" w:eastAsiaTheme="minorEastAsia" w:hAnsiTheme="minorHAnsi" w:cstheme="minorBidi"/>
                <w:noProof/>
                <w:sz w:val="22"/>
                <w:lang w:eastAsia="sv-SE"/>
              </w:rPr>
              <w:tab/>
            </w:r>
            <w:r w:rsidR="004F3D80" w:rsidRPr="007E3CC0">
              <w:rPr>
                <w:rStyle w:val="Hyperli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ink"/>
                <w:noProof/>
              </w:rPr>
              <w:t>4.4.1</w:t>
            </w:r>
            <w:r w:rsidR="004F3D80">
              <w:rPr>
                <w:rFonts w:asciiTheme="minorHAnsi" w:eastAsiaTheme="minorEastAsia" w:hAnsiTheme="minorHAnsi" w:cstheme="minorBidi"/>
                <w:noProof/>
                <w:sz w:val="22"/>
                <w:lang w:eastAsia="sv-SE"/>
              </w:rPr>
              <w:tab/>
            </w:r>
            <w:r w:rsidR="004F3D80" w:rsidRPr="007E3CC0">
              <w:rPr>
                <w:rStyle w:val="Hyperli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ink"/>
                <w:noProof/>
              </w:rPr>
              <w:t>4.4.2</w:t>
            </w:r>
            <w:r w:rsidR="004F3D80">
              <w:rPr>
                <w:rFonts w:asciiTheme="minorHAnsi" w:eastAsiaTheme="minorEastAsia" w:hAnsiTheme="minorHAnsi" w:cstheme="minorBidi"/>
                <w:noProof/>
                <w:sz w:val="22"/>
                <w:lang w:eastAsia="sv-SE"/>
              </w:rPr>
              <w:tab/>
            </w:r>
            <w:r w:rsidR="004F3D80" w:rsidRPr="007E3CC0">
              <w:rPr>
                <w:rStyle w:val="Hyperli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51139B">
          <w:pPr>
            <w:pStyle w:val="TOC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ink"/>
                <w:noProof/>
              </w:rPr>
              <w:t>5</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51139B">
          <w:pPr>
            <w:pStyle w:val="TOC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ink"/>
                <w:noProof/>
              </w:rPr>
              <w:t>6</w:t>
            </w:r>
            <w:r w:rsidR="004F3D80">
              <w:rPr>
                <w:rFonts w:asciiTheme="minorHAnsi" w:eastAsiaTheme="minorEastAsia" w:hAnsiTheme="minorHAnsi" w:cstheme="minorBidi"/>
                <w:noProof/>
                <w:sz w:val="22"/>
                <w:lang w:eastAsia="sv-SE"/>
              </w:rPr>
              <w:tab/>
            </w:r>
            <w:r w:rsidR="004F3D80" w:rsidRPr="007E3CC0">
              <w:rPr>
                <w:rStyle w:val="Hyperli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ink"/>
                <w:noProof/>
              </w:rPr>
              <w:t>6.1</w:t>
            </w:r>
            <w:r w:rsidR="004F3D80">
              <w:rPr>
                <w:rFonts w:asciiTheme="minorHAnsi" w:eastAsiaTheme="minorEastAsia" w:hAnsiTheme="minorHAnsi" w:cstheme="minorBidi"/>
                <w:noProof/>
                <w:sz w:val="22"/>
                <w:lang w:eastAsia="sv-SE"/>
              </w:rPr>
              <w:tab/>
            </w:r>
            <w:r w:rsidR="004F3D80" w:rsidRPr="007E3CC0">
              <w:rPr>
                <w:rStyle w:val="Hyperli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51139B">
          <w:pPr>
            <w:pStyle w:val="TOC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ink"/>
                <w:noProof/>
              </w:rPr>
              <w:t>7</w:t>
            </w:r>
            <w:r w:rsidR="004F3D80">
              <w:rPr>
                <w:rFonts w:asciiTheme="minorHAnsi" w:eastAsiaTheme="minorEastAsia" w:hAnsiTheme="minorHAnsi" w:cstheme="minorBidi"/>
                <w:noProof/>
                <w:sz w:val="22"/>
                <w:lang w:eastAsia="sv-SE"/>
              </w:rPr>
              <w:tab/>
            </w:r>
            <w:r w:rsidR="004F3D80" w:rsidRPr="007E3CC0">
              <w:rPr>
                <w:rStyle w:val="Hyperli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51139B">
          <w:pPr>
            <w:pStyle w:val="TOC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ink"/>
                <w:noProof/>
              </w:rPr>
              <w:t>7.1</w:t>
            </w:r>
            <w:r w:rsidR="004F3D80">
              <w:rPr>
                <w:rFonts w:asciiTheme="minorHAnsi" w:eastAsiaTheme="minorEastAsia" w:hAnsiTheme="minorHAnsi" w:cstheme="minorBidi"/>
                <w:noProof/>
                <w:sz w:val="22"/>
                <w:lang w:eastAsia="sv-SE"/>
              </w:rPr>
              <w:tab/>
            </w:r>
            <w:r w:rsidR="004F3D80" w:rsidRPr="007E3CC0">
              <w:rPr>
                <w:rStyle w:val="Hyperli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ink"/>
                <w:noProof/>
              </w:rPr>
              <w:t>7.1.1</w:t>
            </w:r>
            <w:r w:rsidR="004F3D80">
              <w:rPr>
                <w:rFonts w:asciiTheme="minorHAnsi" w:eastAsiaTheme="minorEastAsia" w:hAnsiTheme="minorHAnsi" w:cstheme="minorBidi"/>
                <w:noProof/>
                <w:sz w:val="22"/>
                <w:lang w:eastAsia="sv-SE"/>
              </w:rPr>
              <w:tab/>
            </w:r>
            <w:r w:rsidR="004F3D80" w:rsidRPr="007E3CC0">
              <w:rPr>
                <w:rStyle w:val="Hyperli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ink"/>
                <w:noProof/>
              </w:rPr>
              <w:t>7.1.2</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ink"/>
                <w:noProof/>
              </w:rPr>
              <w:t>7.1.3</w:t>
            </w:r>
            <w:r w:rsidR="004F3D80">
              <w:rPr>
                <w:rFonts w:asciiTheme="minorHAnsi" w:eastAsiaTheme="minorEastAsia" w:hAnsiTheme="minorHAnsi" w:cstheme="minorBidi"/>
                <w:noProof/>
                <w:sz w:val="22"/>
                <w:lang w:eastAsia="sv-SE"/>
              </w:rPr>
              <w:tab/>
            </w:r>
            <w:r w:rsidR="004F3D80" w:rsidRPr="007E3CC0">
              <w:rPr>
                <w:rStyle w:val="Hyperli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51139B">
          <w:pPr>
            <w:pStyle w:val="TOC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ink"/>
                <w:noProof/>
              </w:rPr>
              <w:t>7.1.4</w:t>
            </w:r>
            <w:r w:rsidR="004F3D80">
              <w:rPr>
                <w:rFonts w:asciiTheme="minorHAnsi" w:eastAsiaTheme="minorEastAsia" w:hAnsiTheme="minorHAnsi" w:cstheme="minorBidi"/>
                <w:noProof/>
                <w:sz w:val="22"/>
                <w:lang w:eastAsia="sv-SE"/>
              </w:rPr>
              <w:tab/>
            </w:r>
            <w:r w:rsidR="004F3D80" w:rsidRPr="007E3CC0">
              <w:rPr>
                <w:rStyle w:val="Hyperli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EngagemangsIndex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bl>
    <w:p w14:paraId="4578FD66" w14:textId="77777777" w:rsidR="0055728C" w:rsidRDefault="0055728C" w:rsidP="006345EC">
      <w:pPr>
        <w:pStyle w:val="TOC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proofErr w:type="gramStart"/>
            <w:r w:rsidRPr="00E52620">
              <w:t>tillstånd</w:t>
            </w:r>
            <w:r w:rsidR="001F7F7F">
              <w:t>:reumatismdata</w:t>
            </w:r>
            <w:proofErr w:type="spellEnd"/>
            <w:proofErr w:type="gramEnd"/>
            <w:r w:rsidR="001F7F7F">
              <w:t xml:space="preserve"> </w:t>
            </w:r>
            <w:r w:rsidR="005E6B04">
              <w:t>– Arkitekturella beslut</w:t>
            </w:r>
          </w:p>
        </w:tc>
        <w:tc>
          <w:tcPr>
            <w:tcW w:w="2472" w:type="dxa"/>
          </w:tcPr>
          <w:p w14:paraId="5D99047D" w14:textId="77777777" w:rsidR="004255A2" w:rsidRDefault="004255A2" w:rsidP="006345EC">
            <w:pPr>
              <w:pStyle w:val="TableText"/>
            </w:pPr>
            <w:r>
              <w:t>Obligatoriskt</w:t>
            </w:r>
          </w:p>
        </w:tc>
        <w:tc>
          <w:tcPr>
            <w:tcW w:w="3339" w:type="dxa"/>
          </w:tcPr>
          <w:p w14:paraId="524E0594" w14:textId="33A25CEB" w:rsidR="004255A2" w:rsidRDefault="00B0691B" w:rsidP="006345EC">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51139B" w:rsidP="006345EC">
            <w:pPr>
              <w:pStyle w:val="TableText"/>
            </w:pPr>
            <w:hyperlink r:id="rId9" w:history="1">
              <w:r w:rsidR="00030D6C" w:rsidRPr="00524077">
                <w:rPr>
                  <w:rStyle w:val="Hyperli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Heading1"/>
        <w:numPr>
          <w:ilvl w:val="0"/>
          <w:numId w:val="0"/>
        </w:numPr>
        <w:ind w:left="432"/>
        <w:jc w:val="both"/>
      </w:pPr>
    </w:p>
    <w:p w14:paraId="0C52B6D8" w14:textId="77777777" w:rsidR="007E47C0" w:rsidRDefault="007E47C0" w:rsidP="006345EC">
      <w:pPr>
        <w:pStyle w:val="Heading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proofErr w:type="spellStart"/>
      <w:proofErr w:type="gramStart"/>
      <w:r w:rsidR="00762180">
        <w:t>clinicalprocess:healthcond</w:t>
      </w:r>
      <w:proofErr w:type="gramEnd"/>
      <w:r w:rsidR="00762180">
        <w:t>:rheuma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val="en-US"/>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28388488" w:rsidR="007A7129" w:rsidRDefault="007A7129" w:rsidP="007E47C0">
                            <w:pPr>
                              <w:rPr>
                                <w:i/>
                              </w:rPr>
                            </w:pPr>
                            <w:r>
                              <w:rPr>
                                <w:i/>
                              </w:rPr>
                              <w:t xml:space="preserve">Håkan Eriksson, </w:t>
                            </w:r>
                            <w:proofErr w:type="spellStart"/>
                            <w:r>
                              <w:rPr>
                                <w:i/>
                              </w:rPr>
                              <w:t>Carmona</w:t>
                            </w:r>
                            <w:proofErr w:type="spellEnd"/>
                            <w:r>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" fillcolor="#ddd">
                <v:textbox>
                  <w:txbxContent>
                    <w:p w14:paraId="4282EC2F" w14:textId="77777777" w:rsidR="001C0EFF" w:rsidRPr="004255A2" w:rsidRDefault="001C0EFF" w:rsidP="004255A2">
                      <w:r w:rsidRPr="004255A2">
                        <w:t>I arbetet har följande personer deltagit:</w:t>
                      </w:r>
                    </w:p>
                    <w:p w14:paraId="33ABAB67" w14:textId="77777777" w:rsidR="001C0EFF" w:rsidRDefault="001C0EFF" w:rsidP="007E47C0"/>
                    <w:p w14:paraId="5BDB7093" w14:textId="77777777" w:rsidR="001C0EFF" w:rsidRDefault="001C0EFF" w:rsidP="004255A2">
                      <w:r w:rsidRPr="004255A2">
                        <w:rPr>
                          <w:szCs w:val="20"/>
                        </w:rPr>
                        <w:t>Tjänstedomänansvarig</w:t>
                      </w:r>
                      <w:r w:rsidRPr="00FE3AAD">
                        <w:t>:</w:t>
                      </w:r>
                    </w:p>
                    <w:p w14:paraId="0C7A8F4C" w14:textId="77777777" w:rsidR="001C0EFF" w:rsidRPr="00FE3AAD" w:rsidRDefault="001C0EFF" w:rsidP="004255A2"/>
                    <w:p w14:paraId="54D80C8F" w14:textId="0E8183DD" w:rsidR="001C0EFF" w:rsidRDefault="001C0EFF" w:rsidP="004255A2">
                      <w:pPr>
                        <w:rPr>
                          <w:i/>
                        </w:rPr>
                      </w:pPr>
                      <w:r>
                        <w:t>Marcus Claus, Mawell</w:t>
                      </w:r>
                    </w:p>
                    <w:p w14:paraId="7F669B65" w14:textId="77777777" w:rsidR="001C0EFF" w:rsidRPr="00FE3AAD" w:rsidRDefault="001C0EFF" w:rsidP="007E47C0">
                      <w:pPr>
                        <w:rPr>
                          <w:i/>
                        </w:rPr>
                      </w:pPr>
                    </w:p>
                    <w:p w14:paraId="1E645C8B" w14:textId="2DF0D78D" w:rsidR="001C0EFF" w:rsidRDefault="001C0EFF" w:rsidP="004255A2">
                      <w:r w:rsidRPr="009B4414">
                        <w:t>Projektgrupp</w:t>
                      </w:r>
                      <w:r>
                        <w:t xml:space="preserve"> 2013-11-01 - :</w:t>
                      </w:r>
                    </w:p>
                    <w:p w14:paraId="0B3EF4E0" w14:textId="77777777" w:rsidR="001C0EFF" w:rsidRPr="009B4414" w:rsidRDefault="001C0EFF" w:rsidP="004255A2"/>
                    <w:p w14:paraId="3374E711" w14:textId="180A51D0" w:rsidR="001C0EFF" w:rsidRDefault="009C1D2C" w:rsidP="007E47C0">
                      <w:pPr>
                        <w:rPr>
                          <w:i/>
                        </w:rPr>
                      </w:pPr>
                      <w:r>
                        <w:rPr>
                          <w:i/>
                        </w:rPr>
                        <w:t>Björn Genfors, Mawell</w:t>
                      </w:r>
                    </w:p>
                    <w:p w14:paraId="7F4B50F8" w14:textId="076E2971" w:rsidR="001C0EFF" w:rsidRDefault="001C0EFF" w:rsidP="007E47C0">
                      <w:pPr>
                        <w:rPr>
                          <w:i/>
                        </w:rPr>
                      </w:pPr>
                      <w:r>
                        <w:rPr>
                          <w:i/>
                        </w:rPr>
                        <w:t>Khaled Daham, Callista</w:t>
                      </w:r>
                    </w:p>
                    <w:p w14:paraId="49412F38" w14:textId="4D4372AF" w:rsidR="001C0EFF" w:rsidRDefault="001A1A83" w:rsidP="007E47C0">
                      <w:pPr>
                        <w:rPr>
                          <w:i/>
                        </w:rPr>
                      </w:pPr>
                      <w:r>
                        <w:rPr>
                          <w:i/>
                        </w:rPr>
                        <w:t>Henrik</w:t>
                      </w:r>
                      <w:r w:rsidR="001C0EFF">
                        <w:rPr>
                          <w:i/>
                        </w:rPr>
                        <w:t xml:space="preserve"> Rosvall, Callista</w:t>
                      </w:r>
                    </w:p>
                    <w:p w14:paraId="5DD982B8" w14:textId="2682308C" w:rsidR="001C0EFF" w:rsidRDefault="001C0EFF" w:rsidP="007E47C0">
                      <w:pPr>
                        <w:rPr>
                          <w:i/>
                        </w:rPr>
                      </w:pPr>
                      <w:r>
                        <w:rPr>
                          <w:i/>
                        </w:rPr>
                        <w:t>Christan Hilmersson, Callista</w:t>
                      </w:r>
                    </w:p>
                    <w:p w14:paraId="7A6597EC" w14:textId="28388488" w:rsidR="001C0EFF" w:rsidRDefault="001C0EFF" w:rsidP="007E47C0">
                      <w:pPr>
                        <w:rPr>
                          <w:i/>
                        </w:rPr>
                      </w:pPr>
                      <w:r>
                        <w:rPr>
                          <w:i/>
                        </w:rPr>
                        <w:t xml:space="preserve">Håkan Eriksson, </w:t>
                      </w:r>
                      <w:proofErr w:type="spellStart"/>
                      <w:r>
                        <w:rPr>
                          <w:i/>
                        </w:rPr>
                        <w:t>Carmona</w:t>
                      </w:r>
                      <w:proofErr w:type="spellEnd"/>
                      <w:r>
                        <w:rPr>
                          <w:i/>
                        </w:rPr>
                        <w:t xml:space="preserve">, </w:t>
                      </w:r>
                    </w:p>
                    <w:p w14:paraId="11128797" w14:textId="77777777" w:rsidR="00066981" w:rsidRDefault="00066981" w:rsidP="00066981">
                      <w:pPr>
                        <w:rPr>
                          <w:i/>
                        </w:rPr>
                      </w:pPr>
                      <w:r>
                        <w:rPr>
                          <w:i/>
                        </w:rPr>
                        <w:t xml:space="preserve">Johan Eltes, </w:t>
                      </w:r>
                      <w:proofErr w:type="spellStart"/>
                      <w:r>
                        <w:rPr>
                          <w:i/>
                        </w:rPr>
                        <w:t>Cynergia</w:t>
                      </w:r>
                      <w:proofErr w:type="spellEnd"/>
                    </w:p>
                    <w:p w14:paraId="3DE95755" w14:textId="77777777" w:rsidR="001C0EFF" w:rsidRPr="00861A25" w:rsidRDefault="001C0EFF"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Heading1"/>
        <w:jc w:val="both"/>
      </w:pPr>
      <w:bookmarkStart w:id="9" w:name="_Toc198086678"/>
      <w:bookmarkStart w:id="10" w:name="_Toc224960918"/>
      <w:bookmarkStart w:id="11" w:name="_Toc357754844"/>
      <w:bookmarkStart w:id="12" w:name="_Toc380616177"/>
      <w:bookmarkStart w:id="13" w:name="_Toc163300578"/>
      <w:bookmarkStart w:id="14" w:name="_Toc163300880"/>
      <w:bookmarkStart w:id="15" w:name="_Toc198366954"/>
      <w:r>
        <w:lastRenderedPageBreak/>
        <w:t>Versionsinformation</w:t>
      </w:r>
      <w:bookmarkEnd w:id="9"/>
      <w:bookmarkEnd w:id="10"/>
      <w:bookmarkEnd w:id="11"/>
      <w:bookmarkEnd w:id="12"/>
    </w:p>
    <w:p w14:paraId="3869434E" w14:textId="2F3E5108" w:rsidR="00A16E37" w:rsidRDefault="007E47C0" w:rsidP="006345EC">
      <w:pPr>
        <w:jc w:val="both"/>
      </w:pPr>
      <w:r>
        <w:t xml:space="preserve">Denna revision av tjänstekontraktsbeskrivningen handlar om version </w:t>
      </w:r>
      <w:r w:rsidR="0051139B">
        <w:fldChar w:fldCharType="begin"/>
      </w:r>
      <w:r w:rsidR="0051139B">
        <w:instrText xml:space="preserve"> DOCPROPERTY  "Version_1" \* MERGEFORMAT </w:instrText>
      </w:r>
      <w:r w:rsidR="0051139B">
        <w:fldChar w:fldCharType="separate"/>
      </w:r>
      <w:r w:rsidRPr="00557C65">
        <w:rPr>
          <w:b/>
          <w:color w:val="76923C" w:themeColor="accent3" w:themeShade="BF"/>
        </w:rPr>
        <w:t>1</w:t>
      </w:r>
      <w:r w:rsidR="0051139B">
        <w:rPr>
          <w:b/>
          <w:color w:val="76923C" w:themeColor="accent3" w:themeShade="BF"/>
        </w:rPr>
        <w:fldChar w:fldCharType="end"/>
      </w:r>
      <w:r>
        <w:t>.</w:t>
      </w:r>
      <w:r w:rsidR="0051139B">
        <w:fldChar w:fldCharType="begin"/>
      </w:r>
      <w:r w:rsidR="0051139B">
        <w:instrText xml:space="preserve"> DOC</w:instrText>
      </w:r>
      <w:r w:rsidR="0051139B">
        <w:instrText xml:space="preserve">PROPERTY "Version_2" \* MERGEFORMAT </w:instrText>
      </w:r>
      <w:r w:rsidR="0051139B">
        <w:fldChar w:fldCharType="separate"/>
      </w:r>
      <w:r w:rsidRPr="00557C65">
        <w:rPr>
          <w:b/>
          <w:color w:val="76923C" w:themeColor="accent3" w:themeShade="BF"/>
        </w:rPr>
        <w:t>0</w:t>
      </w:r>
      <w:r w:rsidR="0051139B">
        <w:rPr>
          <w:b/>
          <w:color w:val="76923C" w:themeColor="accent3" w:themeShade="BF"/>
        </w:rPr>
        <w:fldChar w:fldCharType="end"/>
      </w:r>
      <w:r>
        <w:t>.</w:t>
      </w:r>
      <w:r w:rsidR="0051139B">
        <w:fldChar w:fldCharType="begin"/>
      </w:r>
      <w:r w:rsidR="0051139B">
        <w:instrText xml:space="preserve"> DOCPROPERTY "Version_3" \* MERGEFORMAT </w:instrText>
      </w:r>
      <w:r w:rsidR="0051139B">
        <w:fldChar w:fldCharType="separate"/>
      </w:r>
      <w:r w:rsidRPr="00557C65">
        <w:rPr>
          <w:b/>
          <w:color w:val="76923C" w:themeColor="accent3" w:themeShade="BF"/>
        </w:rPr>
        <w:t>0</w:t>
      </w:r>
      <w:r w:rsidR="0051139B">
        <w:rPr>
          <w:b/>
          <w:color w:val="76923C" w:themeColor="accent3" w:themeShade="BF"/>
        </w:rPr>
        <w:fldChar w:fldCharType="end"/>
      </w:r>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Heading2"/>
        <w:jc w:val="both"/>
      </w:pPr>
      <w:bookmarkStart w:id="16" w:name="_Toc357754845"/>
      <w:bookmarkStart w:id="17" w:name="_Toc380616178"/>
      <w:bookmarkStart w:id="18" w:name="_Toc163300882"/>
      <w:r>
        <w:t xml:space="preserve">Version </w:t>
      </w:r>
      <w:r w:rsidR="0051139B">
        <w:fldChar w:fldCharType="begin"/>
      </w:r>
      <w:r w:rsidR="0051139B">
        <w:instrText xml:space="preserve"> DOCPROPERTY  "Version_1" \* MERGEFORMAT </w:instrText>
      </w:r>
      <w:r w:rsidR="0051139B">
        <w:fldChar w:fldCharType="separate"/>
      </w:r>
      <w:r w:rsidRPr="00557C65">
        <w:rPr>
          <w:b/>
          <w:color w:val="76923C" w:themeColor="accent3" w:themeShade="BF"/>
        </w:rPr>
        <w:t>1</w:t>
      </w:r>
      <w:r w:rsidR="0051139B">
        <w:rPr>
          <w:b/>
          <w:color w:val="76923C" w:themeColor="accent3" w:themeShade="BF"/>
        </w:rPr>
        <w:fldChar w:fldCharType="end"/>
      </w:r>
      <w:r>
        <w:t>.</w:t>
      </w:r>
      <w:r w:rsidR="0051139B">
        <w:fldChar w:fldCharType="begin"/>
      </w:r>
      <w:r w:rsidR="0051139B">
        <w:instrText xml:space="preserve"> DOCPROPERTY "Version_2" \* MERGEFORMAT </w:instrText>
      </w:r>
      <w:r w:rsidR="0051139B">
        <w:fldChar w:fldCharType="separate"/>
      </w:r>
      <w:r w:rsidRPr="00557C65">
        <w:rPr>
          <w:b/>
          <w:color w:val="76923C" w:themeColor="accent3" w:themeShade="BF"/>
        </w:rPr>
        <w:t>0</w:t>
      </w:r>
      <w:r w:rsidR="0051139B">
        <w:rPr>
          <w:b/>
          <w:color w:val="76923C" w:themeColor="accent3" w:themeShade="BF"/>
        </w:rPr>
        <w:fldChar w:fldCharType="end"/>
      </w:r>
      <w:r>
        <w:t>.</w:t>
      </w:r>
      <w:r w:rsidR="0051139B">
        <w:fldChar w:fldCharType="begin"/>
      </w:r>
      <w:r w:rsidR="0051139B">
        <w:instrText xml:space="preserve"> DOCPROPERTY "Version_3" \* MERGEFORMAT </w:instrText>
      </w:r>
      <w:r w:rsidR="0051139B">
        <w:fldChar w:fldCharType="separate"/>
      </w:r>
      <w:r w:rsidRPr="00557C65">
        <w:rPr>
          <w:b/>
          <w:color w:val="76923C" w:themeColor="accent3" w:themeShade="BF"/>
        </w:rPr>
        <w:t>0</w:t>
      </w:r>
      <w:r w:rsidR="0051139B">
        <w:rPr>
          <w:b/>
          <w:color w:val="76923C" w:themeColor="accent3" w:themeShade="BF"/>
        </w:rPr>
        <w:fldChar w:fldCharType="end"/>
      </w:r>
      <w:r>
        <w:t>.</w:t>
      </w:r>
      <w:bookmarkEnd w:id="16"/>
      <w:bookmarkEnd w:id="17"/>
    </w:p>
    <w:p w14:paraId="4C91F4A8" w14:textId="77777777" w:rsidR="007E47C0" w:rsidRPr="00A568B0" w:rsidRDefault="007E47C0" w:rsidP="006345EC">
      <w:pPr>
        <w:pStyle w:val="Heading3"/>
        <w:jc w:val="both"/>
      </w:pPr>
      <w:bookmarkStart w:id="19" w:name="_Toc380616179"/>
      <w:r w:rsidRPr="00A568B0">
        <w:t>Oförändrade tjänstekontrakt</w:t>
      </w:r>
      <w:bookmarkEnd w:id="19"/>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Heading3"/>
        <w:jc w:val="both"/>
      </w:pPr>
      <w:bookmarkStart w:id="20" w:name="_Toc380616180"/>
      <w:r w:rsidRPr="00A568B0">
        <w:t>Nya tjänstekontrakt</w:t>
      </w:r>
      <w:bookmarkEnd w:id="20"/>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4462474F" w:rsidR="007E47C0" w:rsidRPr="00A568B0" w:rsidRDefault="007E47C0" w:rsidP="006345EC">
      <w:pPr>
        <w:numPr>
          <w:ilvl w:val="0"/>
          <w:numId w:val="27"/>
        </w:numPr>
        <w:jc w:val="both"/>
      </w:pPr>
      <w:proofErr w:type="spellStart"/>
      <w:r w:rsidRPr="00A568B0">
        <w:t>Get</w:t>
      </w:r>
      <w:r w:rsidR="002B2030">
        <w:t>RheumatoidArthritis</w:t>
      </w:r>
      <w:r w:rsidR="00E52620" w:rsidRPr="00A568B0">
        <w:t>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Heading3"/>
        <w:jc w:val="both"/>
      </w:pPr>
      <w:bookmarkStart w:id="21" w:name="_Toc380616181"/>
      <w:r w:rsidRPr="00A568B0">
        <w:t>Förändrade tjänstekontrakt</w:t>
      </w:r>
      <w:bookmarkEnd w:id="21"/>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Heading3"/>
        <w:jc w:val="both"/>
      </w:pPr>
      <w:bookmarkStart w:id="22" w:name="_Toc380616182"/>
      <w:r w:rsidRPr="00A568B0">
        <w:t>Utgångna tjänstekontrakt</w:t>
      </w:r>
      <w:bookmarkEnd w:id="22"/>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Heading2"/>
        <w:jc w:val="both"/>
      </w:pPr>
      <w:bookmarkStart w:id="23" w:name="_Toc357754846"/>
      <w:bookmarkStart w:id="24" w:name="_Toc380616183"/>
      <w:r w:rsidRPr="00A568B0">
        <w:t>Version tidigare</w:t>
      </w:r>
      <w:bookmarkEnd w:id="23"/>
      <w:bookmarkEnd w:id="24"/>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odyText"/>
      </w:pPr>
    </w:p>
    <w:p w14:paraId="26710A0D" w14:textId="77777777" w:rsidR="003164EA" w:rsidRPr="001D07CD" w:rsidRDefault="003164EA" w:rsidP="006345EC">
      <w:pPr>
        <w:spacing w:line="240" w:lineRule="auto"/>
        <w:jc w:val="both"/>
        <w:rPr>
          <w:rFonts w:eastAsia="Times New Roman"/>
          <w:bCs/>
          <w:sz w:val="30"/>
          <w:szCs w:val="28"/>
        </w:rPr>
      </w:pPr>
      <w:bookmarkStart w:id="25" w:name="_Toc357754847"/>
      <w:bookmarkEnd w:id="18"/>
      <w:r>
        <w:br w:type="page"/>
      </w:r>
    </w:p>
    <w:p w14:paraId="0CB18193" w14:textId="1E8D1BD2" w:rsidR="007E47C0" w:rsidRDefault="007E47C0" w:rsidP="006345EC">
      <w:pPr>
        <w:pStyle w:val="Heading1"/>
        <w:jc w:val="both"/>
      </w:pPr>
      <w:bookmarkStart w:id="26" w:name="_Toc380616184"/>
      <w:r>
        <w:lastRenderedPageBreak/>
        <w:t>Tjänstedomänens arkitektur</w:t>
      </w:r>
      <w:bookmarkEnd w:id="25"/>
      <w:bookmarkEnd w:id="26"/>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0F97292E" w:rsidR="00911BBA" w:rsidRDefault="00911BBA" w:rsidP="006345EC">
      <w:pPr>
        <w:jc w:val="both"/>
      </w:pPr>
      <w:r>
        <w:t xml:space="preserve">Emellertid är tjänsterna </w:t>
      </w:r>
      <w:r w:rsidR="00BD127C">
        <w:t xml:space="preserve">i denna tjänstedomän </w:t>
      </w:r>
      <w:r>
        <w:t xml:space="preserve">för närvarande inte aktuella att representera även med aggregerande tjänster.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Heading2"/>
        <w:jc w:val="both"/>
      </w:pPr>
      <w:bookmarkStart w:id="27" w:name="_Toc357754848"/>
      <w:bookmarkStart w:id="28" w:name="_Toc380616185"/>
      <w:r>
        <w:t>Flöden</w:t>
      </w:r>
      <w:bookmarkEnd w:id="27"/>
      <w:bookmarkEnd w:id="28"/>
    </w:p>
    <w:p w14:paraId="706E99D0" w14:textId="74443019" w:rsidR="007E47C0" w:rsidRPr="00F83269" w:rsidRDefault="007A2D45" w:rsidP="006345EC">
      <w:pPr>
        <w:pStyle w:val="Heading3"/>
        <w:jc w:val="both"/>
      </w:pPr>
      <w:bookmarkStart w:id="29" w:name="_Toc380616186"/>
      <w:r>
        <w:t>Reumatismdata</w:t>
      </w:r>
      <w:bookmarkEnd w:id="29"/>
    </w:p>
    <w:p w14:paraId="5A2183FD" w14:textId="535E6ADE" w:rsidR="003164EA" w:rsidRDefault="00F83269" w:rsidP="006345EC">
      <w:pPr>
        <w:jc w:val="both"/>
      </w:pPr>
      <w:r w:rsidRPr="00F83269">
        <w:t xml:space="preserve">Nedanstående diagram visar hur flödet ser ut när information ur kontraktet </w:t>
      </w:r>
      <w:proofErr w:type="spellStart"/>
      <w:r w:rsidRPr="00F83269">
        <w:t>Get</w:t>
      </w:r>
      <w:r w:rsidR="002B2030">
        <w:t>RheumatoidArthritis</w:t>
      </w:r>
      <w:r w:rsidRPr="00F83269">
        <w:t>Data</w:t>
      </w:r>
      <w:proofErr w:type="spellEnd"/>
      <w:r w:rsidRPr="00F83269">
        <w:t xml:space="preserve"> hanteras.</w:t>
      </w:r>
    </w:p>
    <w:p w14:paraId="4814764C" w14:textId="77777777" w:rsidR="00D255AB" w:rsidRDefault="00D255AB" w:rsidP="006345EC">
      <w:pPr>
        <w:jc w:val="both"/>
      </w:pPr>
    </w:p>
    <w:p w14:paraId="1B8B8629" w14:textId="77777777" w:rsidR="007E47C0" w:rsidRDefault="007E47C0" w:rsidP="006345EC">
      <w:pPr>
        <w:pStyle w:val="Heading4"/>
        <w:jc w:val="both"/>
      </w:pPr>
      <w:r>
        <w:lastRenderedPageBreak/>
        <w:t>Arbetsflöde</w:t>
      </w:r>
    </w:p>
    <w:p w14:paraId="2E1B6BFF" w14:textId="2CEA9BD4" w:rsidR="001C0EFF" w:rsidRDefault="001C0EFF" w:rsidP="006345EC">
      <w:pPr>
        <w:jc w:val="both"/>
        <w:rPr>
          <w:b/>
          <w:color w:val="4F81BD" w:themeColor="accent1"/>
        </w:rPr>
      </w:pPr>
      <w:r w:rsidRPr="001C0EFF">
        <w:rPr>
          <w:noProof/>
          <w:lang w:val="en-US"/>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Caption"/>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val="en-US"/>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Caption"/>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Heading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Heading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Heading4"/>
        <w:jc w:val="both"/>
      </w:pPr>
      <w:r>
        <w:t>Sekvensdiagram</w:t>
      </w:r>
    </w:p>
    <w:p w14:paraId="714938FD" w14:textId="61EEE58F" w:rsidR="007E47C0" w:rsidRDefault="00E24D76" w:rsidP="006345EC">
      <w:pPr>
        <w:jc w:val="both"/>
        <w:rPr>
          <w:color w:val="4F81BD" w:themeColor="accent1"/>
        </w:rPr>
      </w:pPr>
      <w:r>
        <w:rPr>
          <w:noProof/>
          <w:color w:val="4F81BD" w:themeColor="accent1"/>
          <w:lang w:val="en-US"/>
        </w:rPr>
        <w:drawing>
          <wp:inline distT="0" distB="0" distL="0" distR="0" wp14:anchorId="24E98168" wp14:editId="76E06EDC">
            <wp:extent cx="5507990" cy="1381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7.18.37 .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81760"/>
                    </a:xfrm>
                    <a:prstGeom prst="rect">
                      <a:avLst/>
                    </a:prstGeom>
                  </pic:spPr>
                </pic:pic>
              </a:graphicData>
            </a:graphic>
          </wp:inline>
        </w:drawing>
      </w:r>
    </w:p>
    <w:p w14:paraId="6042B617" w14:textId="4B205911" w:rsidR="007A2D45" w:rsidRPr="007A2D45" w:rsidRDefault="007A2D45" w:rsidP="006345EC">
      <w:pPr>
        <w:pStyle w:val="Caption"/>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Heading5"/>
        <w:jc w:val="both"/>
      </w:pPr>
      <w:r w:rsidRPr="008A6814">
        <w:t xml:space="preserve">Roller </w:t>
      </w:r>
    </w:p>
    <w:tbl>
      <w:tblPr>
        <w:tblStyle w:val="TableGrid"/>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Heading3"/>
        <w:jc w:val="both"/>
      </w:pPr>
      <w:bookmarkStart w:id="30" w:name="_Toc380616187"/>
      <w:r>
        <w:t>Obligatoriska kontrakt</w:t>
      </w:r>
      <w:bookmarkEnd w:id="30"/>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80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6F794C"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w:t>
            </w:r>
            <w:r w:rsidR="002B2030">
              <w:t>RheumatoidArthritis</w:t>
            </w:r>
            <w:r>
              <w:t>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Heading2"/>
        <w:jc w:val="both"/>
      </w:pPr>
      <w:bookmarkStart w:id="31" w:name="_Toc357754849"/>
      <w:bookmarkStart w:id="32" w:name="_Toc374962621"/>
      <w:bookmarkStart w:id="33" w:name="_Toc380616188"/>
      <w:bookmarkStart w:id="34" w:name="_Toc374962622"/>
      <w:r w:rsidRPr="00F83C47">
        <w:t>Adressering</w:t>
      </w:r>
      <w:bookmarkEnd w:id="31"/>
      <w:bookmarkEnd w:id="32"/>
      <w:bookmarkEnd w:id="33"/>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 xml:space="preserve">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w:t>
      </w:r>
      <w:proofErr w:type="gramStart"/>
      <w:r w:rsidR="0052241C">
        <w:t>notifierats</w:t>
      </w:r>
      <w:proofErr w:type="gramEnd"/>
      <w:r w:rsidR="0052241C">
        <w:t xml:space="preserve">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Heading3"/>
        <w:jc w:val="both"/>
      </w:pPr>
      <w:bookmarkStart w:id="35" w:name="_Toc379448230"/>
      <w:bookmarkStart w:id="36" w:name="_Toc379809729"/>
      <w:bookmarkStart w:id="37" w:name="_Toc379448231"/>
      <w:bookmarkStart w:id="38" w:name="_Toc379809730"/>
      <w:bookmarkStart w:id="39" w:name="_Toc379448232"/>
      <w:bookmarkStart w:id="40" w:name="_Toc379809731"/>
      <w:bookmarkStart w:id="41" w:name="_Toc379448233"/>
      <w:bookmarkStart w:id="42" w:name="_Toc379809732"/>
      <w:bookmarkStart w:id="43" w:name="_Toc379448234"/>
      <w:bookmarkStart w:id="44" w:name="_Toc379809733"/>
      <w:bookmarkStart w:id="45" w:name="_Toc379448235"/>
      <w:bookmarkStart w:id="46" w:name="_Toc379809734"/>
      <w:bookmarkStart w:id="47" w:name="_Toc379448236"/>
      <w:bookmarkStart w:id="48" w:name="_Toc379809735"/>
      <w:bookmarkStart w:id="49" w:name="_Toc379448237"/>
      <w:bookmarkStart w:id="50" w:name="_Toc379809736"/>
      <w:bookmarkStart w:id="51" w:name="_Toc379448238"/>
      <w:bookmarkStart w:id="52" w:name="_Toc379809737"/>
      <w:bookmarkStart w:id="53" w:name="_Toc379448239"/>
      <w:bookmarkStart w:id="54" w:name="_Toc379809738"/>
      <w:bookmarkStart w:id="55" w:name="_Toc379448240"/>
      <w:bookmarkStart w:id="56" w:name="_Toc379809739"/>
      <w:bookmarkStart w:id="57" w:name="_Toc379448241"/>
      <w:bookmarkStart w:id="58" w:name="_Toc379809740"/>
      <w:bookmarkStart w:id="59" w:name="_Toc379448242"/>
      <w:bookmarkStart w:id="60" w:name="_Toc379809741"/>
      <w:bookmarkStart w:id="61" w:name="_Toc379448243"/>
      <w:bookmarkStart w:id="62" w:name="_Toc379809742"/>
      <w:bookmarkStart w:id="63" w:name="_Toc379448244"/>
      <w:bookmarkStart w:id="64" w:name="_Toc379809743"/>
      <w:bookmarkStart w:id="65" w:name="_Toc379448245"/>
      <w:bookmarkStart w:id="66" w:name="_Toc379809744"/>
      <w:bookmarkStart w:id="67" w:name="_Toc227077992"/>
      <w:bookmarkStart w:id="68" w:name="_Toc374962625"/>
      <w:bookmarkStart w:id="69" w:name="_Toc38061618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DF207A">
        <w:t>Sammanfattning av adresseringsmodell</w:t>
      </w:r>
      <w:bookmarkEnd w:id="67"/>
      <w:bookmarkEnd w:id="68"/>
      <w:bookmarkEnd w:id="69"/>
    </w:p>
    <w:p w14:paraId="00088F18" w14:textId="77777777" w:rsidR="0055728C" w:rsidRPr="000D7365" w:rsidRDefault="0055728C" w:rsidP="006345EC">
      <w:pPr>
        <w:jc w:val="both"/>
      </w:pPr>
    </w:p>
    <w:tbl>
      <w:tblPr>
        <w:tblStyle w:val="TableGrid"/>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Heading2"/>
        <w:jc w:val="both"/>
      </w:pPr>
      <w:bookmarkStart w:id="70" w:name="_Toc357754850"/>
      <w:bookmarkStart w:id="71" w:name="_Toc374962626"/>
      <w:bookmarkStart w:id="72" w:name="_Toc380616190"/>
      <w:r w:rsidRPr="00E146AE">
        <w:t>Aggregering och engagemangsindex</w:t>
      </w:r>
      <w:bookmarkEnd w:id="70"/>
      <w:bookmarkEnd w:id="71"/>
      <w:bookmarkEnd w:id="72"/>
    </w:p>
    <w:p w14:paraId="28950651" w14:textId="643A4994" w:rsidR="00CA70E7" w:rsidRDefault="00D42965" w:rsidP="006345EC">
      <w:pPr>
        <w:jc w:val="both"/>
      </w:pPr>
      <w:r>
        <w:t xml:space="preserve">Aggregering används </w:t>
      </w:r>
      <w:proofErr w:type="gramStart"/>
      <w:r>
        <w:t>ej</w:t>
      </w:r>
      <w:proofErr w:type="gramEnd"/>
      <w:r>
        <w:t xml:space="preserve"> i denna eller tidigare versioner, a</w:t>
      </w:r>
      <w:r w:rsidRPr="00D42965">
        <w:t>lla frågemeddelandet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ink"/>
          </w:rPr>
          <w:t>Uppdatering av engagemangsindex</w:t>
        </w:r>
      </w:hyperlink>
      <w:r>
        <w:t xml:space="preserve"> för </w:t>
      </w:r>
      <w:r w:rsidR="00CE3F8B">
        <w:t>regelverk kring</w:t>
      </w:r>
      <w:r>
        <w:t xml:space="preserve"> </w:t>
      </w:r>
      <w:proofErr w:type="gramStart"/>
      <w:r>
        <w:t>notifier</w:t>
      </w:r>
      <w:r w:rsidR="00CE3F8B">
        <w:t>ing</w:t>
      </w:r>
      <w:proofErr w:type="gramEnd"/>
      <w:r w:rsidR="00CE3F8B">
        <w:t xml:space="preserve">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3" w:name="_Toc224960921"/>
      <w:bookmarkStart w:id="74" w:name="_Toc357754852"/>
      <w:r>
        <w:br w:type="page"/>
      </w:r>
    </w:p>
    <w:p w14:paraId="1D3E811B" w14:textId="75A91957" w:rsidR="007E47C0" w:rsidRDefault="007E47C0" w:rsidP="006345EC">
      <w:pPr>
        <w:pStyle w:val="Heading1"/>
        <w:jc w:val="both"/>
      </w:pPr>
      <w:bookmarkStart w:id="75" w:name="_Toc380616191"/>
      <w:r>
        <w:lastRenderedPageBreak/>
        <w:t>Tjänstedomänens krav och regler</w:t>
      </w:r>
      <w:bookmarkEnd w:id="73"/>
      <w:bookmarkEnd w:id="74"/>
      <w:bookmarkEnd w:id="75"/>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Heading2"/>
        <w:jc w:val="both"/>
      </w:pPr>
      <w:bookmarkStart w:id="76" w:name="_Uppdatering_av_engagemangsindex"/>
      <w:bookmarkStart w:id="77" w:name="_Toc244018071"/>
      <w:bookmarkStart w:id="78" w:name="_Toc374962628"/>
      <w:bookmarkStart w:id="79" w:name="_Toc380616192"/>
      <w:bookmarkEnd w:id="76"/>
      <w:r w:rsidRPr="00A0151E">
        <w:t>Uppdatering</w:t>
      </w:r>
      <w:r>
        <w:t xml:space="preserve"> av </w:t>
      </w:r>
      <w:r w:rsidRPr="00435396">
        <w:t>engagemangsindex</w:t>
      </w:r>
      <w:bookmarkEnd w:id="77"/>
      <w:bookmarkEnd w:id="78"/>
      <w:bookmarkEnd w:id="79"/>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0B63CBFF" w14:textId="7F4AAA47" w:rsidR="00B72500" w:rsidRDefault="00B72500" w:rsidP="0051139B">
      <w:r>
        <w:t>All uppdatering av engagemangsindex sker genom att källsystemet anropar engageman</w:t>
      </w:r>
      <w:r w:rsidR="0051139B">
        <w:t xml:space="preserve">gsindex genom </w:t>
      </w:r>
      <w:proofErr w:type="gramStart"/>
      <w:r w:rsidR="0051139B">
        <w:t xml:space="preserve">tjänstekontraktet  </w:t>
      </w:r>
      <w:r>
        <w:t>urn</w:t>
      </w:r>
      <w:proofErr w:type="gramEnd"/>
      <w:r>
        <w:t>:riv:itintegration:engagementindex:UpdateResponder:1 (”index-push”)</w:t>
      </w:r>
      <w:r w:rsidR="00E24D76">
        <w:t xml:space="preserve"> </w:t>
      </w:r>
      <w:r w:rsidR="0051139B">
        <w:t xml:space="preserve">eller </w:t>
      </w:r>
      <w:r>
        <w:t>geno</w:t>
      </w:r>
      <w:r w:rsidR="00E24D76">
        <w:t xml:space="preserve">m att erbjuda tjänstekontraktet </w:t>
      </w:r>
      <w:r>
        <w:t>urn:riv:</w:t>
      </w:r>
      <w:bookmarkStart w:id="80" w:name="_GoBack"/>
      <w:bookmarkEnd w:id="80"/>
      <w:r>
        <w:t>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B580B9" w14:textId="48B082F6" w:rsidR="00B72500" w:rsidRPr="00E146AE" w:rsidRDefault="00B72500" w:rsidP="006345EC">
            <w:pPr>
              <w:jc w:val="both"/>
            </w:pPr>
            <w:r w:rsidRPr="00E146AE">
              <w:t>”</w:t>
            </w:r>
            <w:proofErr w:type="spellStart"/>
            <w:proofErr w:type="gramStart"/>
            <w:r w:rsidRPr="00E146AE">
              <w:t>riv:clinicalprocess</w:t>
            </w:r>
            <w:proofErr w:type="gramEnd"/>
            <w:r w:rsidRPr="00E146AE">
              <w:t>:healthcond: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6345EC">
            <w:pPr>
              <w:jc w:val="both"/>
            </w:pPr>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6345EC">
            <w:pPr>
              <w:jc w:val="both"/>
            </w:pPr>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6345EC">
            <w:pPr>
              <w:jc w:val="both"/>
            </w:pPr>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r w:rsidRPr="00E146AE">
              <w:t xml:space="preserve">Update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w:t>
            </w:r>
            <w:r w:rsidRPr="00E146AE">
              <w:lastRenderedPageBreak/>
              <w:t>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mangs-posten via Update-tjänsten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ody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842F511" w:rsidR="00B72500" w:rsidRPr="00F83C47" w:rsidRDefault="00B72500" w:rsidP="006345EC">
            <w:pPr>
              <w:jc w:val="both"/>
              <w:rPr>
                <w:highlight w:val="yellow"/>
              </w:rPr>
            </w:pPr>
            <w:proofErr w:type="spellStart"/>
            <w:r w:rsidRPr="00F83C47">
              <w:t>Get</w:t>
            </w:r>
            <w:r w:rsidR="002B2030">
              <w:t>RheumatoidArthritis</w:t>
            </w:r>
            <w:r w:rsidR="003F45DF">
              <w:t>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Heading2"/>
        <w:jc w:val="both"/>
      </w:pPr>
      <w:bookmarkStart w:id="81" w:name="_Toc357754853"/>
      <w:bookmarkStart w:id="82" w:name="_Ref379974869"/>
      <w:bookmarkStart w:id="83" w:name="_Ref379974886"/>
      <w:bookmarkStart w:id="84" w:name="_Toc380616193"/>
      <w:r>
        <w:t>Informationssäkerhet och juridik</w:t>
      </w:r>
      <w:bookmarkEnd w:id="81"/>
      <w:bookmarkEnd w:id="82"/>
      <w:bookmarkEnd w:id="83"/>
      <w:bookmarkEnd w:id="84"/>
    </w:p>
    <w:p w14:paraId="21D095A9" w14:textId="77777777" w:rsidR="003F45DF" w:rsidRDefault="003F45DF" w:rsidP="006345EC">
      <w:pPr>
        <w:pStyle w:val="Heading3"/>
        <w:jc w:val="both"/>
      </w:pPr>
      <w:bookmarkStart w:id="85" w:name="_Toc374962630"/>
      <w:bookmarkStart w:id="86" w:name="_Toc380616194"/>
      <w:r>
        <w:t xml:space="preserve">Medarbetarens </w:t>
      </w:r>
      <w:r w:rsidRPr="004F0149">
        <w:t>direktåtkomst</w:t>
      </w:r>
      <w:bookmarkEnd w:id="85"/>
      <w:bookmarkEnd w:id="86"/>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w:t>
      </w:r>
      <w:r>
        <w:lastRenderedPageBreak/>
        <w:t>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Heading3"/>
        <w:jc w:val="both"/>
      </w:pPr>
      <w:bookmarkStart w:id="87" w:name="_Toc374962631"/>
      <w:bookmarkStart w:id="88" w:name="_Toc380616195"/>
      <w:r w:rsidRPr="003F45DF">
        <w:t>Patientens direktåtkomst</w:t>
      </w:r>
      <w:bookmarkEnd w:id="87"/>
      <w:bookmarkEnd w:id="88"/>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w:t>
      </w:r>
      <w:proofErr w:type="gramStart"/>
      <w:r>
        <w:t>rådrum</w:t>
      </w:r>
      <w:proofErr w:type="gramEnd"/>
      <w:r>
        <w:t xml:space="preserve">.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Heading3"/>
        <w:jc w:val="both"/>
      </w:pPr>
      <w:bookmarkStart w:id="89" w:name="_Toc219337773"/>
      <w:bookmarkStart w:id="90" w:name="_Toc227077997"/>
      <w:bookmarkStart w:id="91" w:name="_Toc245231401"/>
      <w:bookmarkStart w:id="92" w:name="_Toc374962632"/>
      <w:bookmarkStart w:id="93" w:name="_Toc380616196"/>
      <w:r w:rsidRPr="00E146AE">
        <w:t>Generellt</w:t>
      </w:r>
      <w:bookmarkEnd w:id="89"/>
      <w:bookmarkEnd w:id="90"/>
      <w:bookmarkEnd w:id="91"/>
      <w:bookmarkEnd w:id="92"/>
      <w:bookmarkEnd w:id="93"/>
    </w:p>
    <w:p w14:paraId="480FAE80" w14:textId="77777777" w:rsidR="00781420"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Heading2"/>
        <w:jc w:val="both"/>
      </w:pPr>
      <w:bookmarkStart w:id="94" w:name="_Toc380616197"/>
      <w:r>
        <w:t>Icke funktionella krav</w:t>
      </w:r>
      <w:bookmarkEnd w:id="94"/>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Heading3"/>
        <w:jc w:val="both"/>
      </w:pPr>
      <w:bookmarkStart w:id="95" w:name="_Toc380616198"/>
      <w:r>
        <w:t>SLA krav</w:t>
      </w:r>
      <w:bookmarkEnd w:id="95"/>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ody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lastRenderedPageBreak/>
              <w:t>Aktualitet</w:t>
            </w:r>
          </w:p>
        </w:tc>
        <w:tc>
          <w:tcPr>
            <w:tcW w:w="4697" w:type="dxa"/>
          </w:tcPr>
          <w:p w14:paraId="19B61717" w14:textId="77777777" w:rsidR="003F45DF" w:rsidRDefault="003F45DF" w:rsidP="006345EC">
            <w:pPr>
              <w:jc w:val="both"/>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odyText"/>
      </w:pPr>
    </w:p>
    <w:p w14:paraId="7411275B" w14:textId="68019EDE" w:rsidR="00265F33" w:rsidRPr="003164EA" w:rsidRDefault="00265F33" w:rsidP="006345EC">
      <w:pPr>
        <w:pStyle w:val="Heading3"/>
        <w:jc w:val="both"/>
      </w:pPr>
      <w:bookmarkStart w:id="96" w:name="_Toc380616199"/>
      <w:r w:rsidRPr="003164EA">
        <w:t>Övriga krav</w:t>
      </w:r>
      <w:r w:rsidR="00982263" w:rsidRPr="003164EA">
        <w:t xml:space="preserve"> och regler</w:t>
      </w:r>
      <w:bookmarkEnd w:id="96"/>
    </w:p>
    <w:p w14:paraId="228B0185" w14:textId="4F7E38DE" w:rsidR="00982263" w:rsidRPr="00E146AE" w:rsidRDefault="00982263" w:rsidP="006345EC">
      <w:pPr>
        <w:pStyle w:val="Heading4"/>
        <w:jc w:val="both"/>
      </w:pPr>
      <w:r>
        <w:t>Gemensamma konsumentregler</w:t>
      </w:r>
    </w:p>
    <w:p w14:paraId="24D778F5" w14:textId="7B67F173" w:rsidR="00982263" w:rsidRDefault="00982263" w:rsidP="006345EC">
      <w:pPr>
        <w:pStyle w:val="BodyText"/>
        <w:ind w:right="119"/>
      </w:pPr>
      <w:r>
        <w:t>R1: Filtrera enligt flagga ”</w:t>
      </w:r>
      <w:proofErr w:type="spellStart"/>
      <w:r w:rsidR="006433AD">
        <w:t>approvedForPatient</w:t>
      </w:r>
      <w:proofErr w:type="spellEnd"/>
      <w:r>
        <w:t>”</w:t>
      </w:r>
    </w:p>
    <w:p w14:paraId="7948100A" w14:textId="77777777" w:rsidR="00982263" w:rsidRDefault="00982263" w:rsidP="006345EC">
      <w:pPr>
        <w:pStyle w:val="BodyText"/>
        <w:ind w:right="119"/>
      </w:pPr>
      <w:r>
        <w:t>R2: Tillämpa regelverk enl. PDL</w:t>
      </w:r>
    </w:p>
    <w:p w14:paraId="5011C7D4" w14:textId="104FCCE4" w:rsidR="00982263" w:rsidRPr="00E146AE" w:rsidRDefault="00982263" w:rsidP="006345EC">
      <w:pPr>
        <w:pStyle w:val="Heading4"/>
        <w:jc w:val="both"/>
      </w:pPr>
      <w:r>
        <w:t>Gemensamma producentregler</w:t>
      </w:r>
    </w:p>
    <w:p w14:paraId="1ADDF494" w14:textId="371A2BB3" w:rsidR="00982263" w:rsidRDefault="00982263" w:rsidP="006345EC">
      <w:pPr>
        <w:pStyle w:val="BodyText"/>
        <w:ind w:right="119"/>
      </w:pPr>
      <w:r>
        <w:t xml:space="preserve">R3: Filtrera enligt </w:t>
      </w:r>
      <w:proofErr w:type="spellStart"/>
      <w:r>
        <w:t>RIVTA-headern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Heading4"/>
        <w:jc w:val="both"/>
      </w:pPr>
      <w:r>
        <w:t>Format för datum och tidpunkter</w:t>
      </w:r>
    </w:p>
    <w:p w14:paraId="3C9FBD5D" w14:textId="77777777" w:rsidR="00982263" w:rsidRPr="00BC5B0B" w:rsidRDefault="00982263" w:rsidP="006345EC">
      <w:pPr>
        <w:pStyle w:val="Body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ody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Heading4"/>
        <w:jc w:val="both"/>
      </w:pPr>
      <w:r>
        <w:t>Tidszon för tidpunkter</w:t>
      </w:r>
    </w:p>
    <w:p w14:paraId="1CF10D9B" w14:textId="77777777" w:rsidR="00982263" w:rsidRDefault="00982263" w:rsidP="006345EC">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Heading2"/>
        <w:jc w:val="both"/>
      </w:pPr>
      <w:bookmarkStart w:id="97" w:name="_Toc357754854"/>
      <w:bookmarkStart w:id="98" w:name="_Toc380616200"/>
      <w:bookmarkStart w:id="99" w:name="_Toc224960922"/>
      <w:bookmarkStart w:id="100" w:name="_Toc357754855"/>
      <w:bookmarkEnd w:id="13"/>
      <w:bookmarkEnd w:id="14"/>
      <w:bookmarkEnd w:id="15"/>
      <w:r>
        <w:lastRenderedPageBreak/>
        <w:t>Felhantering</w:t>
      </w:r>
      <w:bookmarkEnd w:id="97"/>
      <w:bookmarkEnd w:id="98"/>
    </w:p>
    <w:p w14:paraId="2A097C2C" w14:textId="77777777" w:rsidR="007C5E55" w:rsidRDefault="007C5E55" w:rsidP="006345EC">
      <w:pPr>
        <w:pStyle w:val="Heading3"/>
        <w:jc w:val="both"/>
      </w:pPr>
      <w:bookmarkStart w:id="101" w:name="_Toc380616201"/>
      <w:r>
        <w:t>Krav på en tjänsteproducent</w:t>
      </w:r>
      <w:bookmarkEnd w:id="101"/>
    </w:p>
    <w:p w14:paraId="74AFF75E" w14:textId="77777777" w:rsidR="003F45DF" w:rsidRPr="00E146AE" w:rsidRDefault="003F45DF" w:rsidP="006345EC">
      <w:pPr>
        <w:pStyle w:val="Heading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Heading4"/>
        <w:jc w:val="both"/>
      </w:pPr>
      <w:bookmarkStart w:id="102" w:name="_Ref379357515"/>
      <w:r w:rsidRPr="00E146AE">
        <w:t>Tekniska fel</w:t>
      </w:r>
      <w:bookmarkEnd w:id="102"/>
    </w:p>
    <w:p w14:paraId="73E0EC7D" w14:textId="47147BDF" w:rsidR="003F45DF" w:rsidRDefault="003F45DF" w:rsidP="006345EC">
      <w:pPr>
        <w:jc w:val="both"/>
      </w:pPr>
      <w:r w:rsidRPr="00901567">
        <w:t>Vid ett tekniskt fel levereras ett generellt undantag (</w:t>
      </w:r>
      <w:proofErr w:type="spellStart"/>
      <w:r w:rsidRPr="00901567">
        <w:t>SOAP-Exception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Heading3"/>
        <w:jc w:val="both"/>
      </w:pPr>
      <w:bookmarkStart w:id="103" w:name="_Toc380616202"/>
      <w:r>
        <w:t>Krav på en tjänstekonsument</w:t>
      </w:r>
      <w:bookmarkEnd w:id="103"/>
    </w:p>
    <w:p w14:paraId="5837C0B9" w14:textId="77777777" w:rsidR="003F45DF" w:rsidRPr="00E146AE" w:rsidRDefault="003F45DF" w:rsidP="006345EC">
      <w:pPr>
        <w:pStyle w:val="Heading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Heading4"/>
        <w:jc w:val="both"/>
      </w:pPr>
      <w:r w:rsidRPr="00E146AE">
        <w:t>Tekniska fel</w:t>
      </w:r>
    </w:p>
    <w:p w14:paraId="6E4C6C91" w14:textId="1E6671FA" w:rsidR="003F45DF" w:rsidRDefault="003F45DF" w:rsidP="006345EC">
      <w:pPr>
        <w:jc w:val="both"/>
      </w:pPr>
      <w:r w:rsidRPr="00E146AE">
        <w:t xml:space="preserve">Tekniska fel definieras med en text och en kod i ett </w:t>
      </w:r>
      <w:proofErr w:type="spellStart"/>
      <w:r w:rsidRPr="00E146AE">
        <w:t>SOAP-Exception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Heading1"/>
        <w:jc w:val="both"/>
      </w:pPr>
      <w:bookmarkStart w:id="104" w:name="_Toc380616203"/>
      <w:r>
        <w:lastRenderedPageBreak/>
        <w:t>Gemensamma informationskomponenter</w:t>
      </w:r>
      <w:bookmarkEnd w:id="104"/>
    </w:p>
    <w:p w14:paraId="1826E1B6" w14:textId="77777777" w:rsidR="00E02748" w:rsidRDefault="00760A43" w:rsidP="006345EC">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ody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Heading1"/>
        <w:jc w:val="both"/>
      </w:pPr>
      <w:bookmarkStart w:id="105" w:name="_Toc380616204"/>
      <w:r>
        <w:lastRenderedPageBreak/>
        <w:t xml:space="preserve">Tjänstedomänens </w:t>
      </w:r>
      <w:bookmarkEnd w:id="99"/>
      <w:r>
        <w:t>meddelandemodeller</w:t>
      </w:r>
      <w:bookmarkEnd w:id="100"/>
      <w:bookmarkEnd w:id="105"/>
    </w:p>
    <w:p w14:paraId="47FFE2B7" w14:textId="77777777" w:rsidR="007E47C0" w:rsidRDefault="007E47C0" w:rsidP="006345EC">
      <w:pPr>
        <w:jc w:val="both"/>
      </w:pPr>
      <w:bookmarkStart w:id="106"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Heading2"/>
        <w:jc w:val="both"/>
      </w:pPr>
      <w:bookmarkStart w:id="107" w:name="_Toc357754856"/>
      <w:bookmarkStart w:id="108" w:name="_Toc380616205"/>
      <w:r>
        <w:t>V-MIM</w:t>
      </w:r>
      <w:bookmarkEnd w:id="107"/>
      <w:r>
        <w:t xml:space="preserve"> </w:t>
      </w:r>
      <w:r w:rsidR="00920165">
        <w:t>Reumatismdata</w:t>
      </w:r>
      <w:bookmarkEnd w:id="108"/>
    </w:p>
    <w:p w14:paraId="6CE97223" w14:textId="34555966" w:rsidR="007E47C0" w:rsidRDefault="00920165" w:rsidP="006345EC">
      <w:pPr>
        <w:jc w:val="both"/>
      </w:pPr>
      <w:r>
        <w:rPr>
          <w:noProof/>
          <w:lang w:val="en-US"/>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leGrid"/>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911BBA"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911BBA"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911BBA"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911BBA"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911BBA"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911BBA"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w:t>
            </w:r>
            <w:proofErr w:type="gramStart"/>
            <w:r w:rsidRPr="00C469F0">
              <w:rPr>
                <w:szCs w:val="20"/>
              </w:rPr>
              <w:t>.OfDrug</w:t>
            </w:r>
            <w:proofErr w:type="spellEnd"/>
            <w:proofErr w:type="gram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name</w:t>
            </w:r>
            <w:proofErr w:type="spellEnd"/>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w:t>
            </w:r>
            <w:proofErr w:type="gramStart"/>
            <w:r w:rsidRPr="00C469F0">
              <w:rPr>
                <w:szCs w:val="20"/>
              </w:rPr>
              <w:t>.HealthAssessmentQuestio</w:t>
            </w:r>
            <w:r>
              <w:rPr>
                <w:szCs w:val="20"/>
              </w:rPr>
              <w:t>n</w:t>
            </w:r>
            <w:r w:rsidRPr="00C469F0">
              <w:rPr>
                <w:szCs w:val="20"/>
              </w:rPr>
              <w:t>naireSco</w:t>
            </w:r>
            <w:proofErr w:type="gramEnd"/>
            <w:r w:rsidRPr="00C469F0">
              <w:rPr>
                <w:szCs w:val="20"/>
              </w:rPr>
              <w:t>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9" w:name="_Toc357754858"/>
      <w:r>
        <w:br w:type="page"/>
      </w:r>
    </w:p>
    <w:p w14:paraId="5BE29586" w14:textId="48AC81AF" w:rsidR="007E47C0" w:rsidRDefault="007E47C0" w:rsidP="006345EC">
      <w:pPr>
        <w:pStyle w:val="Heading1"/>
        <w:jc w:val="both"/>
      </w:pPr>
      <w:bookmarkStart w:id="110" w:name="_Toc380616206"/>
      <w:r>
        <w:lastRenderedPageBreak/>
        <w:t>Tjänstekontrakt</w:t>
      </w:r>
      <w:bookmarkEnd w:id="106"/>
      <w:bookmarkEnd w:id="109"/>
      <w:bookmarkEnd w:id="110"/>
    </w:p>
    <w:p w14:paraId="1E8F2F97" w14:textId="038A755D" w:rsidR="007E47C0" w:rsidRPr="00D728C5" w:rsidRDefault="00A510EA" w:rsidP="006345EC">
      <w:pPr>
        <w:pStyle w:val="Heading2"/>
        <w:jc w:val="both"/>
      </w:pPr>
      <w:bookmarkStart w:id="111" w:name="_Toc380616207"/>
      <w:proofErr w:type="spellStart"/>
      <w:r w:rsidRPr="00D728C5">
        <w:t>GetRheumatoidArthritisData</w:t>
      </w:r>
      <w:bookmarkEnd w:id="111"/>
      <w:proofErr w:type="spellEnd"/>
    </w:p>
    <w:p w14:paraId="1F912EB8" w14:textId="0CDE516B" w:rsidR="00687884" w:rsidRDefault="00224DDD" w:rsidP="006345EC">
      <w:pPr>
        <w:spacing w:line="239" w:lineRule="auto"/>
        <w:ind w:right="145"/>
        <w:jc w:val="both"/>
        <w:rPr>
          <w:spacing w:val="-1"/>
        </w:rPr>
      </w:pPr>
      <w:proofErr w:type="spellStart"/>
      <w:r w:rsidRPr="00907C9B">
        <w:rPr>
          <w:spacing w:val="-1"/>
        </w:rPr>
        <w:t>Get</w:t>
      </w:r>
      <w:r w:rsidR="002B2030">
        <w:rPr>
          <w:spacing w:val="-1"/>
        </w:rPr>
        <w:t>RheumatoidArthritis</w:t>
      </w:r>
      <w:r>
        <w:rPr>
          <w:spacing w:val="-1"/>
        </w:rPr>
        <w:t>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Heading3"/>
        <w:jc w:val="both"/>
      </w:pPr>
      <w:bookmarkStart w:id="112" w:name="_Toc38061620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Heading3"/>
        <w:jc w:val="both"/>
      </w:pPr>
      <w:bookmarkStart w:id="113" w:name="_Toc38061620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Heading3"/>
        <w:jc w:val="both"/>
      </w:pPr>
      <w:bookmarkStart w:id="114" w:name="_Toc38061621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leGrid"/>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r w:rsidRPr="00EA3AAC">
              <w:rPr>
                <w:spacing w:val="-1"/>
                <w:szCs w:val="20"/>
              </w:rPr>
              <w:t>.</w:t>
            </w:r>
            <w:proofErr w:type="gramEnd"/>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proofErr w:type="gramStart"/>
            <w:r w:rsidRPr="00EA3AAC">
              <w:rPr>
                <w:spacing w:val="-1"/>
                <w:szCs w:val="20"/>
              </w:rPr>
              <w:t>id sätts till patientens identifierare.</w:t>
            </w:r>
            <w:proofErr w:type="gramEnd"/>
            <w:r w:rsidRPr="00EA3AAC">
              <w:rPr>
                <w:spacing w:val="-1"/>
                <w:szCs w:val="20"/>
              </w:rPr>
              <w:t xml:space="preserv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w:t>
            </w:r>
            <w:proofErr w:type="gramStart"/>
            <w:r w:rsidRPr="00EA3AAC">
              <w:rPr>
                <w:spacing w:val="-1"/>
                <w:szCs w:val="20"/>
              </w:rPr>
              <w:t>97.3.1</w:t>
            </w:r>
            <w:proofErr w:type="gramEnd"/>
            <w:r w:rsidRPr="00EA3AAC">
              <w:rPr>
                <w:spacing w:val="-1"/>
                <w:szCs w:val="20"/>
              </w:rPr>
              <w:t>.3)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w:t>
            </w:r>
            <w:proofErr w:type="spellStart"/>
            <w:r w:rsidRPr="00EA3AAC">
              <w:rPr>
                <w:szCs w:val="20"/>
              </w:rPr>
              <w:t>SOAP-header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proofErr w:type="gramEnd"/>
            <w:r w:rsidRPr="00EA3AAC">
              <w:rPr>
                <w:szCs w:val="20"/>
              </w:rPr>
              <w:t>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roofErr w:type="gramStart"/>
            <w:r w:rsidRPr="00EA3AAC">
              <w:rPr>
                <w:rFonts w:ascii="Georgia" w:hAnsi="Georgia"/>
                <w:b/>
                <w:sz w:val="20"/>
                <w:szCs w:val="20"/>
              </w:rPr>
              <w:t>..</w:t>
            </w:r>
            <w:proofErr w:type="gramEnd"/>
            <w:r w:rsidRPr="00EA3AAC">
              <w:rPr>
                <w:rFonts w:ascii="Georgia" w:hAnsi="Georgia"/>
                <w:b/>
                <w:sz w:val="20"/>
                <w:szCs w:val="20"/>
              </w:rPr>
              <w:t>*</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r w:rsidRPr="00EA3AAC">
              <w:rPr>
                <w:rFonts w:ascii="Georgia" w:hAnsi="Georgia"/>
                <w:spacing w:val="-1"/>
                <w:sz w:val="20"/>
                <w:szCs w:val="20"/>
              </w:rPr>
              <w:t>.</w:t>
            </w:r>
            <w:proofErr w:type="gramEnd"/>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w:t>
            </w:r>
            <w:proofErr w:type="gramStart"/>
            <w:r w:rsidRPr="00EA3AAC">
              <w:rPr>
                <w:szCs w:val="20"/>
              </w:rPr>
              <w:t>97.3.1</w:t>
            </w:r>
            <w:proofErr w:type="gramEnd"/>
            <w:r w:rsidRPr="00EA3AAC">
              <w:rPr>
                <w:szCs w:val="20"/>
              </w:rPr>
              <w:t>.3)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proofErr w:type="gramStart"/>
            <w:r w:rsidRPr="00EA3AAC">
              <w:rPr>
                <w:szCs w:val="20"/>
              </w:rPr>
              <w:lastRenderedPageBreak/>
              <w:t>..</w:t>
            </w:r>
            <w:proofErr w:type="gramEnd"/>
            <w:r w:rsidRPr="00EA3AAC">
              <w:rPr>
                <w:szCs w:val="20"/>
              </w:rPr>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51139B" w:rsidP="006345EC">
            <w:pPr>
              <w:jc w:val="both"/>
              <w:rPr>
                <w:szCs w:val="20"/>
              </w:rPr>
            </w:pPr>
            <w:hyperlink r:id="rId14" w:history="1">
              <w:r w:rsidR="00EA3AAC" w:rsidRPr="00EA3AAC">
                <w:rPr>
                  <w:rStyle w:val="Hyperli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proofErr w:type="gramStart"/>
            <w:r w:rsidRPr="00EA3AAC">
              <w:rPr>
                <w:szCs w:val="20"/>
              </w:rPr>
              <w:t>codeSystem</w:t>
            </w:r>
            <w:proofErr w:type="spellEnd"/>
            <w:r w:rsidRPr="00EA3AAC">
              <w:rPr>
                <w:szCs w:val="20"/>
              </w:rPr>
              <w:t xml:space="preserve">  samt</w:t>
            </w:r>
            <w:proofErr w:type="gramEnd"/>
            <w:r w:rsidRPr="00EA3AAC">
              <w:rPr>
                <w:szCs w:val="20"/>
              </w:rPr>
              <w:t xml:space="preserve">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pacing w:val="-1"/>
                <w:sz w:val="20"/>
                <w:szCs w:val="20"/>
              </w:rPr>
              <w:t>..</w:t>
            </w:r>
            <w:proofErr w:type="gramEnd"/>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lastRenderedPageBreak/>
              <w:t>..</w:t>
            </w:r>
            <w:proofErr w:type="gramEnd"/>
            <w:r w:rsidRPr="00EA3AAC">
              <w:rPr>
                <w:rFonts w:ascii="Georgia" w:hAnsi="Georgia"/>
                <w:sz w:val="20"/>
                <w:szCs w:val="20"/>
              </w:rPr>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bl>
    <w:p w14:paraId="1A9CCDFC" w14:textId="77777777" w:rsidR="007E47C0" w:rsidRDefault="007E47C0" w:rsidP="006345EC">
      <w:pPr>
        <w:jc w:val="both"/>
      </w:pPr>
    </w:p>
    <w:p w14:paraId="0C970D8C" w14:textId="77777777" w:rsidR="007E47C0" w:rsidRPr="00ED19D0" w:rsidRDefault="007E47C0" w:rsidP="006345EC">
      <w:pPr>
        <w:pStyle w:val="BodyText"/>
      </w:pPr>
    </w:p>
    <w:p w14:paraId="19EF74E6" w14:textId="77777777" w:rsidR="007E47C0" w:rsidRDefault="00776D68" w:rsidP="006345EC">
      <w:pPr>
        <w:pStyle w:val="Heading3"/>
        <w:jc w:val="both"/>
      </w:pPr>
      <w:bookmarkStart w:id="115" w:name="_Toc38061621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Heading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Heading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61733" w14:textId="77777777" w:rsidR="006A67C9" w:rsidRDefault="006A67C9" w:rsidP="00C72B17">
      <w:pPr>
        <w:spacing w:line="240" w:lineRule="auto"/>
      </w:pPr>
      <w:r>
        <w:separator/>
      </w:r>
    </w:p>
  </w:endnote>
  <w:endnote w:type="continuationSeparator" w:id="0">
    <w:p w14:paraId="768C5647" w14:textId="77777777" w:rsidR="006A67C9" w:rsidRDefault="006A67C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Footer"/>
    </w:pPr>
  </w:p>
  <w:p w14:paraId="12C113D0" w14:textId="77777777" w:rsidR="007A7129" w:rsidRDefault="007A7129">
    <w:pPr>
      <w:pStyle w:val="Footer"/>
    </w:pPr>
  </w:p>
  <w:p w14:paraId="1421CB49" w14:textId="77777777" w:rsidR="007A7129" w:rsidRDefault="007A7129">
    <w:pPr>
      <w:pStyle w:val="Footer"/>
    </w:pPr>
  </w:p>
  <w:p w14:paraId="6F807640" w14:textId="77777777" w:rsidR="007A7129" w:rsidRDefault="007A7129">
    <w:pPr>
      <w:pStyle w:val="Footer"/>
    </w:pPr>
  </w:p>
  <w:p w14:paraId="2E456113" w14:textId="77777777" w:rsidR="007A7129" w:rsidRDefault="007A7129">
    <w:pPr>
      <w:pStyle w:val="Footer"/>
    </w:pPr>
  </w:p>
  <w:p w14:paraId="36A9D811" w14:textId="77777777" w:rsidR="007A7129" w:rsidRDefault="007A7129">
    <w:pPr>
      <w:pStyle w:val="Footer"/>
    </w:pPr>
  </w:p>
  <w:p w14:paraId="2CD2C690" w14:textId="77777777" w:rsidR="007A7129" w:rsidRDefault="007A7129" w:rsidP="00956547">
    <w:pPr>
      <w:pStyle w:val="Footer"/>
    </w:pPr>
    <w:bookmarkStart w:id="12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FFEF" w14:textId="77777777" w:rsidR="006A67C9" w:rsidRDefault="006A67C9" w:rsidP="00C72B17">
      <w:pPr>
        <w:spacing w:line="240" w:lineRule="auto"/>
      </w:pPr>
      <w:r>
        <w:separator/>
      </w:r>
    </w:p>
  </w:footnote>
  <w:footnote w:type="continuationSeparator" w:id="0">
    <w:p w14:paraId="2152A9FE" w14:textId="77777777" w:rsidR="006A67C9" w:rsidRDefault="006A67C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rsidR="00393514">
      <w:t>20</w:t>
    </w:r>
    <w:r>
      <w:t xml:space="preserve">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1139B">
                            <w:rPr>
                              <w:noProof/>
                              <w:sz w:val="16"/>
                              <w:szCs w:val="16"/>
                            </w:rPr>
                            <w:t>11</w:t>
                          </w:r>
                          <w:r w:rsidRPr="00E12C4A">
                            <w:rPr>
                              <w:sz w:val="16"/>
                              <w:szCs w:val="16"/>
                            </w:rPr>
                            <w:fldChar w:fldCharType="end"/>
                          </w:r>
                          <w:r w:rsidRPr="00E12C4A">
                            <w:rPr>
                              <w:sz w:val="16"/>
                              <w:szCs w:val="16"/>
                            </w:rPr>
                            <w:t xml:space="preserve"> (</w:t>
                          </w:r>
                          <w:r w:rsidR="0051139B">
                            <w:fldChar w:fldCharType="begin"/>
                          </w:r>
                          <w:r w:rsidR="0051139B">
                            <w:instrText xml:space="preserve"> SECTIONPAGES   \* MERGEFORMAT </w:instrText>
                          </w:r>
                          <w:r w:rsidR="0051139B">
                            <w:fldChar w:fldCharType="separate"/>
                          </w:r>
                          <w:r w:rsidR="0051139B" w:rsidRPr="0051139B">
                            <w:rPr>
                              <w:noProof/>
                              <w:sz w:val="16"/>
                              <w:szCs w:val="16"/>
                            </w:rPr>
                            <w:t>29</w:t>
                          </w:r>
                          <w:r w:rsidR="0051139B">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1139B">
                      <w:rPr>
                        <w:noProof/>
                        <w:sz w:val="16"/>
                        <w:szCs w:val="16"/>
                      </w:rPr>
                      <w:t>11</w:t>
                    </w:r>
                    <w:r w:rsidRPr="00E12C4A">
                      <w:rPr>
                        <w:sz w:val="16"/>
                        <w:szCs w:val="16"/>
                      </w:rPr>
                      <w:fldChar w:fldCharType="end"/>
                    </w:r>
                    <w:r w:rsidRPr="00E12C4A">
                      <w:rPr>
                        <w:sz w:val="16"/>
                        <w:szCs w:val="16"/>
                      </w:rPr>
                      <w:t xml:space="preserve"> (</w:t>
                    </w:r>
                    <w:r w:rsidR="0051139B">
                      <w:fldChar w:fldCharType="begin"/>
                    </w:r>
                    <w:r w:rsidR="0051139B">
                      <w:instrText xml:space="preserve"> SECTIONPAGES   \* MERGEFORMAT </w:instrText>
                    </w:r>
                    <w:r w:rsidR="0051139B">
                      <w:fldChar w:fldCharType="separate"/>
                    </w:r>
                    <w:r w:rsidR="0051139B" w:rsidRPr="0051139B">
                      <w:rPr>
                        <w:noProof/>
                        <w:sz w:val="16"/>
                        <w:szCs w:val="16"/>
                      </w:rPr>
                      <w:t>29</w:t>
                    </w:r>
                    <w:r w:rsidR="0051139B">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rsidR="00393514">
      <w:t>20</w:t>
    </w:r>
    <w:r>
      <w:t xml:space="preserve"> februari 201</w:t>
    </w:r>
    <w:bookmarkEnd w:id="119"/>
    <w:r>
      <w:t>4</w:t>
    </w:r>
  </w:p>
  <w:p w14:paraId="587ABBD2" w14:textId="760E31E6" w:rsidR="007A7129" w:rsidRDefault="007A7129" w:rsidP="00D774BC">
    <w:pPr>
      <w:tabs>
        <w:tab w:val="left" w:pos="6237"/>
      </w:tabs>
    </w:pPr>
    <w:r>
      <w:tab/>
    </w:r>
    <w:bookmarkStart w:id="120" w:name="LDnr"/>
    <w:bookmarkStart w:id="121" w:name="Dnr"/>
    <w:bookmarkEnd w:id="120"/>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Header"/>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7A7129" w:rsidRPr="00707E93" w:rsidRDefault="007A7129" w:rsidP="00514BAB">
          <w:pPr>
            <w:pStyle w:val="Header"/>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Header"/>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Header"/>
            <w:rPr>
              <w:rFonts w:cs="Georgia"/>
              <w:sz w:val="12"/>
              <w:szCs w:val="12"/>
            </w:rPr>
          </w:pPr>
        </w:p>
        <w:bookmarkStart w:id="125" w:name="Email"/>
        <w:bookmarkEnd w:id="125"/>
        <w:p w14:paraId="1389D9DA" w14:textId="004103EB" w:rsidR="007A7129" w:rsidRPr="00707E93" w:rsidRDefault="007A7129" w:rsidP="00514BAB">
          <w:pPr>
            <w:pStyle w:val="Header"/>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Header"/>
            <w:rPr>
              <w:rFonts w:cs="Georgia"/>
              <w:sz w:val="12"/>
              <w:szCs w:val="12"/>
            </w:rPr>
          </w:pPr>
        </w:p>
      </w:tc>
      <w:tc>
        <w:tcPr>
          <w:tcW w:w="4049" w:type="dxa"/>
        </w:tcPr>
        <w:p w14:paraId="3BC96ADA" w14:textId="77777777" w:rsidR="007A7129" w:rsidRPr="0024387D" w:rsidRDefault="007A7129" w:rsidP="00514BAB">
          <w:pPr>
            <w:pStyle w:val="Header"/>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Header"/>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Header"/>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Header"/>
            <w:rPr>
              <w:rFonts w:cs="Georgia"/>
              <w:sz w:val="12"/>
              <w:szCs w:val="12"/>
            </w:rPr>
          </w:pPr>
        </w:p>
      </w:tc>
      <w:tc>
        <w:tcPr>
          <w:tcW w:w="2976" w:type="dxa"/>
        </w:tcPr>
        <w:p w14:paraId="09468B72" w14:textId="77777777" w:rsidR="007A7129" w:rsidRPr="002C11AF" w:rsidRDefault="007A7129" w:rsidP="00514BAB">
          <w:pPr>
            <w:pStyle w:val="Header"/>
            <w:rPr>
              <w:rFonts w:cs="Georgia"/>
              <w:sz w:val="12"/>
              <w:szCs w:val="12"/>
            </w:rPr>
          </w:pPr>
        </w:p>
      </w:tc>
    </w:tr>
  </w:tbl>
  <w:p w14:paraId="7431164C" w14:textId="77777777" w:rsidR="007A7129" w:rsidRDefault="007A7129" w:rsidP="003755FD">
    <w:pPr>
      <w:pStyle w:val="Header"/>
    </w:pPr>
    <w:bookmarkStart w:id="128" w:name="Radera2"/>
    <w:bookmarkEnd w:id="128"/>
  </w:p>
  <w:p w14:paraId="1A31566D" w14:textId="77777777" w:rsidR="007A7129" w:rsidRDefault="007A7129" w:rsidP="003755FD">
    <w:pPr>
      <w:pStyle w:val="Header"/>
    </w:pPr>
  </w:p>
  <w:p w14:paraId="71CD4DF7" w14:textId="77777777" w:rsidR="007A7129" w:rsidRDefault="007A7129" w:rsidP="003755FD">
    <w:pPr>
      <w:pStyle w:val="Header"/>
    </w:pPr>
  </w:p>
  <w:p w14:paraId="6C34E9AD" w14:textId="7ABCC737" w:rsidR="007A7129" w:rsidRPr="003755FD" w:rsidRDefault="007A7129"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1139B">
                            <w:rPr>
                              <w:noProof/>
                              <w:sz w:val="16"/>
                              <w:szCs w:val="16"/>
                            </w:rPr>
                            <w:t>1</w:t>
                          </w:r>
                          <w:r w:rsidRPr="00E12C4A">
                            <w:rPr>
                              <w:sz w:val="16"/>
                              <w:szCs w:val="16"/>
                            </w:rPr>
                            <w:fldChar w:fldCharType="end"/>
                          </w:r>
                          <w:r w:rsidRPr="00E12C4A">
                            <w:rPr>
                              <w:sz w:val="16"/>
                              <w:szCs w:val="16"/>
                            </w:rPr>
                            <w:t xml:space="preserve"> (</w:t>
                          </w:r>
                          <w:r w:rsidR="0051139B">
                            <w:fldChar w:fldCharType="begin"/>
                          </w:r>
                          <w:r w:rsidR="0051139B">
                            <w:instrText xml:space="preserve"> SECTIONPAGES   \* MERGEFORMAT </w:instrText>
                          </w:r>
                          <w:r w:rsidR="0051139B">
                            <w:fldChar w:fldCharType="separate"/>
                          </w:r>
                          <w:r w:rsidR="0051139B" w:rsidRPr="0051139B">
                            <w:rPr>
                              <w:noProof/>
                              <w:sz w:val="16"/>
                              <w:szCs w:val="16"/>
                            </w:rPr>
                            <w:t>29</w:t>
                          </w:r>
                          <w:r w:rsidR="0051139B">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1139B">
                      <w:rPr>
                        <w:noProof/>
                        <w:sz w:val="16"/>
                        <w:szCs w:val="16"/>
                      </w:rPr>
                      <w:t>1</w:t>
                    </w:r>
                    <w:r w:rsidRPr="00E12C4A">
                      <w:rPr>
                        <w:sz w:val="16"/>
                        <w:szCs w:val="16"/>
                      </w:rPr>
                      <w:fldChar w:fldCharType="end"/>
                    </w:r>
                    <w:r w:rsidRPr="00E12C4A">
                      <w:rPr>
                        <w:sz w:val="16"/>
                        <w:szCs w:val="16"/>
                      </w:rPr>
                      <w:t xml:space="preserve"> (</w:t>
                    </w:r>
                    <w:r w:rsidR="0051139B">
                      <w:fldChar w:fldCharType="begin"/>
                    </w:r>
                    <w:r w:rsidR="0051139B">
                      <w:instrText xml:space="preserve"> SECTIONPAGES   \* MERGEFORMAT </w:instrText>
                    </w:r>
                    <w:r w:rsidR="0051139B">
                      <w:fldChar w:fldCharType="separate"/>
                    </w:r>
                    <w:r w:rsidR="0051139B" w:rsidRPr="0051139B">
                      <w:rPr>
                        <w:noProof/>
                        <w:sz w:val="16"/>
                        <w:szCs w:val="16"/>
                      </w:rPr>
                      <w:t>29</w:t>
                    </w:r>
                    <w:r w:rsidR="0051139B">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2030"/>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255A2"/>
    <w:rsid w:val="004375C9"/>
    <w:rsid w:val="004433BE"/>
    <w:rsid w:val="00444C74"/>
    <w:rsid w:val="00447D6B"/>
    <w:rsid w:val="00460BEE"/>
    <w:rsid w:val="00482B99"/>
    <w:rsid w:val="00491FA2"/>
    <w:rsid w:val="0049416E"/>
    <w:rsid w:val="004B0B17"/>
    <w:rsid w:val="004B347C"/>
    <w:rsid w:val="004C349F"/>
    <w:rsid w:val="004E5ECE"/>
    <w:rsid w:val="004F2686"/>
    <w:rsid w:val="004F39E1"/>
    <w:rsid w:val="004F3D80"/>
    <w:rsid w:val="005022A2"/>
    <w:rsid w:val="0051139B"/>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11BBA"/>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21C11"/>
    <w:rsid w:val="00D255AB"/>
    <w:rsid w:val="00D42965"/>
    <w:rsid w:val="00D43587"/>
    <w:rsid w:val="00D5124B"/>
    <w:rsid w:val="00D53A9A"/>
    <w:rsid w:val="00D5572D"/>
    <w:rsid w:val="00D728C5"/>
    <w:rsid w:val="00D774BC"/>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24D76"/>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inera.se/Documents/TJANSTER_PROJEKT/Katalogtjanst_HSA/Innehall/hsa_innehall_befattning.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71145-362C-7E46-AA95-3164883B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1686</TotalTime>
  <Pages>29</Pages>
  <Words>4927</Words>
  <Characters>36608</Characters>
  <Application>Microsoft Macintosh Word</Application>
  <DocSecurity>0</DocSecurity>
  <Lines>2033</Lines>
  <Paragraphs>1258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40277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Khaled Daham</cp:lastModifiedBy>
  <cp:revision>107</cp:revision>
  <dcterms:created xsi:type="dcterms:W3CDTF">2014-02-03T09:54:00Z</dcterms:created>
  <dcterms:modified xsi:type="dcterms:W3CDTF">2014-02-20T16:24:00Z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