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6E842E47" w14:textId="77777777" w:rsidR="00D13D4A" w:rsidRDefault="00D13D4A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/>
          <w:b/>
          <w:sz w:val="56"/>
        </w:rPr>
        <w:t>Samordna resurser över verksamhetsstrukturer</w:t>
      </w:r>
      <w:r w:rsidRPr="001E472A">
        <w:rPr>
          <w:rFonts w:ascii="Arial" w:hAnsi="Arial" w:cs="Arial"/>
          <w:sz w:val="56"/>
          <w:szCs w:val="56"/>
        </w:rPr>
        <w:t xml:space="preserve"> </w:t>
      </w:r>
    </w:p>
    <w:p w14:paraId="7DCB611A" w14:textId="5FF05619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0BE54995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718813B0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1604C">
        <w:rPr>
          <w:color w:val="92D050"/>
          <w:sz w:val="36"/>
          <w:szCs w:val="36"/>
        </w:rPr>
        <w:t>3</w:t>
      </w:r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0</w:t>
      </w:r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56389B37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</w:t>
      </w:r>
      <w:r w:rsidR="00A1604C">
        <w:rPr>
          <w:color w:val="92D050"/>
          <w:sz w:val="36"/>
          <w:szCs w:val="36"/>
        </w:rPr>
        <w:t>3</w:t>
      </w:r>
      <w:r w:rsidR="0016752C">
        <w:rPr>
          <w:color w:val="92D050"/>
          <w:sz w:val="36"/>
          <w:szCs w:val="36"/>
        </w:rPr>
        <w:t>-</w:t>
      </w:r>
      <w:r w:rsidR="00A1604C">
        <w:rPr>
          <w:color w:val="92D050"/>
          <w:sz w:val="36"/>
          <w:szCs w:val="36"/>
        </w:rPr>
        <w:t>13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72CB2390" w14:textId="77777777" w:rsidR="00D13D4A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3931" w:history="1">
        <w:r w:rsidR="00D13D4A" w:rsidRPr="00425C0B">
          <w:rPr>
            <w:rStyle w:val="Hyperlnk"/>
          </w:rPr>
          <w:t>1.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Inledning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_Toc380693931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4</w:t>
        </w:r>
        <w:r w:rsidR="00D13D4A">
          <w:rPr>
            <w:webHidden/>
          </w:rPr>
          <w:fldChar w:fldCharType="end"/>
        </w:r>
      </w:hyperlink>
    </w:p>
    <w:p w14:paraId="762034BC" w14:textId="77777777" w:rsidR="00D13D4A" w:rsidRDefault="00B877F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2" w:history="1">
        <w:r w:rsidR="00D13D4A" w:rsidRPr="00425C0B">
          <w:rPr>
            <w:rStyle w:val="Hyperlnk"/>
            <w:noProof/>
          </w:rPr>
          <w:t>1.1.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Syfte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_Toc380693932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4C940004" w14:textId="77777777" w:rsidR="00D13D4A" w:rsidRDefault="00B877F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3" w:history="1">
        <w:r w:rsidR="00D13D4A" w:rsidRPr="00425C0B">
          <w:rPr>
            <w:rStyle w:val="Hyperlnk"/>
            <w:noProof/>
          </w:rPr>
          <w:t>1.2.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Begrepp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_Toc380693933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64D16CB2" w14:textId="77777777" w:rsidR="00D13D4A" w:rsidRDefault="00B877F7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3934" w:history="1">
        <w:r w:rsidR="00D13D4A" w:rsidRPr="00425C0B">
          <w:rPr>
            <w:rStyle w:val="Hyperlnk"/>
          </w:rPr>
          <w:t>2.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Arkitekturella beslut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_Toc380693934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5</w:t>
        </w:r>
        <w:r w:rsidR="00D13D4A">
          <w:rPr>
            <w:webHidden/>
          </w:rPr>
          <w:fldChar w:fldCharType="end"/>
        </w:r>
      </w:hyperlink>
    </w:p>
    <w:p w14:paraId="5143E14C" w14:textId="77777777" w:rsidR="00D13D4A" w:rsidRDefault="00B877F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5" w:history="1">
        <w:r w:rsidR="00D13D4A" w:rsidRPr="00425C0B">
          <w:rPr>
            <w:rStyle w:val="Hyperlnk"/>
            <w:noProof/>
          </w:rPr>
          <w:t>2.1.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AB: Tydliggörande avseende tjänstekontraktsbeskrivningen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_Toc380693935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5</w:t>
        </w:r>
        <w:r w:rsidR="00D13D4A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FA96544" w:rsidR="0016752C" w:rsidRPr="00031B12" w:rsidRDefault="00740537" w:rsidP="004972DF">
            <w:pPr>
              <w:pStyle w:val="TableText"/>
              <w:ind w:right="0"/>
              <w:jc w:val="center"/>
            </w:pPr>
            <w:r>
              <w:t>2014-02</w:t>
            </w:r>
            <w:r w:rsidR="0016752C">
              <w:t>-20</w:t>
            </w:r>
          </w:p>
        </w:tc>
        <w:tc>
          <w:tcPr>
            <w:tcW w:w="4140" w:type="dxa"/>
          </w:tcPr>
          <w:p w14:paraId="24FCBDD4" w14:textId="3411BF4C" w:rsidR="0016752C" w:rsidRPr="00740537" w:rsidRDefault="0016752C" w:rsidP="00B3392E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 xml:space="preserve">Lagt till </w:t>
            </w:r>
            <w:r w:rsidR="007603DA" w:rsidRPr="00740537">
              <w:rPr>
                <w:lang w:val="sv-SE"/>
              </w:rPr>
              <w:t>kommentar</w:t>
            </w:r>
            <w:r w:rsidRPr="00740537">
              <w:rPr>
                <w:lang w:val="sv-SE"/>
              </w:rPr>
              <w:t xml:space="preserve"> </w:t>
            </w:r>
            <w:r w:rsidR="00B3392E" w:rsidRPr="00740537">
              <w:rPr>
                <w:lang w:val="sv-SE"/>
              </w:rPr>
              <w:t>om</w:t>
            </w:r>
            <w:r w:rsidRPr="00740537">
              <w:rPr>
                <w:lang w:val="sv-SE"/>
              </w:rPr>
              <w:t xml:space="preserve"> anslutningskatalog</w:t>
            </w:r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111A7E13" w:rsidR="00740537" w:rsidRDefault="00740537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66C568B8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skrivfel och rc nummer</w:t>
            </w:r>
          </w:p>
        </w:tc>
        <w:tc>
          <w:tcPr>
            <w:tcW w:w="1980" w:type="dxa"/>
          </w:tcPr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A1604C" w14:paraId="247B3A98" w14:textId="77777777" w:rsidTr="00933E2C">
        <w:tc>
          <w:tcPr>
            <w:tcW w:w="964" w:type="dxa"/>
          </w:tcPr>
          <w:p w14:paraId="0B3F60BB" w14:textId="2683AB44" w:rsidR="00A1604C" w:rsidRDefault="00A1604C" w:rsidP="00933E2C">
            <w:pPr>
              <w:pStyle w:val="TableText"/>
              <w:ind w:right="0"/>
              <w:jc w:val="center"/>
            </w:pPr>
            <w:r>
              <w:t>3.0.RC1</w:t>
            </w:r>
          </w:p>
        </w:tc>
        <w:tc>
          <w:tcPr>
            <w:tcW w:w="1224" w:type="dxa"/>
          </w:tcPr>
          <w:p w14:paraId="196EA22E" w14:textId="244E2593" w:rsidR="00A1604C" w:rsidRDefault="00A1604C" w:rsidP="004972DF">
            <w:pPr>
              <w:pStyle w:val="TableText"/>
              <w:ind w:right="0"/>
              <w:jc w:val="center"/>
            </w:pPr>
            <w:r>
              <w:t>2014-03-13</w:t>
            </w:r>
          </w:p>
        </w:tc>
        <w:tc>
          <w:tcPr>
            <w:tcW w:w="4140" w:type="dxa"/>
          </w:tcPr>
          <w:p w14:paraId="445073AF" w14:textId="65043205" w:rsidR="00A1604C" w:rsidRDefault="00A1604C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 och datum</w:t>
            </w:r>
          </w:p>
        </w:tc>
        <w:tc>
          <w:tcPr>
            <w:tcW w:w="1980" w:type="dxa"/>
          </w:tcPr>
          <w:p w14:paraId="5D72EA85" w14:textId="6CFFDDCE" w:rsidR="00A1604C" w:rsidRDefault="00A1604C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  <w:bookmarkStart w:id="1" w:name="_GoBack"/>
            <w:bookmarkEnd w:id="1"/>
          </w:p>
        </w:tc>
        <w:tc>
          <w:tcPr>
            <w:tcW w:w="1440" w:type="dxa"/>
          </w:tcPr>
          <w:p w14:paraId="1C9BEA61" w14:textId="77777777" w:rsidR="00A1604C" w:rsidRPr="00740537" w:rsidRDefault="00A1604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Tjänstekontraktsbeskrivning clinicalprocess_logistics_logistics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0693931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80693932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80693933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3934"/>
      <w:r w:rsidRPr="008007C3">
        <w:lastRenderedPageBreak/>
        <w:t>Arkitekturella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Rubrik2"/>
      </w:pPr>
      <w:bookmarkStart w:id="11" w:name="_Toc185913456"/>
      <w:bookmarkStart w:id="12" w:name="_Toc380693935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31C9B" w14:textId="77777777" w:rsidR="00B877F7" w:rsidRDefault="00B877F7" w:rsidP="00C72B17">
      <w:pPr>
        <w:spacing w:line="240" w:lineRule="auto"/>
      </w:pPr>
      <w:r>
        <w:separator/>
      </w:r>
    </w:p>
  </w:endnote>
  <w:endnote w:type="continuationSeparator" w:id="0">
    <w:p w14:paraId="253AA665" w14:textId="77777777" w:rsidR="00B877F7" w:rsidRDefault="00B877F7" w:rsidP="00C72B17">
      <w:pPr>
        <w:spacing w:line="240" w:lineRule="auto"/>
      </w:pPr>
      <w:r>
        <w:continuationSeparator/>
      </w:r>
    </w:p>
  </w:endnote>
  <w:endnote w:type="continuationNotice" w:id="1">
    <w:p w14:paraId="7D429598" w14:textId="77777777" w:rsidR="00B877F7" w:rsidRDefault="00B877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11356" w14:textId="77777777" w:rsidR="00B877F7" w:rsidRDefault="00B877F7" w:rsidP="00C72B17">
      <w:pPr>
        <w:spacing w:line="240" w:lineRule="auto"/>
      </w:pPr>
      <w:r>
        <w:separator/>
      </w:r>
    </w:p>
  </w:footnote>
  <w:footnote w:type="continuationSeparator" w:id="0">
    <w:p w14:paraId="6D63564F" w14:textId="77777777" w:rsidR="00B877F7" w:rsidRDefault="00B877F7" w:rsidP="00C72B17">
      <w:pPr>
        <w:spacing w:line="240" w:lineRule="auto"/>
      </w:pPr>
      <w:r>
        <w:continuationSeparator/>
      </w:r>
    </w:p>
  </w:footnote>
  <w:footnote w:type="continuationNotice" w:id="1">
    <w:p w14:paraId="0265227C" w14:textId="77777777" w:rsidR="00B877F7" w:rsidRDefault="00B877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1102DD68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A1604C">
      <w:t>13</w:t>
    </w:r>
    <w:r>
      <w:t xml:space="preserve"> </w:t>
    </w:r>
    <w:r w:rsidR="00A1604C">
      <w:t>mars</w:t>
    </w:r>
    <w:r w:rsidR="00740537">
      <w:t xml:space="preserve"> </w:t>
    </w:r>
    <w:r>
      <w:t>201</w:t>
    </w:r>
    <w:bookmarkEnd w:id="13"/>
    <w:r w:rsidR="00740537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604C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1604C" w:rsidRPr="00A1604C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1604C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1604C" w:rsidRPr="00A1604C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54104E76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A1604C">
      <w:t>13</w:t>
    </w:r>
    <w:r>
      <w:t xml:space="preserve"> </w:t>
    </w:r>
    <w:r w:rsidR="00A1604C">
      <w:t>mars</w:t>
    </w:r>
    <w:r w:rsidR="00740537">
      <w:t xml:space="preserve"> </w:t>
    </w:r>
    <w:r>
      <w:t>201</w:t>
    </w:r>
    <w:bookmarkEnd w:id="16"/>
    <w:r w:rsidR="00740537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0708-224186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604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1604C" w:rsidRPr="00A1604C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1604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1604C" w:rsidRPr="00A1604C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40537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604C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877F7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3904-C32E-4D52-8E85-4913828C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14</TotalTime>
  <Pages>5</Pages>
  <Words>464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2922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21</cp:revision>
  <dcterms:created xsi:type="dcterms:W3CDTF">2013-08-28T13:45:00Z</dcterms:created>
  <dcterms:modified xsi:type="dcterms:W3CDTF">2014-03-13T15:40:00Z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