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48DC7F0"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F767CA">
        <w:rPr>
          <w:rFonts w:ascii="Arial" w:hAnsi="Arial"/>
          <w:sz w:val="36"/>
        </w:rPr>
        <w:t>2</w:t>
      </w:r>
    </w:p>
    <w:p w14:paraId="087F92D2" w14:textId="0207A6CE"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D331A">
        <w:rPr>
          <w:rFonts w:ascii="Arial" w:hAnsi="Arial"/>
          <w:sz w:val="36"/>
        </w:rPr>
        <w:t>10</w:t>
      </w:r>
      <w:r w:rsidR="006F251E">
        <w:rPr>
          <w:rFonts w:ascii="Arial" w:hAnsi="Arial"/>
          <w:sz w:val="36"/>
        </w:rPr>
        <w:t>-</w:t>
      </w:r>
      <w:r w:rsidR="00F767CA">
        <w:rPr>
          <w:rFonts w:ascii="Arial" w:hAnsi="Arial"/>
          <w:sz w:val="36"/>
        </w:rPr>
        <w:t>17</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Korrigerat beskrivningen av documentId i PatientSummaryHeader</w:t>
            </w:r>
            <w:bookmarkStart w:id="0" w:name="_GoBack"/>
            <w:bookmarkEnd w:id="0"/>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bl>
    <w:p w14:paraId="2A423960" w14:textId="3FC2BE08"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90203D">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90203D">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90203D">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90203D">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90203D">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90203D">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90203D">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90203D">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90203D">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90203D">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90203D">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90203D">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90203D">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90203D">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90203D">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90203D">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90203D">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90203D">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90203D">
        <w:rPr>
          <w:noProof/>
        </w:rPr>
        <w:t>16</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90203D">
        <w:rPr>
          <w:noProof/>
        </w:rPr>
        <w:t>16</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90203D">
        <w:rPr>
          <w:noProof/>
        </w:rPr>
        <w:t>16</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90203D">
        <w:rPr>
          <w:noProof/>
        </w:rPr>
        <w:t>16</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90203D">
        <w:rPr>
          <w:noProof/>
        </w:rPr>
        <w:t>16</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90203D">
        <w:rPr>
          <w:noProof/>
        </w:rPr>
        <w:t>16</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90203D">
        <w:rPr>
          <w:noProof/>
        </w:rPr>
        <w:t>16</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90203D">
        <w:rPr>
          <w:noProof/>
        </w:rPr>
        <w:t>16</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90203D">
        <w:rPr>
          <w:noProof/>
        </w:rPr>
        <w:t>16</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90203D">
        <w:rPr>
          <w:noProof/>
        </w:rPr>
        <w:t>16</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90203D">
        <w:rPr>
          <w:noProof/>
        </w:rPr>
        <w:t>16</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90203D">
        <w:rPr>
          <w:noProof/>
        </w:rPr>
        <w:t>16</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90203D">
        <w:rPr>
          <w:noProof/>
        </w:rPr>
        <w:t>16</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29538589"/>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13FFCE8F"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Björn Skeppner, Inera</w:t>
                            </w:r>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Björn Strihagen, Inera</w:t>
                            </w:r>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 xml:space="preserve">Johan </w:t>
                      </w:r>
                      <w:proofErr w:type="spellStart"/>
                      <w:r>
                        <w:rPr>
                          <w:b/>
                          <w:i/>
                        </w:rPr>
                        <w:t>Eltes</w:t>
                      </w:r>
                      <w:proofErr w:type="spellEnd"/>
                      <w:r>
                        <w:rPr>
                          <w:b/>
                          <w:i/>
                        </w:rPr>
                        <w:t>, Callista</w:t>
                      </w:r>
                    </w:p>
                    <w:p w14:paraId="5EBF459A" w14:textId="6ADE153E" w:rsidR="009A76DC" w:rsidRDefault="009A76DC"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 xml:space="preserve">Johan </w:t>
                      </w:r>
                      <w:proofErr w:type="spellStart"/>
                      <w:r>
                        <w:rPr>
                          <w:b/>
                          <w:i/>
                        </w:rPr>
                        <w:t>Eltes</w:t>
                      </w:r>
                      <w:proofErr w:type="spellEnd"/>
                      <w:r>
                        <w:rPr>
                          <w:b/>
                          <w:i/>
                        </w:rPr>
                        <w:t>,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29538590"/>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29538591"/>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29538592"/>
      <w:r w:rsidRPr="00660DFA">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lastRenderedPageBreak/>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29538593"/>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information från alla producenter i regionen, avseende ett visst tjänstekontrakt inom </w:t>
      </w:r>
      <w:r>
        <w:lastRenderedPageBreak/>
        <w:t>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29538594"/>
      <w:r w:rsidRPr="00660DFA">
        <w:t>Adresseringsmodell</w:t>
      </w:r>
      <w:bookmarkEnd w:id="19"/>
      <w:bookmarkEnd w:id="20"/>
      <w:bookmarkEnd w:id="21"/>
      <w:bookmarkEnd w:id="22"/>
    </w:p>
    <w:p w14:paraId="28A94156" w14:textId="50E580B6" w:rsidR="00074256" w:rsidRDefault="00074256" w:rsidP="00916805">
      <w:pPr>
        <w:pStyle w:val="Brd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29538595"/>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29538596"/>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29538597"/>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w:t>
      </w:r>
      <w:r>
        <w:lastRenderedPageBreak/>
        <w:t>för journalhistorik (t.ex. tjänstekontrakt i domänen 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29538598"/>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r>
              <w:t>Ineras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29538599"/>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29538600"/>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29538601"/>
      <w:r>
        <w:t xml:space="preserve">Medarbetarens </w:t>
      </w:r>
      <w:r w:rsidRPr="004F0149">
        <w:t>direktåtkomst</w:t>
      </w:r>
      <w:bookmarkEnd w:id="40"/>
      <w:bookmarkEnd w:id="41"/>
      <w:bookmarkEnd w:id="42"/>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w:t>
      </w:r>
      <w:r>
        <w:lastRenderedPageBreak/>
        <w:t>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916805">
      <w:pPr>
        <w:pStyle w:val="Rubrik2b"/>
        <w:numPr>
          <w:ilvl w:val="0"/>
          <w:numId w:val="0"/>
        </w:numPr>
        <w:ind w:left="792"/>
        <w:rPr>
          <w:b w:val="0"/>
          <w:i/>
        </w:rPr>
      </w:pPr>
      <w:bookmarkStart w:id="43" w:name="_Toc219337772"/>
      <w:bookmarkStart w:id="44" w:name="_Toc227077996"/>
      <w:bookmarkStart w:id="45" w:name="_Toc229537043"/>
      <w:bookmarkStart w:id="46" w:name="_Toc229538602"/>
      <w:r w:rsidRPr="00916805">
        <w:rPr>
          <w:b w:val="0"/>
          <w:i/>
        </w:rPr>
        <w:t>Patientens direktåtkomst</w:t>
      </w:r>
      <w:bookmarkEnd w:id="43"/>
      <w:bookmarkEnd w:id="44"/>
      <w:bookmarkEnd w:id="45"/>
      <w:bookmarkEnd w:id="46"/>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29538603"/>
      <w:r w:rsidRPr="004F0149">
        <w:t>Generellt</w:t>
      </w:r>
      <w:bookmarkEnd w:id="47"/>
      <w:bookmarkEnd w:id="48"/>
      <w:bookmarkEnd w:id="49"/>
    </w:p>
    <w:p w14:paraId="7289E800" w14:textId="7494B9E2"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Pr="005F1D2D">
        <w:t xml:space="preserve"> identitet (d.v.s. ursprunglig tjänstekonsument i anropskedjan) får bara användas för teknisk åtkomstbegränsning på så sätt att svaret blir som om de PDL-enheter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29538604"/>
      <w:r w:rsidRPr="00660DFA">
        <w:t>Tjänstekontraktens</w:t>
      </w:r>
      <w:r w:rsidRPr="00BC5B0B">
        <w:t xml:space="preserve"> desi</w:t>
      </w:r>
      <w:bookmarkEnd w:id="50"/>
      <w:r>
        <w:t>gn</w:t>
      </w:r>
      <w:bookmarkEnd w:id="51"/>
      <w:bookmarkEnd w:id="52"/>
      <w:bookmarkEnd w:id="53"/>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w:t>
      </w:r>
      <w:r w:rsidRPr="005F1D2D">
        <w:lastRenderedPageBreak/>
        <w:t xml:space="preserve">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29538606"/>
      <w:r>
        <w:t>Uppdatering av engagemangsindex</w:t>
      </w:r>
      <w:bookmarkEnd w:id="58"/>
      <w:bookmarkEnd w:id="59"/>
      <w:bookmarkEnd w:id="60"/>
      <w:bookmarkEnd w:id="6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lastRenderedPageBreak/>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r w:rsidRPr="008276C4">
              <w:t>Personuppgitsansvarig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Del av instansens unikhet</w:t>
            </w:r>
          </w:p>
        </w:tc>
      </w:tr>
      <w:tr w:rsidR="002F08D2" w:rsidRPr="00A303BB" w14:paraId="69ACC94B" w14:textId="77777777" w:rsidTr="003658DE">
        <w:tc>
          <w:tcPr>
            <w:tcW w:w="1540" w:type="dxa"/>
            <w:shd w:val="clear" w:color="auto" w:fill="auto"/>
          </w:tcPr>
          <w:p w14:paraId="546E1306" w14:textId="20A93C1E" w:rsidR="002F08D2" w:rsidRPr="008276C4" w:rsidRDefault="002F08D2" w:rsidP="003658DE">
            <w:pPr>
              <w:pStyle w:val="Brdtext"/>
              <w:ind w:left="0"/>
            </w:pPr>
            <w:r w:rsidRPr="003F0D91">
              <w:t>Source System</w:t>
            </w:r>
          </w:p>
        </w:tc>
        <w:tc>
          <w:tcPr>
            <w:tcW w:w="1262" w:type="dxa"/>
            <w:shd w:val="clear" w:color="auto" w:fill="auto"/>
          </w:tcPr>
          <w:p w14:paraId="1DDCA8E5" w14:textId="177416E1" w:rsidR="002F08D2" w:rsidRPr="008276C4" w:rsidRDefault="002F08D2" w:rsidP="003658DE">
            <w:pPr>
              <w:pStyle w:val="Brdtext"/>
              <w:ind w:left="0"/>
            </w:pPr>
            <w:r w:rsidRPr="003F0D91">
              <w:t>Systemet som genererad</w:t>
            </w:r>
            <w:r w:rsidRPr="003F0D91">
              <w:lastRenderedPageBreak/>
              <w:t>e engagemangsposten</w:t>
            </w:r>
          </w:p>
        </w:tc>
        <w:tc>
          <w:tcPr>
            <w:tcW w:w="2444" w:type="dxa"/>
            <w:shd w:val="clear" w:color="auto" w:fill="auto"/>
          </w:tcPr>
          <w:p w14:paraId="35481942" w14:textId="5B9E7042" w:rsidR="002F08D2" w:rsidRPr="008276C4" w:rsidRDefault="002F08D2" w:rsidP="003658DE">
            <w:pPr>
              <w:pStyle w:val="Brdtext"/>
              <w:ind w:left="0"/>
            </w:pPr>
            <w:r w:rsidRPr="003F0D91">
              <w:lastRenderedPageBreak/>
              <w:t xml:space="preserve">Källsystemets HSA-id. Detta HSA-id ska gälla den </w:t>
            </w:r>
            <w:r w:rsidRPr="003F0D91">
              <w:lastRenderedPageBreak/>
              <w:t>systeminstans som ansvarar för originalinformationen. Det kan vara ett annat HSA-id än för den tekniska anslutningspunkten.</w:t>
            </w:r>
          </w:p>
        </w:tc>
        <w:tc>
          <w:tcPr>
            <w:tcW w:w="788" w:type="dxa"/>
            <w:shd w:val="clear" w:color="auto" w:fill="auto"/>
          </w:tcPr>
          <w:p w14:paraId="29FDB811" w14:textId="6845687E" w:rsidR="002F08D2" w:rsidRPr="008276C4" w:rsidRDefault="002F08D2" w:rsidP="003658DE">
            <w:pPr>
              <w:pStyle w:val="Brdtext"/>
              <w:ind w:left="0"/>
            </w:pPr>
            <w:r w:rsidRPr="003F0D91">
              <w:lastRenderedPageBreak/>
              <w:t>1..1</w:t>
            </w:r>
          </w:p>
        </w:tc>
        <w:tc>
          <w:tcPr>
            <w:tcW w:w="1998" w:type="dxa"/>
            <w:shd w:val="clear" w:color="auto" w:fill="auto"/>
          </w:tcPr>
          <w:p w14:paraId="058B3BC5" w14:textId="49C6A5C8" w:rsidR="002F08D2" w:rsidRPr="008276C4" w:rsidRDefault="002F08D2" w:rsidP="003658DE">
            <w:pPr>
              <w:pStyle w:val="Brdtext"/>
              <w:ind w:left="0"/>
            </w:pPr>
            <w:r w:rsidRPr="003F0D91">
              <w:t xml:space="preserve">Syftet är att underlätta felsökning och ge </w:t>
            </w:r>
            <w:r w:rsidRPr="003F0D91">
              <w:lastRenderedPageBreak/>
              <w:t>spårbarhet.</w:t>
            </w:r>
          </w:p>
        </w:tc>
        <w:tc>
          <w:tcPr>
            <w:tcW w:w="1330" w:type="dxa"/>
            <w:shd w:val="clear" w:color="auto" w:fill="auto"/>
          </w:tcPr>
          <w:p w14:paraId="4980B501" w14:textId="64D2B4BC" w:rsidR="002F08D2" w:rsidRPr="008276C4" w:rsidRDefault="002F08D2" w:rsidP="003658DE">
            <w:pPr>
              <w:pStyle w:val="Brdtext"/>
              <w:ind w:left="0"/>
            </w:pPr>
            <w:r w:rsidRPr="003F0D91">
              <w:lastRenderedPageBreak/>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29538607"/>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29538608"/>
      <w:r>
        <w:t>Gemensamma konsumentregler</w:t>
      </w:r>
      <w:bookmarkEnd w:id="66"/>
      <w:bookmarkEnd w:id="67"/>
      <w:bookmarkEnd w:id="68"/>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69" w:name="_Toc341787026"/>
      <w:bookmarkStart w:id="70" w:name="_Toc219337779"/>
      <w:bookmarkStart w:id="71" w:name="_Toc227635044"/>
      <w:bookmarkStart w:id="72" w:name="_Toc227659617"/>
      <w:bookmarkStart w:id="73" w:name="_Toc229538609"/>
      <w:r w:rsidRPr="00BC5B0B">
        <w:lastRenderedPageBreak/>
        <w:t>Format för Datum</w:t>
      </w:r>
      <w:bookmarkEnd w:id="69"/>
      <w:bookmarkEnd w:id="70"/>
      <w:bookmarkEnd w:id="71"/>
      <w:bookmarkEnd w:id="72"/>
      <w:bookmarkEnd w:id="73"/>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4" w:name="_Toc341787027"/>
      <w:bookmarkStart w:id="75" w:name="_Toc219337780"/>
      <w:bookmarkStart w:id="76" w:name="_Toc227635045"/>
      <w:bookmarkStart w:id="77" w:name="_Toc227659618"/>
      <w:bookmarkStart w:id="78" w:name="_Toc229538610"/>
      <w:r w:rsidRPr="00BC5B0B">
        <w:t>Format för tidpunkter</w:t>
      </w:r>
      <w:bookmarkEnd w:id="74"/>
      <w:bookmarkEnd w:id="75"/>
      <w:bookmarkEnd w:id="76"/>
      <w:bookmarkEnd w:id="77"/>
      <w:bookmarkEnd w:id="78"/>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79" w:name="_Toc341787028"/>
      <w:bookmarkStart w:id="80" w:name="_Toc219337781"/>
      <w:bookmarkStart w:id="81" w:name="_Toc227635046"/>
      <w:bookmarkStart w:id="82" w:name="_Toc227659619"/>
      <w:bookmarkStart w:id="83" w:name="_Toc229538611"/>
      <w:r w:rsidRPr="00BC5B0B">
        <w:t>Tidszon för tidpunkter</w:t>
      </w:r>
      <w:bookmarkEnd w:id="79"/>
      <w:bookmarkEnd w:id="80"/>
      <w:bookmarkEnd w:id="81"/>
      <w:bookmarkEnd w:id="82"/>
      <w:bookmarkEnd w:id="83"/>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4" w:name="_Toc227635047"/>
      <w:bookmarkStart w:id="85" w:name="_Toc227659620"/>
      <w:bookmarkStart w:id="86" w:name="_Toc229538612"/>
      <w:r>
        <w:t>Personidentifierare</w:t>
      </w:r>
      <w:bookmarkEnd w:id="84"/>
      <w:bookmarkEnd w:id="85"/>
      <w:bookmarkEnd w:id="8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7" w:name="_Toc341787029"/>
      <w:bookmarkStart w:id="88" w:name="_Toc219337782"/>
      <w:bookmarkStart w:id="89" w:name="_Toc227635048"/>
      <w:bookmarkStart w:id="90" w:name="_Toc227659621"/>
      <w:bookmarkStart w:id="91" w:name="_Toc229538613"/>
      <w:r w:rsidRPr="00BC5B0B">
        <w:t>Felhantering</w:t>
      </w:r>
      <w:bookmarkEnd w:id="87"/>
      <w:bookmarkEnd w:id="88"/>
      <w:bookmarkEnd w:id="89"/>
      <w:bookmarkEnd w:id="90"/>
      <w:bookmarkEnd w:id="91"/>
    </w:p>
    <w:p w14:paraId="63CE05AD" w14:textId="4ABD7425" w:rsidR="00D218F3" w:rsidRPr="00BC5B0B"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2" w:name="_Toc227635049"/>
      <w:bookmarkStart w:id="93" w:name="_Toc227659622"/>
      <w:bookmarkStart w:id="94" w:name="_Toc229538614"/>
      <w:bookmarkStart w:id="95" w:name="_Toc341787030"/>
      <w:r w:rsidRPr="00907C9B">
        <w:rPr>
          <w:spacing w:val="1"/>
        </w:rPr>
        <w:t>Gemensamma informationskomponenter</w:t>
      </w:r>
      <w:bookmarkEnd w:id="92"/>
      <w:bookmarkEnd w:id="93"/>
      <w:bookmarkEnd w:id="94"/>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r>
        <w:rPr>
          <w:rFonts w:ascii="Arial" w:hAnsi="Arial" w:cs="Arial"/>
          <w:b/>
        </w:rPr>
        <w:t>ActorType</w:t>
      </w:r>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r>
              <w:rPr>
                <w:b/>
              </w:rPr>
              <w:t>Datatyp</w:t>
            </w:r>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r>
              <w:t>hsaId</w:t>
            </w:r>
          </w:p>
        </w:tc>
        <w:tc>
          <w:tcPr>
            <w:tcW w:w="1418" w:type="dxa"/>
          </w:tcPr>
          <w:p w14:paraId="08CC4D90" w14:textId="77777777" w:rsidR="00141BEB" w:rsidRPr="000A0B70" w:rsidRDefault="00141BEB" w:rsidP="000043B1">
            <w:pPr>
              <w:pStyle w:val="TableParagraph"/>
            </w:pPr>
            <w:r>
              <w:t>HSAIdType</w:t>
            </w:r>
          </w:p>
        </w:tc>
        <w:tc>
          <w:tcPr>
            <w:tcW w:w="3827" w:type="dxa"/>
          </w:tcPr>
          <w:p w14:paraId="20C83CAB" w14:textId="77777777" w:rsidR="00141BEB" w:rsidRPr="00907C9B" w:rsidRDefault="00141BEB" w:rsidP="000043B1">
            <w:pPr>
              <w:pStyle w:val="TableParagraph"/>
              <w:rPr>
                <w:spacing w:val="-1"/>
              </w:rPr>
            </w:pPr>
            <w:r>
              <w:rPr>
                <w:spacing w:val="-1"/>
              </w:rPr>
              <w:t>HSAid för personen</w:t>
            </w:r>
          </w:p>
        </w:tc>
        <w:tc>
          <w:tcPr>
            <w:tcW w:w="1337" w:type="dxa"/>
          </w:tcPr>
          <w:p w14:paraId="3CCC3E2B" w14:textId="77777777" w:rsidR="00141BEB" w:rsidRPr="00907C9B" w:rsidRDefault="00141BEB" w:rsidP="000043B1">
            <w:pPr>
              <w:pStyle w:val="TableParagraph"/>
              <w:rPr>
                <w:spacing w:val="-1"/>
              </w:rPr>
            </w:pPr>
            <w:r>
              <w:rPr>
                <w:spacing w:val="-1"/>
              </w:rPr>
              <w:t>0..1</w:t>
            </w:r>
          </w:p>
        </w:tc>
      </w:tr>
      <w:tr w:rsidR="00141BEB" w14:paraId="33746962" w14:textId="77777777" w:rsidTr="000043B1">
        <w:tc>
          <w:tcPr>
            <w:tcW w:w="2518" w:type="dxa"/>
          </w:tcPr>
          <w:p w14:paraId="15CD1465" w14:textId="77777777" w:rsidR="00141BEB" w:rsidRPr="00490821" w:rsidRDefault="00141BEB" w:rsidP="000043B1">
            <w:pPr>
              <w:pStyle w:val="TableParagraph"/>
            </w:pPr>
            <w:r w:rsidRPr="00490821">
              <w:t>name</w:t>
            </w:r>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0..1</w:t>
            </w:r>
          </w:p>
        </w:tc>
      </w:tr>
      <w:tr w:rsidR="00141BEB" w14:paraId="16D1A89D" w14:textId="77777777" w:rsidTr="000043B1">
        <w:tc>
          <w:tcPr>
            <w:tcW w:w="2518" w:type="dxa"/>
          </w:tcPr>
          <w:p w14:paraId="13FB969E" w14:textId="77777777" w:rsidR="00141BEB" w:rsidRPr="00490821" w:rsidRDefault="00141BEB" w:rsidP="000043B1">
            <w:pPr>
              <w:pStyle w:val="TableParagraph"/>
            </w:pPr>
            <w:r w:rsidRPr="00490821">
              <w:t>personTelecom</w:t>
            </w:r>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0..1</w:t>
            </w:r>
          </w:p>
        </w:tc>
      </w:tr>
      <w:tr w:rsidR="00141BEB" w14:paraId="51289AAC" w14:textId="77777777" w:rsidTr="000043B1">
        <w:tc>
          <w:tcPr>
            <w:tcW w:w="2518" w:type="dxa"/>
          </w:tcPr>
          <w:p w14:paraId="043E5360" w14:textId="77777777" w:rsidR="00141BEB" w:rsidRPr="00490821" w:rsidRDefault="00141BEB" w:rsidP="000043B1">
            <w:pPr>
              <w:pStyle w:val="TableParagraph"/>
            </w:pPr>
            <w:r w:rsidRPr="00490821">
              <w:t>personEmail</w:t>
            </w:r>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0..1</w:t>
            </w:r>
          </w:p>
        </w:tc>
      </w:tr>
      <w:tr w:rsidR="00141BEB" w14:paraId="25124D9C" w14:textId="77777777" w:rsidTr="000043B1">
        <w:tc>
          <w:tcPr>
            <w:tcW w:w="2518" w:type="dxa"/>
          </w:tcPr>
          <w:p w14:paraId="1DC28A3C" w14:textId="77777777" w:rsidR="00141BEB" w:rsidRPr="00490821" w:rsidRDefault="00141BEB" w:rsidP="000043B1">
            <w:pPr>
              <w:pStyle w:val="TableParagraph"/>
            </w:pPr>
            <w:r w:rsidRPr="00490821">
              <w:t>personAddress</w:t>
            </w:r>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6714B1AB" w14:textId="77777777" w:rsidR="00141BEB" w:rsidRDefault="00141BEB" w:rsidP="00141BEB">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r w:rsidRPr="00D03076">
              <w:t>code</w:t>
            </w:r>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kodverk. </w:t>
            </w:r>
          </w:p>
          <w:p w14:paraId="1CD235EE" w14:textId="77777777" w:rsidR="00141BEB" w:rsidRPr="00D03076" w:rsidRDefault="00141BEB" w:rsidP="00141BEB">
            <w:pPr>
              <w:pStyle w:val="TableParagraph"/>
            </w:pPr>
            <w:r w:rsidRPr="00D03076">
              <w:t>Om code anges skall också codeSystem  samt displayName anges.</w:t>
            </w:r>
          </w:p>
        </w:tc>
        <w:tc>
          <w:tcPr>
            <w:tcW w:w="1337" w:type="dxa"/>
          </w:tcPr>
          <w:p w14:paraId="476BA395" w14:textId="77777777" w:rsidR="00141BEB" w:rsidRPr="00D03076" w:rsidRDefault="00141BEB" w:rsidP="00141BEB">
            <w:pPr>
              <w:pStyle w:val="TableParagraph"/>
            </w:pPr>
            <w:r w:rsidRPr="00D03076">
              <w:t>0..1</w:t>
            </w:r>
          </w:p>
        </w:tc>
      </w:tr>
      <w:tr w:rsidR="00141BEB" w14:paraId="382F1743" w14:textId="77777777" w:rsidTr="00141BEB">
        <w:tc>
          <w:tcPr>
            <w:tcW w:w="2518" w:type="dxa"/>
          </w:tcPr>
          <w:p w14:paraId="57C92C88" w14:textId="77777777" w:rsidR="00141BEB" w:rsidRPr="00D03076" w:rsidRDefault="00141BEB" w:rsidP="00141BEB">
            <w:pPr>
              <w:pStyle w:val="TableParagraph"/>
            </w:pPr>
            <w:r w:rsidRPr="00D03076">
              <w:t>codeSystem</w:t>
            </w:r>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Anger kodverket som definierar koden. Dvs UID/OID för det kodverk som används. Om codeSystem anges skall också code samt displayName anges.</w:t>
            </w:r>
          </w:p>
        </w:tc>
        <w:tc>
          <w:tcPr>
            <w:tcW w:w="1337" w:type="dxa"/>
          </w:tcPr>
          <w:p w14:paraId="049A8D65" w14:textId="77777777" w:rsidR="00141BEB" w:rsidRPr="00D03076" w:rsidRDefault="00141BEB" w:rsidP="00141BEB">
            <w:pPr>
              <w:pStyle w:val="TableParagraph"/>
            </w:pPr>
            <w:r w:rsidRPr="00D03076">
              <w:t>0..1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r w:rsidRPr="00D03076">
              <w:t>codeSystemName</w:t>
            </w:r>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0..1</w:t>
            </w:r>
          </w:p>
        </w:tc>
      </w:tr>
      <w:tr w:rsidR="00141BEB" w14:paraId="6AEEB8C4" w14:textId="77777777" w:rsidTr="00141BEB">
        <w:tc>
          <w:tcPr>
            <w:tcW w:w="2518" w:type="dxa"/>
          </w:tcPr>
          <w:p w14:paraId="5EEBCD65" w14:textId="77777777" w:rsidR="00141BEB" w:rsidRPr="00D03076" w:rsidRDefault="00141BEB" w:rsidP="00141BEB">
            <w:pPr>
              <w:pStyle w:val="TableParagraph"/>
            </w:pPr>
            <w:r w:rsidRPr="00D03076">
              <w:t>codeSystemVersion</w:t>
            </w:r>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0..1</w:t>
            </w:r>
          </w:p>
        </w:tc>
      </w:tr>
      <w:tr w:rsidR="00141BEB" w14:paraId="60AA4683" w14:textId="77777777" w:rsidTr="00141BEB">
        <w:tc>
          <w:tcPr>
            <w:tcW w:w="2518" w:type="dxa"/>
          </w:tcPr>
          <w:p w14:paraId="63332D10" w14:textId="77777777" w:rsidR="00141BEB" w:rsidRPr="00D03076" w:rsidRDefault="00141BEB" w:rsidP="00141BEB">
            <w:pPr>
              <w:pStyle w:val="TableParagraph"/>
            </w:pPr>
            <w:r w:rsidRPr="00D03076">
              <w:t>displayName</w:t>
            </w:r>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displayName inte finns i producerande system skall det ange samma värde som för code. </w:t>
            </w:r>
          </w:p>
        </w:tc>
        <w:tc>
          <w:tcPr>
            <w:tcW w:w="1337" w:type="dxa"/>
          </w:tcPr>
          <w:p w14:paraId="0A0799F7" w14:textId="77777777" w:rsidR="00141BEB" w:rsidRPr="00D03076" w:rsidRDefault="00141BEB" w:rsidP="00141BEB">
            <w:pPr>
              <w:pStyle w:val="TableParagraph"/>
            </w:pPr>
            <w:r w:rsidRPr="00D03076">
              <w:t>0..1</w:t>
            </w:r>
          </w:p>
        </w:tc>
      </w:tr>
      <w:tr w:rsidR="00141BEB" w14:paraId="2AE649F8" w14:textId="77777777" w:rsidTr="00141BEB">
        <w:tc>
          <w:tcPr>
            <w:tcW w:w="2518" w:type="dxa"/>
          </w:tcPr>
          <w:p w14:paraId="7F5FE8C0" w14:textId="77777777" w:rsidR="00141BEB" w:rsidRPr="00D03076" w:rsidRDefault="00141BEB" w:rsidP="00141BEB">
            <w:pPr>
              <w:pStyle w:val="TableParagraph"/>
            </w:pPr>
            <w:r w:rsidRPr="00D03076">
              <w:t>originalText</w:t>
            </w:r>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 xml:space="preserve">Om originalText anges kan ingen av de </w:t>
            </w:r>
            <w:r w:rsidRPr="00D03076">
              <w:lastRenderedPageBreak/>
              <w:t>övriga elementen anges.</w:t>
            </w:r>
          </w:p>
        </w:tc>
        <w:tc>
          <w:tcPr>
            <w:tcW w:w="1337" w:type="dxa"/>
          </w:tcPr>
          <w:p w14:paraId="470BCDE3" w14:textId="77777777" w:rsidR="00141BEB" w:rsidRPr="00D03076" w:rsidRDefault="00141BEB" w:rsidP="00141BEB">
            <w:pPr>
              <w:pStyle w:val="TableParagraph"/>
            </w:pPr>
            <w:r w:rsidRPr="00D03076">
              <w:lastRenderedPageBreak/>
              <w:t>0..1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r>
        <w:rPr>
          <w:rFonts w:ascii="Arial" w:hAnsi="Arial" w:cs="Arial"/>
          <w:b/>
        </w:rPr>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r>
              <w:t>DateType</w:t>
            </w:r>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r>
              <w:t>DateType</w:t>
            </w:r>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r>
        <w:rPr>
          <w:rFonts w:ascii="Arial" w:hAnsi="Arial" w:cs="Arial"/>
          <w:b/>
        </w:rPr>
        <w:t>DateType</w:t>
      </w:r>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r>
              <w:rPr>
                <w:b/>
              </w:rPr>
              <w:t>Datatyp</w:t>
            </w:r>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r>
              <w:rPr>
                <w:b/>
              </w:rPr>
              <w:t>Datatyp</w:t>
            </w:r>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r>
              <w:t>authorTime</w:t>
            </w:r>
          </w:p>
        </w:tc>
        <w:tc>
          <w:tcPr>
            <w:tcW w:w="1418" w:type="dxa"/>
          </w:tcPr>
          <w:p w14:paraId="774E709E" w14:textId="77777777" w:rsidR="00141BEB" w:rsidRDefault="00141BEB" w:rsidP="00141BEB">
            <w:pPr>
              <w:pStyle w:val="TableParagraph"/>
              <w:rPr>
                <w:spacing w:val="-1"/>
              </w:rPr>
            </w:pPr>
            <w:r>
              <w:rPr>
                <w:spacing w:val="-1"/>
              </w:rPr>
              <w:t>TimeStampType</w:t>
            </w:r>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1..1</w:t>
            </w:r>
          </w:p>
        </w:tc>
      </w:tr>
      <w:tr w:rsidR="00141BEB" w14:paraId="7BFFCA92" w14:textId="77777777" w:rsidTr="00141BEB">
        <w:tc>
          <w:tcPr>
            <w:tcW w:w="2518" w:type="dxa"/>
          </w:tcPr>
          <w:p w14:paraId="1872F356" w14:textId="77777777" w:rsidR="00141BEB" w:rsidRDefault="00141BEB" w:rsidP="00141BEB">
            <w:pPr>
              <w:pStyle w:val="TableParagraph"/>
            </w:pPr>
            <w:r>
              <w:t>healthcareProfessionalHSAId</w:t>
            </w:r>
          </w:p>
        </w:tc>
        <w:tc>
          <w:tcPr>
            <w:tcW w:w="1418" w:type="dxa"/>
          </w:tcPr>
          <w:p w14:paraId="0CEDED62" w14:textId="77777777" w:rsidR="00141BEB" w:rsidRPr="00850AF0" w:rsidRDefault="00141BEB" w:rsidP="00141BEB">
            <w:pPr>
              <w:pStyle w:val="TableParagraph"/>
              <w:rPr>
                <w:rFonts w:ascii="Arial" w:hAnsi="Arial" w:cs="Arial"/>
              </w:rPr>
            </w:pPr>
            <w:r>
              <w:rPr>
                <w:spacing w:val="-1"/>
              </w:rPr>
              <w:t>HSAIdType</w:t>
            </w:r>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0..1</w:t>
            </w:r>
          </w:p>
        </w:tc>
      </w:tr>
      <w:tr w:rsidR="00141BEB" w14:paraId="038610F8" w14:textId="77777777" w:rsidTr="00141BEB">
        <w:tc>
          <w:tcPr>
            <w:tcW w:w="2518" w:type="dxa"/>
          </w:tcPr>
          <w:p w14:paraId="1F0B2E0A" w14:textId="77777777" w:rsidR="00141BEB" w:rsidRDefault="00141BEB" w:rsidP="00141BEB">
            <w:pPr>
              <w:pStyle w:val="TableParagraph"/>
            </w:pPr>
            <w:r>
              <w:t>healthcareProfessional</w:t>
            </w:r>
            <w:r w:rsidRPr="0017140E">
              <w:t>Nam</w:t>
            </w:r>
            <w:r>
              <w:t>e</w:t>
            </w:r>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0..1</w:t>
            </w:r>
          </w:p>
        </w:tc>
      </w:tr>
      <w:tr w:rsidR="00141BEB" w14:paraId="51C109AF" w14:textId="77777777" w:rsidTr="00141BEB">
        <w:tc>
          <w:tcPr>
            <w:tcW w:w="2518" w:type="dxa"/>
          </w:tcPr>
          <w:p w14:paraId="4945A6D3" w14:textId="77777777" w:rsidR="00141BEB" w:rsidRPr="003658DE" w:rsidRDefault="00141BEB" w:rsidP="00141BEB">
            <w:pPr>
              <w:pStyle w:val="TableParagraph"/>
            </w:pPr>
            <w:r w:rsidRPr="003658DE">
              <w:t>healthcareProfessional</w:t>
            </w:r>
            <w:r w:rsidRPr="003658DE">
              <w:rPr>
                <w:spacing w:val="-1"/>
              </w:rPr>
              <w:t>RoleCode</w:t>
            </w:r>
          </w:p>
        </w:tc>
        <w:tc>
          <w:tcPr>
            <w:tcW w:w="1418" w:type="dxa"/>
          </w:tcPr>
          <w:p w14:paraId="101DD75A" w14:textId="77777777" w:rsidR="00141BEB" w:rsidRPr="003658DE" w:rsidRDefault="00141BEB" w:rsidP="00141BEB">
            <w:pPr>
              <w:pStyle w:val="TableParagraph"/>
              <w:rPr>
                <w:spacing w:val="-1"/>
              </w:rPr>
            </w:pPr>
            <w:r>
              <w:rPr>
                <w:spacing w:val="-1"/>
              </w:rPr>
              <w:t>CVType</w:t>
            </w:r>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0..1</w:t>
            </w:r>
          </w:p>
        </w:tc>
      </w:tr>
      <w:tr w:rsidR="00141BEB" w14:paraId="6453B98C" w14:textId="77777777" w:rsidTr="00141BEB">
        <w:tc>
          <w:tcPr>
            <w:tcW w:w="2518" w:type="dxa"/>
          </w:tcPr>
          <w:p w14:paraId="759D57A9" w14:textId="082EB48A" w:rsidR="00141BEB" w:rsidRPr="00B01708" w:rsidRDefault="00BF705B" w:rsidP="00141BEB">
            <w:pPr>
              <w:pStyle w:val="TableParagraph"/>
            </w:pPr>
            <w:r>
              <w:t>healthc</w:t>
            </w:r>
            <w:r w:rsidR="00141BEB" w:rsidRPr="00B01708">
              <w:t>areProfessionalOrgUnit</w:t>
            </w:r>
          </w:p>
        </w:tc>
        <w:tc>
          <w:tcPr>
            <w:tcW w:w="1418" w:type="dxa"/>
          </w:tcPr>
          <w:p w14:paraId="3038ED79" w14:textId="77777777" w:rsidR="00141BEB" w:rsidRPr="00B01708" w:rsidRDefault="00141BEB" w:rsidP="00141BEB">
            <w:pPr>
              <w:pStyle w:val="TableParagraph"/>
              <w:rPr>
                <w:spacing w:val="-1"/>
              </w:rPr>
            </w:pPr>
            <w:r w:rsidRPr="00B01708">
              <w:rPr>
                <w:spacing w:val="-1"/>
              </w:rPr>
              <w:t>OrgUnitType</w:t>
            </w:r>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0..1</w:t>
            </w:r>
          </w:p>
        </w:tc>
      </w:tr>
      <w:tr w:rsidR="00141BEB" w14:paraId="7E30C41E" w14:textId="77777777" w:rsidTr="00141BEB">
        <w:tc>
          <w:tcPr>
            <w:tcW w:w="2518" w:type="dxa"/>
          </w:tcPr>
          <w:p w14:paraId="7B020A12" w14:textId="77777777" w:rsidR="00141BEB" w:rsidRPr="003658DE" w:rsidRDefault="00141BEB" w:rsidP="00141BEB">
            <w:pPr>
              <w:pStyle w:val="TableParagraph"/>
            </w:pPr>
            <w:r w:rsidRPr="003658DE">
              <w:t>healthcareProfessional</w:t>
            </w:r>
            <w:r w:rsidRPr="003658DE">
              <w:rPr>
                <w:spacing w:val="-1"/>
              </w:rPr>
              <w:t>CareUnitHSA</w:t>
            </w:r>
            <w:r>
              <w:rPr>
                <w:spacing w:val="-1"/>
              </w:rPr>
              <w:t>I</w:t>
            </w:r>
            <w:r w:rsidRPr="003658DE">
              <w:rPr>
                <w:spacing w:val="-1"/>
              </w:rPr>
              <w:t>d</w:t>
            </w:r>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r w:rsidRPr="003658DE">
              <w:rPr>
                <w:spacing w:val="-1"/>
              </w:rPr>
              <w:t>HSAIdType</w:t>
            </w:r>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77777777" w:rsidR="00141BEB" w:rsidRPr="003658DE" w:rsidRDefault="00141BEB" w:rsidP="00141BEB">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r>
              <w:t>healthcareProfessionalC</w:t>
            </w:r>
            <w:r w:rsidRPr="00907C9B">
              <w:rPr>
                <w:spacing w:val="-1"/>
              </w:rPr>
              <w:t>are</w:t>
            </w:r>
            <w:r>
              <w:rPr>
                <w:spacing w:val="-1"/>
              </w:rPr>
              <w:t>GiverHSAId</w:t>
            </w:r>
          </w:p>
        </w:tc>
        <w:tc>
          <w:tcPr>
            <w:tcW w:w="1418" w:type="dxa"/>
          </w:tcPr>
          <w:p w14:paraId="582196C3" w14:textId="77777777" w:rsidR="00141BEB" w:rsidRPr="00907C9B" w:rsidRDefault="00141BEB" w:rsidP="00141BEB">
            <w:pPr>
              <w:pStyle w:val="TableParagraph"/>
              <w:rPr>
                <w:spacing w:val="-1"/>
              </w:rPr>
            </w:pPr>
            <w:r>
              <w:rPr>
                <w:spacing w:val="-1"/>
              </w:rPr>
              <w:t>HSAIdType</w:t>
            </w:r>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r w:rsidRPr="00D03076">
              <w:t>hsaId</w:t>
            </w:r>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HSA-id enligt definition från Inera AB</w:t>
            </w:r>
          </w:p>
        </w:tc>
        <w:tc>
          <w:tcPr>
            <w:tcW w:w="1276" w:type="dxa"/>
          </w:tcPr>
          <w:p w14:paraId="03D4811D" w14:textId="77777777" w:rsidR="00141BEB" w:rsidRPr="00D03076" w:rsidRDefault="00141BEB" w:rsidP="00141BEB">
            <w:pPr>
              <w:pStyle w:val="TableParagraph"/>
            </w:pPr>
            <w:r w:rsidRPr="00D03076">
              <w:t>1..1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r>
        <w:rPr>
          <w:rFonts w:ascii="Arial" w:hAnsi="Arial" w:cs="Arial"/>
          <w:b/>
        </w:rPr>
        <w:lastRenderedPageBreak/>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r>
              <w:t>root</w:t>
            </w:r>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r w:rsidRPr="00D03076">
              <w:t>signatureTime</w:t>
            </w:r>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r w:rsidRPr="00D03076">
              <w:t>TimeStampType</w:t>
            </w:r>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r w:rsidRPr="00D03076">
              <w:t>legalAuthenticatorHSAId</w:t>
            </w:r>
          </w:p>
        </w:tc>
        <w:tc>
          <w:tcPr>
            <w:tcW w:w="1418" w:type="dxa"/>
          </w:tcPr>
          <w:p w14:paraId="7B4A7067" w14:textId="77777777" w:rsidR="00141BEB" w:rsidRPr="00D03076" w:rsidRDefault="00141BEB" w:rsidP="00141BEB">
            <w:pPr>
              <w:pStyle w:val="TableParagraph"/>
            </w:pPr>
            <w:r w:rsidRPr="00D03076">
              <w:t>HSAIdType</w:t>
            </w:r>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r w:rsidRPr="00D03076">
              <w:t>legalAuthenticatorName</w:t>
            </w:r>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0..1</w:t>
            </w:r>
          </w:p>
        </w:tc>
      </w:tr>
    </w:tbl>
    <w:p w14:paraId="5F8E106B" w14:textId="77777777" w:rsidR="00141BEB" w:rsidRDefault="00141BEB" w:rsidP="00141BEB">
      <w:pPr>
        <w:rPr>
          <w:rFonts w:ascii="Arial" w:hAnsi="Arial" w:cs="Arial"/>
          <w:b/>
        </w:rPr>
      </w:pPr>
    </w:p>
    <w:p w14:paraId="6818CB49" w14:textId="77777777" w:rsidR="00141BEB" w:rsidRDefault="00141BEB" w:rsidP="00141BEB">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r>
              <w:rPr>
                <w:b/>
              </w:rPr>
              <w:t>Datatyp</w:t>
            </w:r>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Identitet på multimediaobjekt som används vid referenser inom multimediadokument.</w:t>
            </w:r>
          </w:p>
        </w:tc>
        <w:tc>
          <w:tcPr>
            <w:tcW w:w="1337" w:type="dxa"/>
          </w:tcPr>
          <w:p w14:paraId="5A39A37A" w14:textId="77777777" w:rsidR="00141BEB" w:rsidRDefault="00141BEB" w:rsidP="00141BEB">
            <w:pPr>
              <w:pStyle w:val="TableParagraph"/>
              <w:rPr>
                <w:spacing w:val="-1"/>
              </w:rPr>
            </w:pPr>
            <w:r>
              <w:rPr>
                <w:spacing w:val="-1"/>
              </w:rPr>
              <w:t>0..1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r>
              <w:t>mediaType</w:t>
            </w:r>
          </w:p>
        </w:tc>
        <w:tc>
          <w:tcPr>
            <w:tcW w:w="1416" w:type="dxa"/>
          </w:tcPr>
          <w:p w14:paraId="7C82E7F9" w14:textId="77777777" w:rsidR="00141BEB" w:rsidRPr="000A0B70" w:rsidRDefault="00141BEB" w:rsidP="00141BEB">
            <w:pPr>
              <w:pStyle w:val="TableParagraph"/>
            </w:pPr>
            <w:r>
              <w:t>MediaTypeEnum</w:t>
            </w:r>
          </w:p>
        </w:tc>
        <w:tc>
          <w:tcPr>
            <w:tcW w:w="3827" w:type="dxa"/>
          </w:tcPr>
          <w:p w14:paraId="450A3D62" w14:textId="77777777" w:rsidR="00141BEB" w:rsidRPr="00907C9B" w:rsidRDefault="00141BEB" w:rsidP="00141BEB">
            <w:pPr>
              <w:pStyle w:val="TableParagraph"/>
              <w:rPr>
                <w:spacing w:val="-1"/>
              </w:rPr>
            </w:pPr>
            <w:r>
              <w:rPr>
                <w:spacing w:val="-1"/>
              </w:rPr>
              <w:t>Mediatyper enligt HL7</w:t>
            </w:r>
          </w:p>
        </w:tc>
        <w:tc>
          <w:tcPr>
            <w:tcW w:w="1337" w:type="dxa"/>
          </w:tcPr>
          <w:p w14:paraId="34E1B13E" w14:textId="77777777" w:rsidR="00141BEB" w:rsidRPr="00907C9B" w:rsidRDefault="00141BEB" w:rsidP="00141BEB">
            <w:pPr>
              <w:pStyle w:val="TableParagraph"/>
              <w:rPr>
                <w:spacing w:val="-1"/>
              </w:rPr>
            </w:pPr>
            <w:r>
              <w:rPr>
                <w:spacing w:val="-1"/>
              </w:rPr>
              <w:t>1..1</w:t>
            </w:r>
          </w:p>
        </w:tc>
      </w:tr>
      <w:tr w:rsidR="00141BEB" w14:paraId="464242CF" w14:textId="77777777" w:rsidTr="00141BEB">
        <w:tc>
          <w:tcPr>
            <w:tcW w:w="2520" w:type="dxa"/>
          </w:tcPr>
          <w:p w14:paraId="6EAF7658" w14:textId="77777777" w:rsidR="00141BEB" w:rsidRDefault="00141BEB" w:rsidP="00141BEB">
            <w:pPr>
              <w:pStyle w:val="TableParagraph"/>
            </w:pPr>
            <w:r>
              <w:t>value</w:t>
            </w:r>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r>
              <w:rPr>
                <w:spacing w:val="-1"/>
              </w:rPr>
              <w:t xml:space="preserve">Value är binärdata som representerar objektet. Ett och endast ett av value och reference ska anges. </w:t>
            </w:r>
          </w:p>
        </w:tc>
        <w:tc>
          <w:tcPr>
            <w:tcW w:w="1337" w:type="dxa"/>
          </w:tcPr>
          <w:p w14:paraId="04C2F51E" w14:textId="77777777" w:rsidR="00141BEB" w:rsidRPr="00907C9B" w:rsidRDefault="00141BEB" w:rsidP="00141BEB">
            <w:pPr>
              <w:pStyle w:val="TableParagraph"/>
              <w:rPr>
                <w:spacing w:val="-1"/>
              </w:rPr>
            </w:pPr>
            <w:r>
              <w:rPr>
                <w:spacing w:val="-1"/>
              </w:rPr>
              <w:t>0..1</w:t>
            </w:r>
          </w:p>
        </w:tc>
      </w:tr>
      <w:tr w:rsidR="00141BEB" w14:paraId="023045A7" w14:textId="77777777" w:rsidTr="00141BEB">
        <w:tc>
          <w:tcPr>
            <w:tcW w:w="2520" w:type="dxa"/>
          </w:tcPr>
          <w:p w14:paraId="7709E0E7" w14:textId="77777777" w:rsidR="00141BEB" w:rsidRDefault="00141BEB" w:rsidP="00141BEB">
            <w:pPr>
              <w:pStyle w:val="TableParagraph"/>
            </w:pPr>
            <w:r>
              <w:t>reference</w:t>
            </w:r>
          </w:p>
        </w:tc>
        <w:tc>
          <w:tcPr>
            <w:tcW w:w="1416" w:type="dxa"/>
          </w:tcPr>
          <w:p w14:paraId="5105F8BA" w14:textId="77777777" w:rsidR="00141BEB" w:rsidRPr="000A0B70" w:rsidRDefault="00141BEB" w:rsidP="00141BEB">
            <w:pPr>
              <w:pStyle w:val="TableParagraph"/>
            </w:pPr>
            <w:r>
              <w:t>anyURI</w:t>
            </w:r>
          </w:p>
        </w:tc>
        <w:tc>
          <w:tcPr>
            <w:tcW w:w="3827" w:type="dxa"/>
          </w:tcPr>
          <w:p w14:paraId="6D23C651" w14:textId="77777777" w:rsidR="00141BEB" w:rsidRDefault="00141BEB" w:rsidP="00141BEB">
            <w:pPr>
              <w:pStyle w:val="TableParagraph"/>
              <w:rPr>
                <w:spacing w:val="-1"/>
              </w:rPr>
            </w:pPr>
            <w:r>
              <w:rPr>
                <w:spacing w:val="-1"/>
              </w:rPr>
              <w:t>Referens till extern bild i form av en URL. Ett och endast ett av value och reference ska anges.</w:t>
            </w:r>
          </w:p>
        </w:tc>
        <w:tc>
          <w:tcPr>
            <w:tcW w:w="1337" w:type="dxa"/>
          </w:tcPr>
          <w:p w14:paraId="107C0DF6" w14:textId="77777777" w:rsidR="00141BEB" w:rsidRDefault="00141BEB" w:rsidP="00141BEB">
            <w:pPr>
              <w:pStyle w:val="TableParagraph"/>
              <w:rPr>
                <w:spacing w:val="-1"/>
              </w:rPr>
            </w:pPr>
            <w:r>
              <w:rPr>
                <w:spacing w:val="-1"/>
              </w:rPr>
              <w:t>0..1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r w:rsidRPr="00B01708">
              <w:rPr>
                <w:b/>
              </w:rPr>
              <w:t>Datatyp</w:t>
            </w:r>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r w:rsidRPr="00B01708">
              <w:t>orgUnitHSAId</w:t>
            </w:r>
          </w:p>
        </w:tc>
        <w:tc>
          <w:tcPr>
            <w:tcW w:w="1418" w:type="dxa"/>
          </w:tcPr>
          <w:p w14:paraId="53A05817" w14:textId="77777777" w:rsidR="00141BEB" w:rsidRPr="00B01708" w:rsidRDefault="00141BEB" w:rsidP="00141BEB">
            <w:pPr>
              <w:pStyle w:val="TableParagraph"/>
              <w:rPr>
                <w:rFonts w:ascii="Arial" w:hAnsi="Arial" w:cs="Arial"/>
              </w:rPr>
            </w:pPr>
            <w:r w:rsidRPr="00B01708">
              <w:rPr>
                <w:spacing w:val="-1"/>
              </w:rPr>
              <w:t>HSAIdType</w:t>
            </w:r>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r w:rsidRPr="00B01708">
              <w:t>orgUnitName</w:t>
            </w:r>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r w:rsidRPr="00B01708">
              <w:t>orgUnitTelecom</w:t>
            </w:r>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51EE51EE" w:rsidR="00141BEB" w:rsidRPr="00B01708" w:rsidRDefault="00141BEB" w:rsidP="009A76DC">
            <w:pPr>
              <w:pStyle w:val="TableParagraph"/>
            </w:pPr>
            <w:r w:rsidRPr="00B01708">
              <w:t xml:space="preserve">Telefon till </w:t>
            </w:r>
            <w:r w:rsidRPr="00B01708">
              <w:rPr>
                <w:spacing w:val="-1"/>
              </w:rPr>
              <w:t>organisationsenhet</w:t>
            </w:r>
            <w:r w:rsidR="009A76DC">
              <w:rPr>
                <w:spacing w:val="-1"/>
              </w:rPr>
              <w:t>.</w:t>
            </w:r>
          </w:p>
        </w:tc>
        <w:tc>
          <w:tcPr>
            <w:tcW w:w="1337" w:type="dxa"/>
          </w:tcPr>
          <w:p w14:paraId="5AB4E374" w14:textId="77777777" w:rsidR="00141BEB" w:rsidRPr="00B01708" w:rsidRDefault="00141BEB" w:rsidP="00141BEB">
            <w:pPr>
              <w:pStyle w:val="TableParagraph"/>
              <w:rPr>
                <w:spacing w:val="-1"/>
              </w:rPr>
            </w:pPr>
            <w:r w:rsidRPr="00B01708">
              <w:rPr>
                <w:spacing w:val="-1"/>
              </w:rPr>
              <w:t>0..1</w:t>
            </w:r>
          </w:p>
        </w:tc>
      </w:tr>
      <w:tr w:rsidR="00141BEB" w:rsidRPr="00B01708" w14:paraId="13872CF7" w14:textId="77777777" w:rsidTr="009A76DC">
        <w:trPr>
          <w:trHeight w:val="371"/>
        </w:trPr>
        <w:tc>
          <w:tcPr>
            <w:tcW w:w="2518" w:type="dxa"/>
          </w:tcPr>
          <w:p w14:paraId="12003F32" w14:textId="77777777" w:rsidR="00141BEB" w:rsidRPr="00B01708" w:rsidRDefault="00141BEB" w:rsidP="00141BEB">
            <w:pPr>
              <w:pStyle w:val="TableParagraph"/>
            </w:pPr>
            <w:r w:rsidRPr="00B01708">
              <w:t>orgUnitEmail</w:t>
            </w:r>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1910DC4D" w:rsidR="00141BEB" w:rsidRPr="00B01708" w:rsidRDefault="00141BEB" w:rsidP="00141BEB">
            <w:pPr>
              <w:pStyle w:val="TableParagraph"/>
            </w:pPr>
            <w:r w:rsidRPr="00B01708">
              <w:t>Epost till enhet</w:t>
            </w:r>
            <w:r w:rsidR="009A76DC">
              <w:t>.</w:t>
            </w:r>
          </w:p>
        </w:tc>
        <w:tc>
          <w:tcPr>
            <w:tcW w:w="1337" w:type="dxa"/>
          </w:tcPr>
          <w:p w14:paraId="48663189" w14:textId="77777777" w:rsidR="00141BEB" w:rsidRPr="00B01708" w:rsidRDefault="00141BEB" w:rsidP="00141BEB">
            <w:pPr>
              <w:pStyle w:val="TableParagraph"/>
              <w:rPr>
                <w:spacing w:val="-1"/>
              </w:rPr>
            </w:pPr>
            <w:r w:rsidRPr="00B01708">
              <w:rPr>
                <w:spacing w:val="-1"/>
              </w:rPr>
              <w:t>0..1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r w:rsidRPr="00B01708">
              <w:t>orgUnitAddress</w:t>
            </w:r>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004BA635" w14:textId="402595CC" w:rsidR="00141BEB" w:rsidRDefault="00141BEB" w:rsidP="009A76DC">
            <w:pPr>
              <w:pStyle w:val="TableParagraph"/>
            </w:pPr>
            <w:r w:rsidRPr="00B01708">
              <w:t>Postadress till enhet</w:t>
            </w:r>
            <w:r w:rsidR="009A76DC">
              <w:t>. Skrivs på ett så naturligt sätt som möjligt, exempelvis:</w:t>
            </w:r>
          </w:p>
          <w:p w14:paraId="66E6A704" w14:textId="557A4245" w:rsidR="009A76DC" w:rsidRDefault="009A76DC" w:rsidP="009A76DC">
            <w:pPr>
              <w:pStyle w:val="TableParagraph"/>
            </w:pPr>
            <w:r>
              <w:t>”Storgatan 12</w:t>
            </w:r>
          </w:p>
          <w:p w14:paraId="46402030" w14:textId="01BBB4B9" w:rsidR="009A76DC" w:rsidRPr="00B01708" w:rsidRDefault="009A76DC" w:rsidP="009A76DC">
            <w:pPr>
              <w:pStyle w:val="TableParagraph"/>
            </w:pPr>
            <w:r>
              <w:t>468 91 Lilleby”</w:t>
            </w:r>
          </w:p>
        </w:tc>
        <w:tc>
          <w:tcPr>
            <w:tcW w:w="1337" w:type="dxa"/>
          </w:tcPr>
          <w:p w14:paraId="251F9DF1" w14:textId="77777777" w:rsidR="00141BEB" w:rsidRPr="00B01708" w:rsidRDefault="00141BEB" w:rsidP="00141BEB">
            <w:pPr>
              <w:pStyle w:val="TableParagraph"/>
              <w:rPr>
                <w:spacing w:val="-1"/>
              </w:rPr>
            </w:pPr>
            <w:r w:rsidRPr="00B01708">
              <w:rPr>
                <w:spacing w:val="-1"/>
              </w:rPr>
              <w:t>0..1</w:t>
            </w:r>
          </w:p>
        </w:tc>
      </w:tr>
      <w:tr w:rsidR="00141BEB" w14:paraId="0289EDB1" w14:textId="77777777" w:rsidTr="00141BEB">
        <w:tc>
          <w:tcPr>
            <w:tcW w:w="2518" w:type="dxa"/>
          </w:tcPr>
          <w:p w14:paraId="5D28D215" w14:textId="39A2366B" w:rsidR="00141BEB" w:rsidRPr="00B01708" w:rsidRDefault="00141BEB" w:rsidP="00141BEB">
            <w:pPr>
              <w:pStyle w:val="TableParagraph"/>
            </w:pPr>
            <w:r w:rsidRPr="00B01708">
              <w:t>orgUnitLocation</w:t>
            </w:r>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 xml:space="preserve">Text som anger namnet på plats eller </w:t>
            </w:r>
            <w:r w:rsidRPr="00B01708">
              <w:lastRenderedPageBreak/>
              <w:t>ort för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lastRenderedPageBreak/>
              <w:t>0..1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r>
              <w:rPr>
                <w:b/>
              </w:rPr>
              <w:t>Datatyp</w:t>
            </w:r>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EC1780">
        <w:trPr>
          <w:trHeight w:val="552"/>
        </w:trPr>
        <w:tc>
          <w:tcPr>
            <w:tcW w:w="2518" w:type="dxa"/>
          </w:tcPr>
          <w:p w14:paraId="644878A4" w14:textId="77777777" w:rsidR="00141BEB" w:rsidRPr="003658DE" w:rsidRDefault="00141BEB" w:rsidP="00141BEB">
            <w:pPr>
              <w:pStyle w:val="TableParagraph"/>
            </w:pPr>
            <w:r>
              <w:t>documentId</w:t>
            </w:r>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2DA31872" w14:textId="535BF05A" w:rsidR="00141BEB" w:rsidRPr="00EC1780" w:rsidRDefault="00141BEB" w:rsidP="00EC1780">
            <w:pPr>
              <w:pStyle w:val="TableParagraph"/>
            </w:pPr>
            <w:r w:rsidRPr="006876F7">
              <w:t>Dokumentets identitet som är unik</w:t>
            </w:r>
            <w:r w:rsidR="00EC1780">
              <w:t xml:space="preserve"> inom källsystemet.</w:t>
            </w:r>
          </w:p>
        </w:tc>
        <w:tc>
          <w:tcPr>
            <w:tcW w:w="1337" w:type="dxa"/>
          </w:tcPr>
          <w:p w14:paraId="64ED9E8F" w14:textId="77777777" w:rsidR="00141BEB" w:rsidRPr="00BC5B0B" w:rsidRDefault="00141BEB" w:rsidP="00141BEB">
            <w:pPr>
              <w:pStyle w:val="TableParagraph"/>
            </w:pPr>
            <w:r>
              <w:t>1..1</w:t>
            </w:r>
          </w:p>
        </w:tc>
      </w:tr>
      <w:tr w:rsidR="00141BEB" w14:paraId="0A4B1BAE" w14:textId="77777777" w:rsidTr="00141BEB">
        <w:tc>
          <w:tcPr>
            <w:tcW w:w="2518" w:type="dxa"/>
          </w:tcPr>
          <w:p w14:paraId="1F7EE098" w14:textId="77777777" w:rsidR="00141BEB" w:rsidRPr="00BC5B0B" w:rsidRDefault="00141BEB" w:rsidP="00141BEB">
            <w:pPr>
              <w:pStyle w:val="TableParagraph"/>
            </w:pPr>
            <w:r w:rsidRPr="0097220C">
              <w:t>sourceSystem</w:t>
            </w:r>
            <w:r>
              <w:t>HSAId</w:t>
            </w:r>
          </w:p>
        </w:tc>
        <w:tc>
          <w:tcPr>
            <w:tcW w:w="1418" w:type="dxa"/>
          </w:tcPr>
          <w:p w14:paraId="617AF059" w14:textId="77777777" w:rsidR="00141BEB" w:rsidRDefault="00141BEB" w:rsidP="00141BEB">
            <w:pPr>
              <w:pStyle w:val="TableParagraph"/>
            </w:pPr>
            <w:r w:rsidRPr="0097220C">
              <w:t>HSA</w:t>
            </w:r>
            <w:r>
              <w:t>I</w:t>
            </w:r>
            <w:r w:rsidRPr="0097220C">
              <w:t>dType</w:t>
            </w:r>
          </w:p>
        </w:tc>
        <w:tc>
          <w:tcPr>
            <w:tcW w:w="3827" w:type="dxa"/>
          </w:tcPr>
          <w:p w14:paraId="44636AF6" w14:textId="77777777" w:rsidR="00141BEB" w:rsidRPr="008F5E89" w:rsidRDefault="00141BEB" w:rsidP="00141BEB">
            <w:pPr>
              <w:pStyle w:val="TableParagraph"/>
            </w:pPr>
            <w:r w:rsidRPr="0097220C">
              <w:t>HSAid för det system som dokumentet är skapat i.</w:t>
            </w:r>
          </w:p>
        </w:tc>
        <w:tc>
          <w:tcPr>
            <w:tcW w:w="1337" w:type="dxa"/>
          </w:tcPr>
          <w:p w14:paraId="350B3709" w14:textId="77777777" w:rsidR="00141BEB" w:rsidRPr="00BC5B0B" w:rsidRDefault="00141BEB" w:rsidP="00141BEB">
            <w:pPr>
              <w:pStyle w:val="TableParagraph"/>
            </w:pPr>
            <w:r>
              <w:t>1..1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r w:rsidRPr="00BC5B0B">
              <w:t>documentTitle</w:t>
            </w:r>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0..1</w:t>
            </w:r>
          </w:p>
        </w:tc>
      </w:tr>
      <w:tr w:rsidR="00141BEB" w14:paraId="42E0C1ED" w14:textId="77777777" w:rsidTr="00141BEB">
        <w:tc>
          <w:tcPr>
            <w:tcW w:w="2518" w:type="dxa"/>
          </w:tcPr>
          <w:p w14:paraId="317319C5" w14:textId="77777777" w:rsidR="00141BEB" w:rsidRPr="00BC5B0B" w:rsidRDefault="00141BEB" w:rsidP="00141BEB">
            <w:pPr>
              <w:pStyle w:val="TableParagraph"/>
            </w:pPr>
            <w:r w:rsidRPr="00BC5B0B">
              <w:t>documentTime</w:t>
            </w:r>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r w:rsidRPr="000A0B70">
              <w:t>TimeStampTyp</w:t>
            </w:r>
            <w:r>
              <w:t>e</w:t>
            </w:r>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r w:rsidRPr="003658DE">
              <w:t>patientId</w:t>
            </w:r>
          </w:p>
        </w:tc>
        <w:tc>
          <w:tcPr>
            <w:tcW w:w="1418" w:type="dxa"/>
          </w:tcPr>
          <w:p w14:paraId="1865A7CB" w14:textId="5B718AD2" w:rsidR="00141BEB" w:rsidRPr="003658DE" w:rsidRDefault="00802CB9" w:rsidP="00141BEB">
            <w:pPr>
              <w:pStyle w:val="TableParagraph"/>
            </w:pPr>
            <w:r>
              <w:t>Person</w:t>
            </w:r>
            <w:r w:rsidR="00141BEB" w:rsidRPr="003658DE">
              <w:t>IdType</w:t>
            </w:r>
          </w:p>
        </w:tc>
        <w:tc>
          <w:tcPr>
            <w:tcW w:w="3827" w:type="dxa"/>
          </w:tcPr>
          <w:p w14:paraId="0EE2E640" w14:textId="37359C1E" w:rsidR="00141BEB" w:rsidRPr="003658DE" w:rsidRDefault="00443705" w:rsidP="00141BEB">
            <w:pPr>
              <w:pStyle w:val="TableParagraph"/>
            </w:pPr>
            <w:r>
              <w:t>Id för patienten.</w:t>
            </w:r>
            <w:r w:rsidR="00141BEB" w:rsidRPr="003658DE">
              <w:br/>
            </w:r>
            <w:r w:rsidR="00141BEB">
              <w:t>id</w:t>
            </w:r>
            <w:r w:rsidR="00141BEB" w:rsidRPr="003658DE">
              <w:t xml:space="preserve"> sätts</w:t>
            </w:r>
            <w:r>
              <w:t xml:space="preserve"> till patientens identifierare, a</w:t>
            </w:r>
            <w:r w:rsidRPr="003658DE">
              <w:t>nges med 12 siffror utan avskiljare.</w:t>
            </w:r>
            <w:r>
              <w:t xml:space="preserve"> t</w:t>
            </w:r>
            <w:r w:rsidR="00141BEB" w:rsidRPr="003658DE">
              <w:t xml:space="preserve">ype sätts till OID för typ av identifierare. </w:t>
            </w:r>
            <w:r w:rsidR="00141BEB" w:rsidRPr="003658DE">
              <w:br/>
              <w:t>För personnummer ska Skatteverkets personnummer (1.2.752.129.2.1.3.1).</w:t>
            </w:r>
            <w:r w:rsidR="00141BEB" w:rsidRPr="003658DE">
              <w:br/>
              <w:t>För samordningsnummer ska Skatteverkets samordningsnummer (1.2.752.129.2.1.3.3).</w:t>
            </w:r>
            <w:r w:rsidR="00141BEB" w:rsidRPr="003658DE">
              <w:br/>
              <w:t>För reservnummer används lokalt definierade reservnummet, exempelvis SLL reservnummer (1.2.752.97.3.1.3)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1..1</w:t>
            </w:r>
          </w:p>
        </w:tc>
      </w:tr>
      <w:tr w:rsidR="00141BEB" w14:paraId="63677CC0" w14:textId="77777777" w:rsidTr="00141BEB">
        <w:tc>
          <w:tcPr>
            <w:tcW w:w="2518" w:type="dxa"/>
          </w:tcPr>
          <w:p w14:paraId="7172FA3C" w14:textId="77777777" w:rsidR="00141BEB" w:rsidRPr="003658DE" w:rsidRDefault="00141BEB" w:rsidP="00141BEB">
            <w:pPr>
              <w:pStyle w:val="TableParagraph"/>
            </w:pPr>
            <w:r w:rsidRPr="003658DE">
              <w:t>accountableHealthcareProfessional</w:t>
            </w:r>
          </w:p>
        </w:tc>
        <w:tc>
          <w:tcPr>
            <w:tcW w:w="1418" w:type="dxa"/>
          </w:tcPr>
          <w:p w14:paraId="62F6C6DB" w14:textId="77777777" w:rsidR="00141BEB" w:rsidRPr="003658DE" w:rsidRDefault="00141BEB" w:rsidP="00141BEB">
            <w:pPr>
              <w:pStyle w:val="TableParagraph"/>
            </w:pPr>
            <w:r w:rsidRPr="003658DE">
              <w:t>HealthcareProfessional</w:t>
            </w:r>
            <w:r>
              <w:t>Type</w:t>
            </w:r>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r w:rsidRPr="001D24AB">
              <w:t>legalAuthenticator</w:t>
            </w:r>
          </w:p>
        </w:tc>
        <w:tc>
          <w:tcPr>
            <w:tcW w:w="1418" w:type="dxa"/>
          </w:tcPr>
          <w:p w14:paraId="227F79CA" w14:textId="77777777" w:rsidR="00141BEB" w:rsidRPr="001D24AB" w:rsidRDefault="00141BEB" w:rsidP="00141BEB">
            <w:pPr>
              <w:pStyle w:val="TableParagraph"/>
            </w:pPr>
            <w:r w:rsidRPr="001D24AB">
              <w:t>LegalAuthenticatorType</w:t>
            </w:r>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r w:rsidRPr="003658DE">
              <w:t>approvedForPatient</w:t>
            </w:r>
          </w:p>
        </w:tc>
        <w:tc>
          <w:tcPr>
            <w:tcW w:w="1418" w:type="dxa"/>
          </w:tcPr>
          <w:p w14:paraId="3732FBA7" w14:textId="77777777" w:rsidR="00141BEB" w:rsidRPr="003658DE" w:rsidRDefault="00141BEB" w:rsidP="00141BEB">
            <w:pPr>
              <w:pStyle w:val="TableParagraph"/>
            </w:pPr>
            <w:r>
              <w:t>b</w:t>
            </w:r>
            <w:r w:rsidRPr="003658DE">
              <w:t>oolean</w:t>
            </w:r>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true, i annat fall till false.</w:t>
            </w:r>
          </w:p>
        </w:tc>
        <w:tc>
          <w:tcPr>
            <w:tcW w:w="1337" w:type="dxa"/>
          </w:tcPr>
          <w:p w14:paraId="5323064F" w14:textId="77777777" w:rsidR="00141BEB" w:rsidRDefault="00141BEB" w:rsidP="00141BEB">
            <w:pPr>
              <w:pStyle w:val="TableParagraph"/>
            </w:pPr>
            <w:r>
              <w:t>1..1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r>
              <w:t>careContactId</w:t>
            </w:r>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0..1</w:t>
            </w:r>
          </w:p>
        </w:tc>
      </w:tr>
      <w:tr w:rsidR="00141BEB" w14:paraId="400E6384" w14:textId="77777777" w:rsidTr="00141BEB">
        <w:tc>
          <w:tcPr>
            <w:tcW w:w="2518" w:type="dxa"/>
          </w:tcPr>
          <w:p w14:paraId="1FD9E67C" w14:textId="77777777" w:rsidR="00141BEB" w:rsidRDefault="00141BEB" w:rsidP="00141BEB">
            <w:pPr>
              <w:pStyle w:val="TableParagraph"/>
            </w:pPr>
            <w:r>
              <w:t>nullified</w:t>
            </w:r>
          </w:p>
        </w:tc>
        <w:tc>
          <w:tcPr>
            <w:tcW w:w="1418" w:type="dxa"/>
          </w:tcPr>
          <w:p w14:paraId="056BD939" w14:textId="77777777" w:rsidR="00141BEB" w:rsidRDefault="00141BEB" w:rsidP="00141BEB">
            <w:pPr>
              <w:pStyle w:val="TableParagraph"/>
            </w:pPr>
            <w:r>
              <w:t>boolean</w:t>
            </w:r>
          </w:p>
        </w:tc>
        <w:tc>
          <w:tcPr>
            <w:tcW w:w="3827" w:type="dxa"/>
          </w:tcPr>
          <w:p w14:paraId="15791FB3" w14:textId="77777777" w:rsidR="00141BEB" w:rsidRDefault="00141BEB" w:rsidP="00141BEB">
            <w:pPr>
              <w:pStyle w:val="TableParagraph"/>
            </w:pPr>
            <w:r>
              <w:t>Anger om dokumentet makulerats i källsystemet. Sätts i så fall till true annars false. Används bl.a. i statistik-/rapportuttag med hjälp av tjänstekontrakten.</w:t>
            </w:r>
          </w:p>
        </w:tc>
        <w:tc>
          <w:tcPr>
            <w:tcW w:w="1337" w:type="dxa"/>
          </w:tcPr>
          <w:p w14:paraId="62C1CE26" w14:textId="77777777" w:rsidR="00141BEB" w:rsidRDefault="00141BEB" w:rsidP="00141BEB">
            <w:pPr>
              <w:pStyle w:val="TableParagraph"/>
            </w:pPr>
            <w:r>
              <w:t>0..1</w:t>
            </w:r>
          </w:p>
        </w:tc>
      </w:tr>
      <w:tr w:rsidR="00141BEB" w14:paraId="12F687B8" w14:textId="77777777" w:rsidTr="00141BEB">
        <w:tc>
          <w:tcPr>
            <w:tcW w:w="2518" w:type="dxa"/>
          </w:tcPr>
          <w:p w14:paraId="030CA562" w14:textId="77777777" w:rsidR="00141BEB" w:rsidRDefault="00141BEB" w:rsidP="00141BEB">
            <w:pPr>
              <w:pStyle w:val="TableParagraph"/>
            </w:pPr>
            <w:r>
              <w:lastRenderedPageBreak/>
              <w:t>nullifiedReason</w:t>
            </w:r>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9A76DC">
        <w:trPr>
          <w:trHeight w:val="384"/>
        </w:trPr>
        <w:tc>
          <w:tcPr>
            <w:tcW w:w="2518" w:type="dxa"/>
            <w:shd w:val="clear" w:color="auto" w:fill="D9D9D9" w:themeFill="background1" w:themeFillShade="D9"/>
            <w:vAlign w:val="bottom"/>
          </w:tcPr>
          <w:p w14:paraId="031FDD3C" w14:textId="77777777" w:rsidR="00802CB9" w:rsidRDefault="00802CB9" w:rsidP="009A76DC">
            <w:pPr>
              <w:rPr>
                <w:b/>
              </w:rPr>
            </w:pPr>
            <w:r>
              <w:rPr>
                <w:b/>
              </w:rPr>
              <w:t>Namn</w:t>
            </w:r>
          </w:p>
        </w:tc>
        <w:tc>
          <w:tcPr>
            <w:tcW w:w="1418" w:type="dxa"/>
            <w:shd w:val="clear" w:color="auto" w:fill="D9D9D9" w:themeFill="background1" w:themeFillShade="D9"/>
            <w:vAlign w:val="bottom"/>
          </w:tcPr>
          <w:p w14:paraId="7876ED28" w14:textId="77777777" w:rsidR="00802CB9" w:rsidRDefault="00802CB9" w:rsidP="009A76DC">
            <w:pPr>
              <w:rPr>
                <w:b/>
              </w:rPr>
            </w:pPr>
            <w:r>
              <w:rPr>
                <w:b/>
              </w:rPr>
              <w:t>Datatyp</w:t>
            </w:r>
          </w:p>
        </w:tc>
        <w:tc>
          <w:tcPr>
            <w:tcW w:w="3827" w:type="dxa"/>
            <w:shd w:val="clear" w:color="auto" w:fill="D9D9D9" w:themeFill="background1" w:themeFillShade="D9"/>
            <w:vAlign w:val="bottom"/>
          </w:tcPr>
          <w:p w14:paraId="057517BD" w14:textId="77777777" w:rsidR="00802CB9" w:rsidRDefault="00802CB9" w:rsidP="009A76DC">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9A76DC">
            <w:pPr>
              <w:rPr>
                <w:b/>
              </w:rPr>
            </w:pPr>
            <w:r>
              <w:rPr>
                <w:b/>
              </w:rPr>
              <w:t>Kardinalitet</w:t>
            </w:r>
          </w:p>
        </w:tc>
      </w:tr>
      <w:tr w:rsidR="00802CB9" w14:paraId="060CE374" w14:textId="77777777" w:rsidTr="009A76DC">
        <w:tc>
          <w:tcPr>
            <w:tcW w:w="2518" w:type="dxa"/>
          </w:tcPr>
          <w:p w14:paraId="0A668EB6" w14:textId="77777777" w:rsidR="00802CB9" w:rsidRPr="00D03076" w:rsidRDefault="00802CB9" w:rsidP="009A76DC">
            <w:pPr>
              <w:pStyle w:val="TableParagraph"/>
            </w:pPr>
            <w:r w:rsidRPr="00D03076">
              <w:t>id</w:t>
            </w:r>
          </w:p>
        </w:tc>
        <w:tc>
          <w:tcPr>
            <w:tcW w:w="1418" w:type="dxa"/>
          </w:tcPr>
          <w:p w14:paraId="1B7D8182" w14:textId="77777777" w:rsidR="00802CB9" w:rsidRPr="00D03076" w:rsidRDefault="00802CB9" w:rsidP="009A76DC">
            <w:pPr>
              <w:pStyle w:val="TableParagraph"/>
            </w:pPr>
            <w:r w:rsidRPr="00D03076">
              <w:t>string</w:t>
            </w:r>
          </w:p>
        </w:tc>
        <w:tc>
          <w:tcPr>
            <w:tcW w:w="3827" w:type="dxa"/>
          </w:tcPr>
          <w:p w14:paraId="38DE2434" w14:textId="77777777" w:rsidR="00802CB9" w:rsidRPr="00D03076" w:rsidRDefault="00802CB9" w:rsidP="009A76DC">
            <w:pPr>
              <w:pStyle w:val="TableParagraph"/>
            </w:pPr>
            <w:r w:rsidRPr="00D03076">
              <w:t>Identiteten enligt den identitetstyp (type) som angivits. Anges med 12 tecken utan bindestreck.</w:t>
            </w:r>
          </w:p>
        </w:tc>
        <w:tc>
          <w:tcPr>
            <w:tcW w:w="1337" w:type="dxa"/>
          </w:tcPr>
          <w:p w14:paraId="3D1FBFC6" w14:textId="77777777" w:rsidR="00802CB9" w:rsidRPr="00D03076" w:rsidRDefault="00802CB9" w:rsidP="009A76DC">
            <w:pPr>
              <w:pStyle w:val="TableParagraph"/>
            </w:pPr>
            <w:r w:rsidRPr="00D03076">
              <w:t>1..1</w:t>
            </w:r>
          </w:p>
        </w:tc>
      </w:tr>
      <w:tr w:rsidR="00802CB9" w14:paraId="2648A4AD" w14:textId="77777777" w:rsidTr="009A76DC">
        <w:tc>
          <w:tcPr>
            <w:tcW w:w="2518" w:type="dxa"/>
          </w:tcPr>
          <w:p w14:paraId="377E886C" w14:textId="77777777" w:rsidR="00802CB9" w:rsidRPr="00D03076" w:rsidRDefault="00802CB9" w:rsidP="009A76DC">
            <w:pPr>
              <w:pStyle w:val="TableParagraph"/>
            </w:pPr>
            <w:r w:rsidRPr="00D03076">
              <w:t>type</w:t>
            </w:r>
          </w:p>
        </w:tc>
        <w:tc>
          <w:tcPr>
            <w:tcW w:w="1418" w:type="dxa"/>
          </w:tcPr>
          <w:p w14:paraId="0C446251" w14:textId="77777777" w:rsidR="00802CB9" w:rsidRPr="00D03076" w:rsidRDefault="00802CB9" w:rsidP="009A76DC">
            <w:pPr>
              <w:pStyle w:val="TableParagraph"/>
            </w:pPr>
            <w:r w:rsidRPr="00D03076">
              <w:t>string</w:t>
            </w:r>
          </w:p>
        </w:tc>
        <w:tc>
          <w:tcPr>
            <w:tcW w:w="3827" w:type="dxa"/>
          </w:tcPr>
          <w:p w14:paraId="367C710D" w14:textId="77777777" w:rsidR="00802CB9" w:rsidRPr="00D03076" w:rsidRDefault="00802CB9" w:rsidP="009A76DC">
            <w:pPr>
              <w:pStyle w:val="TableParagraph"/>
            </w:pPr>
            <w:r w:rsidRPr="00D03076">
              <w:t xml:space="preserve">OID för typ av identifierare. </w:t>
            </w:r>
          </w:p>
          <w:p w14:paraId="5F09DF54" w14:textId="77777777" w:rsidR="00802CB9" w:rsidRPr="00D03076" w:rsidRDefault="00802CB9" w:rsidP="009A76DC">
            <w:pPr>
              <w:pStyle w:val="TableParagraph"/>
            </w:pPr>
            <w:r w:rsidRPr="00D03076">
              <w:t>För personnummer ska Skatteverkets personnummer (1.2.752.129.2.1.3.1).</w:t>
            </w:r>
          </w:p>
          <w:p w14:paraId="18C99107" w14:textId="77777777" w:rsidR="00802CB9" w:rsidRPr="00D03076" w:rsidRDefault="00802CB9" w:rsidP="009A76DC">
            <w:pPr>
              <w:pStyle w:val="TableParagraph"/>
            </w:pPr>
            <w:r w:rsidRPr="00D03076">
              <w:t>För samordningsnummer ska Skatteverkets samordningsnummer (1.2.752.129.2.1.3.3).</w:t>
            </w:r>
          </w:p>
          <w:p w14:paraId="07CD8885" w14:textId="77777777" w:rsidR="00802CB9" w:rsidRPr="00D03076" w:rsidRDefault="00802CB9" w:rsidP="009A76DC">
            <w:pPr>
              <w:pStyle w:val="TableParagraph"/>
            </w:pPr>
            <w:r w:rsidRPr="00D03076">
              <w:t>För reservnummer används lokalt definierade reservnummer, exempelvis SLL reservnummer (1.2.752.97.3.1.3)</w:t>
            </w:r>
          </w:p>
        </w:tc>
        <w:tc>
          <w:tcPr>
            <w:tcW w:w="1337" w:type="dxa"/>
          </w:tcPr>
          <w:p w14:paraId="72FB1B06" w14:textId="77777777" w:rsidR="00802CB9" w:rsidRPr="00D03076" w:rsidRDefault="00802CB9" w:rsidP="009A76DC">
            <w:pPr>
              <w:pStyle w:val="TableParagraph"/>
            </w:pPr>
            <w:r w:rsidRPr="00D03076">
              <w:t>1..1</w:t>
            </w:r>
          </w:p>
        </w:tc>
      </w:tr>
    </w:tbl>
    <w:p w14:paraId="5523D1C6" w14:textId="77777777" w:rsidR="00802CB9" w:rsidRDefault="00802CB9" w:rsidP="00141BEB"/>
    <w:p w14:paraId="13CC2C45" w14:textId="77777777" w:rsidR="00141BEB" w:rsidRDefault="00141BEB" w:rsidP="00141BEB">
      <w:pPr>
        <w:rPr>
          <w:rFonts w:ascii="Arial" w:hAnsi="Arial" w:cs="Arial"/>
          <w:b/>
        </w:rPr>
      </w:pPr>
      <w:r>
        <w:rPr>
          <w:rFonts w:ascii="Arial" w:hAnsi="Arial" w:cs="Arial"/>
          <w:b/>
        </w:rPr>
        <w:t>PQType</w:t>
      </w:r>
    </w:p>
    <w:p w14:paraId="1ACB1C6C" w14:textId="77777777" w:rsidR="00141BEB" w:rsidRPr="00166FE3" w:rsidRDefault="00141BEB" w:rsidP="00141BEB">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r>
              <w:rPr>
                <w:b/>
              </w:rPr>
              <w:t>Datatyp</w:t>
            </w:r>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r w:rsidRPr="00D03076">
              <w:t>value</w:t>
            </w:r>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”unit”</w:t>
            </w:r>
          </w:p>
        </w:tc>
        <w:tc>
          <w:tcPr>
            <w:tcW w:w="1337" w:type="dxa"/>
          </w:tcPr>
          <w:p w14:paraId="52481D90" w14:textId="77777777" w:rsidR="00141BEB" w:rsidRPr="00D03076" w:rsidRDefault="00141BEB" w:rsidP="00141BEB">
            <w:pPr>
              <w:pStyle w:val="TableParagraph"/>
            </w:pPr>
            <w:r w:rsidRPr="00D03076">
              <w:t>1..1</w:t>
            </w:r>
          </w:p>
        </w:tc>
      </w:tr>
      <w:tr w:rsidR="00141BEB" w14:paraId="4015330E" w14:textId="77777777" w:rsidTr="00141BEB">
        <w:tc>
          <w:tcPr>
            <w:tcW w:w="2518" w:type="dxa"/>
          </w:tcPr>
          <w:p w14:paraId="1131FF57" w14:textId="77777777" w:rsidR="00141BEB" w:rsidRPr="00D03076" w:rsidRDefault="00141BEB" w:rsidP="00141BEB">
            <w:pPr>
              <w:pStyle w:val="TableParagraph"/>
            </w:pPr>
            <w:r w:rsidRPr="00D03076">
              <w:t>unit</w:t>
            </w:r>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r>
              <w:rPr>
                <w:b/>
              </w:rPr>
              <w:t>Datatyp</w:t>
            </w:r>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r>
              <w:t>TimeStampType</w:t>
            </w:r>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r>
              <w:t>TimeStampType</w:t>
            </w:r>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r>
        <w:rPr>
          <w:rFonts w:ascii="Arial" w:hAnsi="Arial" w:cs="Arial"/>
          <w:b/>
        </w:rPr>
        <w:t xml:space="preserve">TimeStampType </w:t>
      </w:r>
    </w:p>
    <w:p w14:paraId="3422EE82" w14:textId="77777777" w:rsidR="00141BEB" w:rsidRPr="00BC5B0B" w:rsidRDefault="00141BEB" w:rsidP="00141BEB">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lastRenderedPageBreak/>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r>
              <w:rPr>
                <w:b/>
              </w:rPr>
              <w:t>Datatyp</w:t>
            </w:r>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r w:rsidRPr="00D03076">
              <w:t>timestamp</w:t>
            </w:r>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”ÅÅÅÅMMDDttmmss”</w:t>
            </w:r>
          </w:p>
        </w:tc>
        <w:tc>
          <w:tcPr>
            <w:tcW w:w="1560" w:type="dxa"/>
          </w:tcPr>
          <w:p w14:paraId="3A84228E" w14:textId="77777777" w:rsidR="00141BEB" w:rsidRPr="00D03076" w:rsidRDefault="00141BEB" w:rsidP="00141BEB">
            <w:pPr>
              <w:pStyle w:val="TableParagraph"/>
            </w:pPr>
            <w:r w:rsidRPr="00D03076">
              <w:t>1..1</w:t>
            </w:r>
          </w:p>
        </w:tc>
      </w:tr>
    </w:tbl>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6" w:name="_Toc227635050"/>
      <w:bookmarkStart w:id="97" w:name="_Toc227659623"/>
      <w:bookmarkStart w:id="98" w:name="_Toc229538615"/>
      <w:bookmarkEnd w:id="95"/>
      <w:r w:rsidRPr="000927F0">
        <w:rPr>
          <w:spacing w:val="1"/>
        </w:rPr>
        <w:t>GetCareContact</w:t>
      </w:r>
      <w:r w:rsidR="00804285">
        <w:rPr>
          <w:spacing w:val="1"/>
        </w:rPr>
        <w:t>s</w:t>
      </w:r>
      <w:bookmarkEnd w:id="96"/>
      <w:bookmarkEnd w:id="97"/>
      <w:bookmarkEnd w:id="98"/>
    </w:p>
    <w:p w14:paraId="47900702" w14:textId="00716306" w:rsidR="00527535" w:rsidRPr="00907C9B"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99" w:name="_Toc227635051"/>
      <w:bookmarkStart w:id="100" w:name="_Toc227659624"/>
      <w:bookmarkStart w:id="101" w:name="_Toc229538616"/>
      <w:r w:rsidRPr="002E1905">
        <w:t>Frivillighet</w:t>
      </w:r>
      <w:bookmarkEnd w:id="99"/>
      <w:bookmarkEnd w:id="100"/>
      <w:bookmarkEnd w:id="101"/>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2" w:name="_Toc227635052"/>
      <w:bookmarkStart w:id="103" w:name="_Toc227659625"/>
      <w:bookmarkStart w:id="104" w:name="_Toc229538617"/>
      <w:r w:rsidRPr="00866C77">
        <w:t>Version</w:t>
      </w:r>
      <w:bookmarkEnd w:id="102"/>
      <w:bookmarkEnd w:id="103"/>
      <w:bookmarkEnd w:id="10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5" w:name="_Toc227635053"/>
      <w:bookmarkStart w:id="106" w:name="_Toc227659626"/>
      <w:bookmarkStart w:id="107" w:name="_Toc229538618"/>
      <w:r w:rsidRPr="001C06B7">
        <w:t>SLA-krav</w:t>
      </w:r>
      <w:bookmarkEnd w:id="105"/>
      <w:bookmarkEnd w:id="106"/>
      <w:bookmarkEnd w:id="107"/>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8" w:name="_Toc227635054"/>
      <w:bookmarkStart w:id="109" w:name="_Toc227659627"/>
      <w:bookmarkStart w:id="110" w:name="_Toc229538619"/>
      <w:r w:rsidRPr="002A2A8D">
        <w:t>Fältregler</w:t>
      </w:r>
      <w:bookmarkEnd w:id="108"/>
      <w:bookmarkEnd w:id="109"/>
      <w:bookmarkEnd w:id="110"/>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A5FE5FD" w:rsidR="00F134C6" w:rsidRPr="00907C9B" w:rsidRDefault="00F134C6" w:rsidP="000043B1">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lastRenderedPageBreak/>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r>
              <w:rPr>
                <w:sz w:val="20"/>
                <w:szCs w:val="20"/>
              </w:rPr>
              <w:t>../../</w:t>
            </w:r>
            <w:r w:rsidR="002B6CD3"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healthcareProfessionalHSA</w:t>
            </w:r>
            <w:r w:rsidR="00932B9B">
              <w:rPr>
                <w:spacing w:val="-1"/>
                <w:sz w:val="20"/>
                <w:szCs w:val="20"/>
              </w:rPr>
              <w:t>I</w:t>
            </w:r>
            <w:r w:rsidR="002B6CD3">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r>
              <w:rPr>
                <w:sz w:val="20"/>
                <w:szCs w:val="20"/>
              </w:rPr>
              <w:t>../../../</w:t>
            </w:r>
            <w:r w:rsidR="002B6CD3">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72217A"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lastRenderedPageBreak/>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r>
              <w:rPr>
                <w:spacing w:val="-1"/>
                <w:sz w:val="20"/>
                <w:szCs w:val="20"/>
              </w:rPr>
              <w:t>../../../</w:t>
            </w:r>
            <w:r w:rsidR="002B6CD3">
              <w:rPr>
                <w:spacing w:val="-1"/>
                <w:sz w:val="20"/>
                <w:szCs w:val="20"/>
              </w:rPr>
              <w:t>healthcareProfessional</w:t>
            </w:r>
            <w:r w:rsidR="002B6CD3"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r>
              <w:rPr>
                <w:sz w:val="20"/>
                <w:szCs w:val="20"/>
              </w:rPr>
              <w:t>../../../../</w:t>
            </w:r>
            <w:r w:rsidR="002B6CD3">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r>
              <w:rPr>
                <w:sz w:val="20"/>
                <w:szCs w:val="20"/>
              </w:rPr>
              <w:t>../../../../</w:t>
            </w:r>
            <w:r w:rsidR="002B6CD3">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r>
              <w:rPr>
                <w:spacing w:val="-1"/>
                <w:sz w:val="20"/>
                <w:szCs w:val="20"/>
              </w:rPr>
              <w:t>en</w:t>
            </w:r>
            <w:r w:rsidRPr="008C68A3">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77777777" w:rsidR="002B6CD3" w:rsidRPr="006B1876" w:rsidRDefault="002B6CD3" w:rsidP="00757994">
            <w:pPr>
              <w:spacing w:line="229" w:lineRule="exact"/>
              <w:ind w:left="102"/>
              <w:rPr>
                <w:sz w:val="20"/>
                <w:szCs w:val="20"/>
              </w:rPr>
            </w:pPr>
            <w:r w:rsidRPr="006B1876">
              <w:rPr>
                <w:sz w:val="20"/>
                <w:szCs w:val="20"/>
              </w:rPr>
              <w:t>HSA-id för PDL-enhet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lastRenderedPageBreak/>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9A76DC" w:rsidRDefault="009A76DC">
      <w:r>
        <w:separator/>
      </w:r>
    </w:p>
  </w:endnote>
  <w:endnote w:type="continuationSeparator" w:id="0">
    <w:p w14:paraId="7A11D373" w14:textId="77777777" w:rsidR="009A76DC" w:rsidRDefault="009A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9A76DC" w:rsidRDefault="009A76DC">
      <w:r>
        <w:separator/>
      </w:r>
    </w:p>
  </w:footnote>
  <w:footnote w:type="continuationSeparator" w:id="0">
    <w:p w14:paraId="2C040800" w14:textId="77777777" w:rsidR="009A76DC" w:rsidRDefault="009A76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9A76DC"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9A76DC" w:rsidRDefault="009A76DC"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277BBFD5" w:rsidR="009A76DC"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F767CA">
            <w:t>2</w:t>
          </w:r>
        </w:p>
      </w:tc>
    </w:tr>
    <w:tr w:rsidR="009A76DC"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2217A">
            <w:rPr>
              <w:noProof/>
            </w:rPr>
            <w:t>6</w:t>
          </w:r>
          <w:r>
            <w:fldChar w:fldCharType="end"/>
          </w:r>
          <w:r>
            <w:t xml:space="preserve"> (</w:t>
          </w:r>
          <w:r>
            <w:fldChar w:fldCharType="begin"/>
          </w:r>
          <w:r>
            <w:instrText xml:space="preserve"> NUMPAGES </w:instrText>
          </w:r>
          <w:r>
            <w:fldChar w:fldCharType="separate"/>
          </w:r>
          <w:r w:rsidR="0072217A">
            <w:rPr>
              <w:noProof/>
            </w:rPr>
            <w:t>28</w:t>
          </w:r>
          <w:r>
            <w:fldChar w:fldCharType="end"/>
          </w:r>
          <w:r>
            <w:t>)</w:t>
          </w:r>
        </w:p>
      </w:tc>
    </w:tr>
    <w:tr w:rsidR="009A76DC"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C1780">
            <w:rPr>
              <w:rFonts w:ascii="Arial" w:hAnsi="Arial" w:cs="Arial"/>
              <w:noProof/>
            </w:rPr>
            <w:t>2013-10-17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9A76DC" w:rsidRPr="00647B65" w:rsidRDefault="009A76DC"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9A76DC" w:rsidRPr="00647B65" w:rsidRDefault="009A76DC" w:rsidP="004E562D"/>
      </w:tc>
    </w:tr>
  </w:tbl>
  <w:p w14:paraId="1CF20CDE" w14:textId="77777777" w:rsidR="009A76DC" w:rsidRPr="008745C3" w:rsidRDefault="009A76DC"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9A76DC"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9A76DC" w:rsidRDefault="009A76D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0E8C1B54" w:rsidR="00F767CA"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F767CA">
            <w:t>2</w:t>
          </w:r>
        </w:p>
      </w:tc>
    </w:tr>
    <w:tr w:rsidR="009A76DC"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2217A">
            <w:rPr>
              <w:noProof/>
            </w:rPr>
            <w:t>11</w:t>
          </w:r>
          <w:r>
            <w:fldChar w:fldCharType="end"/>
          </w:r>
          <w:r>
            <w:t xml:space="preserve"> (</w:t>
          </w:r>
          <w:r>
            <w:fldChar w:fldCharType="begin"/>
          </w:r>
          <w:r>
            <w:instrText xml:space="preserve"> NUMPAGES </w:instrText>
          </w:r>
          <w:r>
            <w:fldChar w:fldCharType="separate"/>
          </w:r>
          <w:r w:rsidR="0072217A">
            <w:rPr>
              <w:noProof/>
            </w:rPr>
            <w:t>28</w:t>
          </w:r>
          <w:r>
            <w:fldChar w:fldCharType="end"/>
          </w:r>
          <w:r>
            <w:t>)</w:t>
          </w:r>
        </w:p>
      </w:tc>
    </w:tr>
    <w:tr w:rsidR="009A76DC"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C1780">
            <w:rPr>
              <w:rFonts w:ascii="Arial" w:hAnsi="Arial" w:cs="Arial"/>
              <w:noProof/>
            </w:rPr>
            <w:t>2013-10-17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9A76DC" w:rsidRPr="00647B65" w:rsidRDefault="009A76D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9A76DC" w:rsidRPr="00647B65" w:rsidRDefault="009A76DC" w:rsidP="004E562D"/>
      </w:tc>
    </w:tr>
  </w:tbl>
  <w:p w14:paraId="387255B9" w14:textId="77777777" w:rsidR="009A76DC" w:rsidRPr="008745C3" w:rsidRDefault="009A76DC"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3705"/>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1780"/>
    <w:rsid w:val="00EC2176"/>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inera.se/Documents/TJANSTER_PROJEKT/Katalogtjanst_HSA/Innehall/hsa_innehall_befattning.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unitsofmeasure.org/ucum.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7328F-7962-47E7-8AF8-28967598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28</Pages>
  <Words>7105</Words>
  <Characters>37657</Characters>
  <Application>Microsoft Office Word</Application>
  <DocSecurity>0</DocSecurity>
  <Lines>313</Lines>
  <Paragraphs>89</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211</cp:revision>
  <cp:lastPrinted>2013-02-07T13:14:00Z</cp:lastPrinted>
  <dcterms:created xsi:type="dcterms:W3CDTF">2013-03-05T19:50:00Z</dcterms:created>
  <dcterms:modified xsi:type="dcterms:W3CDTF">2013-10-17T14:55:00Z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