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21C64CD" w:rsidR="00D218F3" w:rsidRPr="00BC5B0B" w:rsidRDefault="004B2DDF" w:rsidP="00D218F3">
      <w:pPr>
        <w:pStyle w:val="Friform"/>
        <w:rPr>
          <w:rFonts w:ascii="Arial" w:hAnsi="Arial"/>
          <w:sz w:val="36"/>
        </w:rPr>
      </w:pPr>
      <w:r>
        <w:rPr>
          <w:rFonts w:ascii="Arial" w:hAnsi="Arial"/>
          <w:sz w:val="36"/>
        </w:rPr>
        <w:t>Utgåva PA</w:t>
      </w:r>
      <w:r w:rsidR="003F24BE">
        <w:rPr>
          <w:rFonts w:ascii="Arial" w:hAnsi="Arial"/>
          <w:sz w:val="36"/>
        </w:rPr>
        <w:t>31</w:t>
      </w:r>
    </w:p>
    <w:p w14:paraId="087F92D2" w14:textId="7D706A8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347B5">
        <w:rPr>
          <w:rFonts w:ascii="Arial" w:hAnsi="Arial"/>
          <w:sz w:val="36"/>
        </w:rPr>
        <w:t>03-15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4261D6" w:rsidRPr="006941C4" w14:paraId="7C38C8C9" w14:textId="77777777" w:rsidTr="00FA580C">
        <w:tc>
          <w:tcPr>
            <w:tcW w:w="964" w:type="dxa"/>
          </w:tcPr>
          <w:p w14:paraId="56E40716" w14:textId="297BC50D" w:rsidR="004261D6" w:rsidRDefault="004261D6" w:rsidP="00FE2B3C">
            <w:pPr>
              <w:pStyle w:val="TableText"/>
            </w:pPr>
            <w:r>
              <w:t>PA32</w:t>
            </w:r>
          </w:p>
        </w:tc>
        <w:tc>
          <w:tcPr>
            <w:tcW w:w="1224" w:type="dxa"/>
          </w:tcPr>
          <w:p w14:paraId="04F0A825" w14:textId="0C434B48" w:rsidR="004261D6" w:rsidRDefault="004261D6" w:rsidP="00FE2B3C">
            <w:pPr>
              <w:pStyle w:val="TableText"/>
            </w:pPr>
            <w:r>
              <w:t>2013-04-02</w:t>
            </w:r>
          </w:p>
        </w:tc>
        <w:tc>
          <w:tcPr>
            <w:tcW w:w="3652" w:type="dxa"/>
          </w:tcPr>
          <w:p w14:paraId="1F6F3C0E" w14:textId="44E2775B" w:rsidR="004261D6" w:rsidRDefault="004261D6" w:rsidP="0043171C">
            <w:pPr>
              <w:pStyle w:val="TableText"/>
            </w:pPr>
            <w:r>
              <w:t xml:space="preserve">Ändrat elementnamnet </w:t>
            </w:r>
            <w:proofErr w:type="spellStart"/>
            <w:r>
              <w:t>sourceSystem</w:t>
            </w:r>
            <w:proofErr w:type="spellEnd"/>
            <w:r>
              <w:t xml:space="preserve"> till </w:t>
            </w:r>
            <w:proofErr w:type="spellStart"/>
            <w:r w:rsidRPr="00D6731C">
              <w:t>sourceSystemHSAid</w:t>
            </w:r>
            <w:proofErr w:type="spellEnd"/>
            <w:r>
              <w:t xml:space="preserve"> </w:t>
            </w:r>
          </w:p>
        </w:tc>
        <w:tc>
          <w:tcPr>
            <w:tcW w:w="2126" w:type="dxa"/>
          </w:tcPr>
          <w:p w14:paraId="095FA9CD" w14:textId="3F09C84F" w:rsidR="004261D6" w:rsidRDefault="004261D6" w:rsidP="00FE2B3C">
            <w:pPr>
              <w:pStyle w:val="TableText"/>
            </w:pPr>
            <w:r>
              <w:t>Khaled Daham</w:t>
            </w:r>
          </w:p>
        </w:tc>
        <w:tc>
          <w:tcPr>
            <w:tcW w:w="1276" w:type="dxa"/>
          </w:tcPr>
          <w:p w14:paraId="3601C03E" w14:textId="77777777" w:rsidR="004261D6" w:rsidRPr="007B3A82" w:rsidRDefault="004261D6" w:rsidP="00FE2B3C">
            <w:pPr>
              <w:pStyle w:val="TableText"/>
            </w:pPr>
          </w:p>
        </w:tc>
      </w:tr>
    </w:tbl>
    <w:p w14:paraId="2A423960" w14:textId="0434FD86" w:rsidR="00D218F3" w:rsidRPr="007B3A82" w:rsidRDefault="00D218F3" w:rsidP="00D218F3">
      <w:pPr>
        <w:sectPr w:rsidR="00D218F3" w:rsidRPr="007B3A82">
          <w:headerReference w:type="even" r:id="rId8"/>
          <w:headerReference w:type="default" r:id="rId9"/>
          <w:footerReference w:type="even" r:id="rId10"/>
          <w:footerReference w:type="default" r:id="rId11"/>
          <w:headerReference w:type="first" r:id="rId12"/>
          <w:footerReference w:type="first" r:id="rId13"/>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r w:rsidRPr="00BC5B0B">
        <w:rPr>
          <w:rStyle w:val="Hyperlink"/>
          <w:rFonts w:eastAsia="ヒラギノ角ゴ Pro W3" w:cs="Times New Roman"/>
          <w:caps/>
          <w:noProof/>
          <w:color w:val="auto"/>
          <w:sz w:val="20"/>
          <w:szCs w:val="20"/>
        </w:rPr>
        <w:t xml:space="preserve"> </w:t>
      </w:r>
    </w:p>
    <w:p w14:paraId="0738A3EC" w14:textId="77777777" w:rsidR="00E323C4" w:rsidRDefault="00D218F3">
      <w:pPr>
        <w:pStyle w:val="TOC1"/>
        <w:tabs>
          <w:tab w:val="left" w:pos="1287"/>
          <w:tab w:val="right" w:leader="dot" w:pos="9159"/>
        </w:tabs>
        <w:rPr>
          <w:rFonts w:asciiTheme="minorHAnsi" w:eastAsiaTheme="minorEastAsia" w:hAnsiTheme="minorHAnsi"/>
          <w:noProof/>
          <w:lang w:val="en-US"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E323C4">
        <w:rPr>
          <w:noProof/>
        </w:rPr>
        <w:t>1.</w:t>
      </w:r>
      <w:r w:rsidR="00E323C4">
        <w:rPr>
          <w:rFonts w:asciiTheme="minorHAnsi" w:eastAsiaTheme="minorEastAsia" w:hAnsiTheme="minorHAnsi"/>
          <w:noProof/>
          <w:lang w:val="en-US" w:eastAsia="ja-JP"/>
        </w:rPr>
        <w:tab/>
      </w:r>
      <w:r w:rsidR="00E323C4">
        <w:rPr>
          <w:noProof/>
        </w:rPr>
        <w:t>Inledning</w:t>
      </w:r>
      <w:r w:rsidR="00E323C4">
        <w:rPr>
          <w:noProof/>
        </w:rPr>
        <w:tab/>
      </w:r>
      <w:r w:rsidR="00E323C4">
        <w:rPr>
          <w:noProof/>
        </w:rPr>
        <w:fldChar w:fldCharType="begin"/>
      </w:r>
      <w:r w:rsidR="00E323C4">
        <w:rPr>
          <w:noProof/>
        </w:rPr>
        <w:instrText xml:space="preserve"> PAGEREF _Toc224973733 \h </w:instrText>
      </w:r>
      <w:r w:rsidR="00E323C4">
        <w:rPr>
          <w:noProof/>
        </w:rPr>
      </w:r>
      <w:r w:rsidR="00E323C4">
        <w:rPr>
          <w:noProof/>
        </w:rPr>
        <w:fldChar w:fldCharType="separate"/>
      </w:r>
      <w:r w:rsidR="00E323C4">
        <w:rPr>
          <w:noProof/>
        </w:rPr>
        <w:t>6</w:t>
      </w:r>
      <w:r w:rsidR="00E323C4">
        <w:rPr>
          <w:noProof/>
        </w:rPr>
        <w:fldChar w:fldCharType="end"/>
      </w:r>
    </w:p>
    <w:p w14:paraId="22F53D0C" w14:textId="77777777" w:rsidR="00E323C4" w:rsidRDefault="00E323C4">
      <w:pPr>
        <w:pStyle w:val="TOC1"/>
        <w:tabs>
          <w:tab w:val="left" w:pos="1287"/>
          <w:tab w:val="right" w:leader="dot" w:pos="9159"/>
        </w:tabs>
        <w:rPr>
          <w:rFonts w:asciiTheme="minorHAnsi" w:eastAsiaTheme="minorEastAsia" w:hAnsiTheme="minorHAnsi"/>
          <w:noProof/>
          <w:lang w:val="en-US" w:eastAsia="ja-JP"/>
        </w:rPr>
      </w:pPr>
      <w:r w:rsidRPr="002371F5">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_Toc224973734 \h </w:instrText>
      </w:r>
      <w:r>
        <w:rPr>
          <w:noProof/>
        </w:rPr>
      </w:r>
      <w:r>
        <w:rPr>
          <w:noProof/>
        </w:rPr>
        <w:fldChar w:fldCharType="separate"/>
      </w:r>
      <w:r>
        <w:rPr>
          <w:noProof/>
        </w:rPr>
        <w:t>8</w:t>
      </w:r>
      <w:r>
        <w:rPr>
          <w:noProof/>
        </w:rPr>
        <w:fldChar w:fldCharType="end"/>
      </w:r>
    </w:p>
    <w:p w14:paraId="3533C48F"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_Toc224973735 \h </w:instrText>
      </w:r>
      <w:r>
        <w:rPr>
          <w:noProof/>
        </w:rPr>
      </w:r>
      <w:r>
        <w:rPr>
          <w:noProof/>
        </w:rPr>
        <w:fldChar w:fldCharType="separate"/>
      </w:r>
      <w:r>
        <w:rPr>
          <w:noProof/>
        </w:rPr>
        <w:t>8</w:t>
      </w:r>
      <w:r>
        <w:rPr>
          <w:noProof/>
        </w:rPr>
        <w:fldChar w:fldCharType="end"/>
      </w:r>
    </w:p>
    <w:p w14:paraId="1E087B91"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_Toc224973736 \h </w:instrText>
      </w:r>
      <w:r>
        <w:rPr>
          <w:noProof/>
        </w:rPr>
      </w:r>
      <w:r>
        <w:rPr>
          <w:noProof/>
        </w:rPr>
        <w:fldChar w:fldCharType="separate"/>
      </w:r>
      <w:r>
        <w:rPr>
          <w:noProof/>
        </w:rPr>
        <w:t>9</w:t>
      </w:r>
      <w:r>
        <w:rPr>
          <w:noProof/>
        </w:rPr>
        <w:fldChar w:fldCharType="end"/>
      </w:r>
    </w:p>
    <w:p w14:paraId="46792671"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_Toc224973737 \h </w:instrText>
      </w:r>
      <w:r>
        <w:rPr>
          <w:noProof/>
        </w:rPr>
      </w:r>
      <w:r>
        <w:rPr>
          <w:noProof/>
        </w:rPr>
        <w:fldChar w:fldCharType="separate"/>
      </w:r>
      <w:r>
        <w:rPr>
          <w:noProof/>
        </w:rPr>
        <w:t>10</w:t>
      </w:r>
      <w:r>
        <w:rPr>
          <w:noProof/>
        </w:rPr>
        <w:fldChar w:fldCharType="end"/>
      </w:r>
    </w:p>
    <w:p w14:paraId="30C4A2CE"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_Toc224973738 \h </w:instrText>
      </w:r>
      <w:r>
        <w:rPr>
          <w:noProof/>
        </w:rPr>
      </w:r>
      <w:r>
        <w:rPr>
          <w:noProof/>
        </w:rPr>
        <w:fldChar w:fldCharType="separate"/>
      </w:r>
      <w:r>
        <w:rPr>
          <w:noProof/>
        </w:rPr>
        <w:t>11</w:t>
      </w:r>
      <w:r>
        <w:rPr>
          <w:noProof/>
        </w:rPr>
        <w:fldChar w:fldCharType="end"/>
      </w:r>
    </w:p>
    <w:p w14:paraId="02A685F1"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2.4.1.</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_Toc224973739 \h </w:instrText>
      </w:r>
      <w:r>
        <w:rPr>
          <w:noProof/>
        </w:rPr>
      </w:r>
      <w:r>
        <w:rPr>
          <w:noProof/>
        </w:rPr>
        <w:fldChar w:fldCharType="separate"/>
      </w:r>
      <w:r>
        <w:rPr>
          <w:noProof/>
        </w:rPr>
        <w:t>11</w:t>
      </w:r>
      <w:r>
        <w:rPr>
          <w:noProof/>
        </w:rPr>
        <w:fldChar w:fldCharType="end"/>
      </w:r>
    </w:p>
    <w:p w14:paraId="496D1E81"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2.4.2.</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_Toc224973740 \h </w:instrText>
      </w:r>
      <w:r>
        <w:rPr>
          <w:noProof/>
        </w:rPr>
      </w:r>
      <w:r>
        <w:rPr>
          <w:noProof/>
        </w:rPr>
        <w:fldChar w:fldCharType="separate"/>
      </w:r>
      <w:r>
        <w:rPr>
          <w:noProof/>
        </w:rPr>
        <w:t>12</w:t>
      </w:r>
      <w:r>
        <w:rPr>
          <w:noProof/>
        </w:rPr>
        <w:fldChar w:fldCharType="end"/>
      </w:r>
    </w:p>
    <w:p w14:paraId="7A381E4B"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_Toc224973741 \h </w:instrText>
      </w:r>
      <w:r>
        <w:rPr>
          <w:noProof/>
        </w:rPr>
      </w:r>
      <w:r>
        <w:rPr>
          <w:noProof/>
        </w:rPr>
        <w:fldChar w:fldCharType="separate"/>
      </w:r>
      <w:r>
        <w:rPr>
          <w:noProof/>
        </w:rPr>
        <w:t>12</w:t>
      </w:r>
      <w:r>
        <w:rPr>
          <w:noProof/>
        </w:rPr>
        <w:fldChar w:fldCharType="end"/>
      </w:r>
    </w:p>
    <w:p w14:paraId="55EF1583"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_Toc224973742 \h </w:instrText>
      </w:r>
      <w:r>
        <w:rPr>
          <w:noProof/>
        </w:rPr>
      </w:r>
      <w:r>
        <w:rPr>
          <w:noProof/>
        </w:rPr>
        <w:fldChar w:fldCharType="separate"/>
      </w:r>
      <w:r>
        <w:rPr>
          <w:noProof/>
        </w:rPr>
        <w:t>13</w:t>
      </w:r>
      <w:r>
        <w:rPr>
          <w:noProof/>
        </w:rPr>
        <w:fldChar w:fldCharType="end"/>
      </w:r>
    </w:p>
    <w:p w14:paraId="50191C94"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2.6.1.</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_Toc224973743 \h </w:instrText>
      </w:r>
      <w:r>
        <w:rPr>
          <w:noProof/>
        </w:rPr>
      </w:r>
      <w:r>
        <w:rPr>
          <w:noProof/>
        </w:rPr>
        <w:fldChar w:fldCharType="separate"/>
      </w:r>
      <w:r>
        <w:rPr>
          <w:noProof/>
        </w:rPr>
        <w:t>13</w:t>
      </w:r>
      <w:r>
        <w:rPr>
          <w:noProof/>
        </w:rPr>
        <w:fldChar w:fldCharType="end"/>
      </w:r>
    </w:p>
    <w:p w14:paraId="6E6A395F"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2.6.2.</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_Toc224973744 \h </w:instrText>
      </w:r>
      <w:r>
        <w:rPr>
          <w:noProof/>
        </w:rPr>
      </w:r>
      <w:r>
        <w:rPr>
          <w:noProof/>
        </w:rPr>
        <w:fldChar w:fldCharType="separate"/>
      </w:r>
      <w:r>
        <w:rPr>
          <w:noProof/>
        </w:rPr>
        <w:t>13</w:t>
      </w:r>
      <w:r>
        <w:rPr>
          <w:noProof/>
        </w:rPr>
        <w:fldChar w:fldCharType="end"/>
      </w:r>
    </w:p>
    <w:p w14:paraId="7C27E905"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2.6.3.</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_Toc224973745 \h </w:instrText>
      </w:r>
      <w:r>
        <w:rPr>
          <w:noProof/>
        </w:rPr>
      </w:r>
      <w:r>
        <w:rPr>
          <w:noProof/>
        </w:rPr>
        <w:fldChar w:fldCharType="separate"/>
      </w:r>
      <w:r>
        <w:rPr>
          <w:noProof/>
        </w:rPr>
        <w:t>13</w:t>
      </w:r>
      <w:r>
        <w:rPr>
          <w:noProof/>
        </w:rPr>
        <w:fldChar w:fldCharType="end"/>
      </w:r>
    </w:p>
    <w:p w14:paraId="22235A3B"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_Toc224973746 \h </w:instrText>
      </w:r>
      <w:r>
        <w:rPr>
          <w:noProof/>
        </w:rPr>
      </w:r>
      <w:r>
        <w:rPr>
          <w:noProof/>
        </w:rPr>
        <w:fldChar w:fldCharType="separate"/>
      </w:r>
      <w:r>
        <w:rPr>
          <w:noProof/>
        </w:rPr>
        <w:t>13</w:t>
      </w:r>
      <w:r>
        <w:rPr>
          <w:noProof/>
        </w:rPr>
        <w:fldChar w:fldCharType="end"/>
      </w:r>
    </w:p>
    <w:p w14:paraId="41495530" w14:textId="77777777" w:rsidR="00E323C4" w:rsidRDefault="00E323C4">
      <w:pPr>
        <w:pStyle w:val="TOC1"/>
        <w:tabs>
          <w:tab w:val="left" w:pos="1287"/>
          <w:tab w:val="right" w:leader="dot" w:pos="9159"/>
        </w:tabs>
        <w:rPr>
          <w:rFonts w:asciiTheme="minorHAnsi" w:eastAsiaTheme="minorEastAsia" w:hAnsiTheme="minorHAnsi"/>
          <w:noProof/>
          <w:lang w:val="en-US" w:eastAsia="ja-JP"/>
        </w:rPr>
      </w:pPr>
      <w:r w:rsidRPr="002371F5">
        <w:rPr>
          <w:noProof/>
        </w:rPr>
        <w:t>3.</w:t>
      </w:r>
      <w:r>
        <w:rPr>
          <w:rFonts w:asciiTheme="minorHAnsi" w:eastAsiaTheme="minorEastAsia" w:hAnsiTheme="minorHAnsi"/>
          <w:noProof/>
          <w:lang w:val="en-US" w:eastAsia="ja-JP"/>
        </w:rPr>
        <w:tab/>
      </w:r>
      <w:r w:rsidRPr="002371F5">
        <w:rPr>
          <w:noProof/>
          <w:spacing w:val="1"/>
        </w:rPr>
        <w:t>Ge</w:t>
      </w:r>
      <w:r>
        <w:rPr>
          <w:noProof/>
        </w:rPr>
        <w:t>ner</w:t>
      </w:r>
      <w:r w:rsidRPr="002371F5">
        <w:rPr>
          <w:noProof/>
          <w:spacing w:val="-2"/>
        </w:rPr>
        <w:t>e</w:t>
      </w:r>
      <w:r>
        <w:rPr>
          <w:noProof/>
        </w:rPr>
        <w:t xml:space="preserve">lla </w:t>
      </w:r>
      <w:r w:rsidRPr="002371F5">
        <w:rPr>
          <w:noProof/>
          <w:spacing w:val="-2"/>
        </w:rPr>
        <w:t>r</w:t>
      </w:r>
      <w:r>
        <w:rPr>
          <w:noProof/>
        </w:rPr>
        <w:t>egler</w:t>
      </w:r>
      <w:r>
        <w:rPr>
          <w:noProof/>
        </w:rPr>
        <w:tab/>
      </w:r>
      <w:r>
        <w:rPr>
          <w:noProof/>
        </w:rPr>
        <w:fldChar w:fldCharType="begin"/>
      </w:r>
      <w:r>
        <w:rPr>
          <w:noProof/>
        </w:rPr>
        <w:instrText xml:space="preserve"> PAGEREF _Toc224973747 \h </w:instrText>
      </w:r>
      <w:r>
        <w:rPr>
          <w:noProof/>
        </w:rPr>
      </w:r>
      <w:r>
        <w:rPr>
          <w:noProof/>
        </w:rPr>
        <w:fldChar w:fldCharType="separate"/>
      </w:r>
      <w:r>
        <w:rPr>
          <w:noProof/>
        </w:rPr>
        <w:t>14</w:t>
      </w:r>
      <w:r>
        <w:rPr>
          <w:noProof/>
        </w:rPr>
        <w:fldChar w:fldCharType="end"/>
      </w:r>
    </w:p>
    <w:p w14:paraId="3555DE6A"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_Toc224973748 \h </w:instrText>
      </w:r>
      <w:r>
        <w:rPr>
          <w:noProof/>
        </w:rPr>
      </w:r>
      <w:r>
        <w:rPr>
          <w:noProof/>
        </w:rPr>
        <w:fldChar w:fldCharType="separate"/>
      </w:r>
      <w:r>
        <w:rPr>
          <w:noProof/>
        </w:rPr>
        <w:t>14</w:t>
      </w:r>
      <w:r>
        <w:rPr>
          <w:noProof/>
        </w:rPr>
        <w:fldChar w:fldCharType="end"/>
      </w:r>
    </w:p>
    <w:p w14:paraId="3A426964"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_Toc224973749 \h </w:instrText>
      </w:r>
      <w:r>
        <w:rPr>
          <w:noProof/>
        </w:rPr>
      </w:r>
      <w:r>
        <w:rPr>
          <w:noProof/>
        </w:rPr>
        <w:fldChar w:fldCharType="separate"/>
      </w:r>
      <w:r>
        <w:rPr>
          <w:noProof/>
        </w:rPr>
        <w:t>16</w:t>
      </w:r>
      <w:r>
        <w:rPr>
          <w:noProof/>
        </w:rPr>
        <w:fldChar w:fldCharType="end"/>
      </w:r>
    </w:p>
    <w:p w14:paraId="20D1F5D9"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_Toc224973750 \h </w:instrText>
      </w:r>
      <w:r>
        <w:rPr>
          <w:noProof/>
        </w:rPr>
      </w:r>
      <w:r>
        <w:rPr>
          <w:noProof/>
        </w:rPr>
        <w:fldChar w:fldCharType="separate"/>
      </w:r>
      <w:r>
        <w:rPr>
          <w:noProof/>
        </w:rPr>
        <w:t>17</w:t>
      </w:r>
      <w:r>
        <w:rPr>
          <w:noProof/>
        </w:rPr>
        <w:fldChar w:fldCharType="end"/>
      </w:r>
    </w:p>
    <w:p w14:paraId="31D15B7A"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_Toc224973751 \h </w:instrText>
      </w:r>
      <w:r>
        <w:rPr>
          <w:noProof/>
        </w:rPr>
      </w:r>
      <w:r>
        <w:rPr>
          <w:noProof/>
        </w:rPr>
        <w:fldChar w:fldCharType="separate"/>
      </w:r>
      <w:r>
        <w:rPr>
          <w:noProof/>
        </w:rPr>
        <w:t>17</w:t>
      </w:r>
      <w:r>
        <w:rPr>
          <w:noProof/>
        </w:rPr>
        <w:fldChar w:fldCharType="end"/>
      </w:r>
    </w:p>
    <w:p w14:paraId="47AF2266"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_Toc224973752 \h </w:instrText>
      </w:r>
      <w:r>
        <w:rPr>
          <w:noProof/>
        </w:rPr>
      </w:r>
      <w:r>
        <w:rPr>
          <w:noProof/>
        </w:rPr>
        <w:fldChar w:fldCharType="separate"/>
      </w:r>
      <w:r>
        <w:rPr>
          <w:noProof/>
        </w:rPr>
        <w:t>17</w:t>
      </w:r>
      <w:r>
        <w:rPr>
          <w:noProof/>
        </w:rPr>
        <w:fldChar w:fldCharType="end"/>
      </w:r>
    </w:p>
    <w:p w14:paraId="24C77D0C"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_Toc224973753 \h </w:instrText>
      </w:r>
      <w:r>
        <w:rPr>
          <w:noProof/>
        </w:rPr>
      </w:r>
      <w:r>
        <w:rPr>
          <w:noProof/>
        </w:rPr>
        <w:fldChar w:fldCharType="separate"/>
      </w:r>
      <w:r>
        <w:rPr>
          <w:noProof/>
        </w:rPr>
        <w:t>17</w:t>
      </w:r>
      <w:r>
        <w:rPr>
          <w:noProof/>
        </w:rPr>
        <w:fldChar w:fldCharType="end"/>
      </w:r>
    </w:p>
    <w:p w14:paraId="1414EE9C"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_Toc224973754 \h </w:instrText>
      </w:r>
      <w:r>
        <w:rPr>
          <w:noProof/>
        </w:rPr>
      </w:r>
      <w:r>
        <w:rPr>
          <w:noProof/>
        </w:rPr>
        <w:fldChar w:fldCharType="separate"/>
      </w:r>
      <w:r>
        <w:rPr>
          <w:noProof/>
        </w:rPr>
        <w:t>17</w:t>
      </w:r>
      <w:r>
        <w:rPr>
          <w:noProof/>
        </w:rPr>
        <w:fldChar w:fldCharType="end"/>
      </w:r>
    </w:p>
    <w:p w14:paraId="02128176"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_Toc224973755 \h </w:instrText>
      </w:r>
      <w:r>
        <w:rPr>
          <w:noProof/>
        </w:rPr>
      </w:r>
      <w:r>
        <w:rPr>
          <w:noProof/>
        </w:rPr>
        <w:fldChar w:fldCharType="separate"/>
      </w:r>
      <w:r>
        <w:rPr>
          <w:noProof/>
        </w:rPr>
        <w:t>18</w:t>
      </w:r>
      <w:r>
        <w:rPr>
          <w:noProof/>
        </w:rPr>
        <w:fldChar w:fldCharType="end"/>
      </w:r>
    </w:p>
    <w:p w14:paraId="1AFD347B" w14:textId="77777777" w:rsidR="00E323C4" w:rsidRDefault="00E323C4">
      <w:pPr>
        <w:pStyle w:val="TOC1"/>
        <w:tabs>
          <w:tab w:val="left" w:pos="1289"/>
          <w:tab w:val="right" w:leader="dot" w:pos="9159"/>
        </w:tabs>
        <w:rPr>
          <w:rFonts w:asciiTheme="minorHAnsi" w:eastAsiaTheme="minorEastAsia" w:hAnsiTheme="minorHAnsi"/>
          <w:noProof/>
          <w:lang w:val="en-US" w:eastAsia="ja-JP"/>
        </w:rPr>
      </w:pPr>
      <w:r w:rsidRPr="002371F5">
        <w:rPr>
          <w:noProof/>
          <w:spacing w:val="1"/>
        </w:rPr>
        <w:t>4.</w:t>
      </w:r>
      <w:r>
        <w:rPr>
          <w:rFonts w:asciiTheme="minorHAnsi" w:eastAsiaTheme="minorEastAsia" w:hAnsiTheme="minorHAnsi"/>
          <w:noProof/>
          <w:lang w:val="en-US" w:eastAsia="ja-JP"/>
        </w:rPr>
        <w:tab/>
      </w:r>
      <w:r w:rsidRPr="002371F5">
        <w:rPr>
          <w:noProof/>
          <w:spacing w:val="1"/>
        </w:rPr>
        <w:t>Gemensamma informationskomponenter</w:t>
      </w:r>
      <w:r>
        <w:rPr>
          <w:noProof/>
        </w:rPr>
        <w:tab/>
      </w:r>
      <w:r>
        <w:rPr>
          <w:noProof/>
        </w:rPr>
        <w:fldChar w:fldCharType="begin"/>
      </w:r>
      <w:r>
        <w:rPr>
          <w:noProof/>
        </w:rPr>
        <w:instrText xml:space="preserve"> PAGEREF _Toc224973756 \h </w:instrText>
      </w:r>
      <w:r>
        <w:rPr>
          <w:noProof/>
        </w:rPr>
      </w:r>
      <w:r>
        <w:rPr>
          <w:noProof/>
        </w:rPr>
        <w:fldChar w:fldCharType="separate"/>
      </w:r>
      <w:r>
        <w:rPr>
          <w:noProof/>
        </w:rPr>
        <w:t>18</w:t>
      </w:r>
      <w:r>
        <w:rPr>
          <w:noProof/>
        </w:rPr>
        <w:fldChar w:fldCharType="end"/>
      </w:r>
    </w:p>
    <w:p w14:paraId="7ED31764" w14:textId="77777777" w:rsidR="00E323C4" w:rsidRDefault="00E323C4">
      <w:pPr>
        <w:pStyle w:val="TOC1"/>
        <w:tabs>
          <w:tab w:val="left" w:pos="128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2371F5">
        <w:rPr>
          <w:noProof/>
          <w:spacing w:val="1"/>
        </w:rPr>
        <w:t>GetCareContact</w:t>
      </w:r>
      <w:r>
        <w:rPr>
          <w:noProof/>
        </w:rPr>
        <w:tab/>
      </w:r>
      <w:r>
        <w:rPr>
          <w:noProof/>
        </w:rPr>
        <w:fldChar w:fldCharType="begin"/>
      </w:r>
      <w:r>
        <w:rPr>
          <w:noProof/>
        </w:rPr>
        <w:instrText xml:space="preserve"> PAGEREF _Toc224973757 \h </w:instrText>
      </w:r>
      <w:r>
        <w:rPr>
          <w:noProof/>
        </w:rPr>
      </w:r>
      <w:r>
        <w:rPr>
          <w:noProof/>
        </w:rPr>
        <w:fldChar w:fldCharType="separate"/>
      </w:r>
      <w:r>
        <w:rPr>
          <w:noProof/>
        </w:rPr>
        <w:t>22</w:t>
      </w:r>
      <w:r>
        <w:rPr>
          <w:noProof/>
        </w:rPr>
        <w:fldChar w:fldCharType="end"/>
      </w:r>
    </w:p>
    <w:p w14:paraId="03355DD4"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_Toc224973758 \h </w:instrText>
      </w:r>
      <w:r>
        <w:rPr>
          <w:noProof/>
        </w:rPr>
      </w:r>
      <w:r>
        <w:rPr>
          <w:noProof/>
        </w:rPr>
        <w:fldChar w:fldCharType="separate"/>
      </w:r>
      <w:r>
        <w:rPr>
          <w:noProof/>
        </w:rPr>
        <w:t>22</w:t>
      </w:r>
      <w:r>
        <w:rPr>
          <w:noProof/>
        </w:rPr>
        <w:fldChar w:fldCharType="end"/>
      </w:r>
    </w:p>
    <w:p w14:paraId="315D434A"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_Toc224973759 \h </w:instrText>
      </w:r>
      <w:r>
        <w:rPr>
          <w:noProof/>
        </w:rPr>
      </w:r>
      <w:r>
        <w:rPr>
          <w:noProof/>
        </w:rPr>
        <w:fldChar w:fldCharType="separate"/>
      </w:r>
      <w:r>
        <w:rPr>
          <w:noProof/>
        </w:rPr>
        <w:t>22</w:t>
      </w:r>
      <w:r>
        <w:rPr>
          <w:noProof/>
        </w:rPr>
        <w:fldChar w:fldCharType="end"/>
      </w:r>
    </w:p>
    <w:p w14:paraId="61EB4D58"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_Toc224973760 \h </w:instrText>
      </w:r>
      <w:r>
        <w:rPr>
          <w:noProof/>
        </w:rPr>
      </w:r>
      <w:r>
        <w:rPr>
          <w:noProof/>
        </w:rPr>
        <w:fldChar w:fldCharType="separate"/>
      </w:r>
      <w:r>
        <w:rPr>
          <w:noProof/>
        </w:rPr>
        <w:t>22</w:t>
      </w:r>
      <w:r>
        <w:rPr>
          <w:noProof/>
        </w:rPr>
        <w:fldChar w:fldCharType="end"/>
      </w:r>
    </w:p>
    <w:p w14:paraId="1B03032F"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_Toc224973761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0" w:name="_Toc341787023"/>
      <w:bookmarkStart w:id="1" w:name="_Toc224973733"/>
      <w:r w:rsidRPr="00BC5B0B">
        <w:t>Inledning</w:t>
      </w:r>
      <w:bookmarkEnd w:id="0"/>
      <w:bookmarkEnd w:id="1"/>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4F7BC6C"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Footer"/>
                              <w:rPr>
                                <w:b/>
                                <w:i/>
                              </w:rPr>
                            </w:pPr>
                            <w:r w:rsidRPr="00FE3AAD">
                              <w:rPr>
                                <w:b/>
                                <w:i/>
                              </w:rPr>
                              <w:t>I arbetet har följande personer deltagit:</w:t>
                            </w:r>
                          </w:p>
                          <w:p w14:paraId="4EF9015E" w14:textId="77777777" w:rsidR="0074309D" w:rsidRDefault="0074309D" w:rsidP="00D218F3">
                            <w:pPr>
                              <w:pStyle w:val="Footer"/>
                              <w:rPr>
                                <w:b/>
                                <w:i/>
                              </w:rPr>
                            </w:pPr>
                          </w:p>
                          <w:p w14:paraId="491D3AD6" w14:textId="4B98BDB5" w:rsidR="0074309D" w:rsidRDefault="0074309D" w:rsidP="00D218F3">
                            <w:pPr>
                              <w:pStyle w:val="Footer"/>
                              <w:rPr>
                                <w:b/>
                                <w:i/>
                              </w:rPr>
                            </w:pPr>
                            <w:r>
                              <w:rPr>
                                <w:b/>
                                <w:i/>
                              </w:rPr>
                              <w:t>Projektgrupp:</w:t>
                            </w:r>
                          </w:p>
                          <w:p w14:paraId="1F66F383" w14:textId="77777777" w:rsidR="0074309D" w:rsidRDefault="0074309D" w:rsidP="00D218F3">
                            <w:pPr>
                              <w:pStyle w:val="Footer"/>
                              <w:rPr>
                                <w:b/>
                                <w:i/>
                              </w:rPr>
                            </w:pPr>
                          </w:p>
                          <w:p w14:paraId="2BD74928" w14:textId="0EB8B332" w:rsidR="0074309D" w:rsidRDefault="0074309D" w:rsidP="00D218F3">
                            <w:pPr>
                              <w:pStyle w:val="Footer"/>
                              <w:rPr>
                                <w:b/>
                                <w:i/>
                              </w:rPr>
                            </w:pPr>
                            <w:r>
                              <w:rPr>
                                <w:b/>
                                <w:i/>
                              </w:rPr>
                              <w:t xml:space="preserve">Maria Andersson, </w:t>
                            </w:r>
                            <w:proofErr w:type="spellStart"/>
                            <w:r>
                              <w:rPr>
                                <w:b/>
                                <w:i/>
                              </w:rPr>
                              <w:t>Mawell</w:t>
                            </w:r>
                            <w:proofErr w:type="spellEnd"/>
                          </w:p>
                          <w:p w14:paraId="5F7BB64C" w14:textId="280D6E08" w:rsidR="0074309D" w:rsidRDefault="0074309D" w:rsidP="00D218F3">
                            <w:pPr>
                              <w:pStyle w:val="Footer"/>
                              <w:rPr>
                                <w:b/>
                                <w:i/>
                              </w:rPr>
                            </w:pPr>
                            <w:r>
                              <w:rPr>
                                <w:b/>
                                <w:i/>
                              </w:rPr>
                              <w:t>Marco De Luca, Callista</w:t>
                            </w:r>
                          </w:p>
                          <w:p w14:paraId="0166F93D" w14:textId="6674564D" w:rsidR="0074309D" w:rsidRDefault="0074309D" w:rsidP="00D218F3">
                            <w:pPr>
                              <w:pStyle w:val="Footer"/>
                              <w:rPr>
                                <w:b/>
                                <w:i/>
                              </w:rPr>
                            </w:pPr>
                            <w:r>
                              <w:rPr>
                                <w:b/>
                                <w:i/>
                              </w:rPr>
                              <w:t>Magnus Ekstrand, Callista</w:t>
                            </w:r>
                          </w:p>
                          <w:p w14:paraId="181FAA35" w14:textId="11D17738" w:rsidR="0074309D" w:rsidRDefault="0074309D" w:rsidP="00D218F3">
                            <w:pPr>
                              <w:pStyle w:val="Footer"/>
                              <w:rPr>
                                <w:b/>
                                <w:i/>
                              </w:rPr>
                            </w:pPr>
                            <w:r>
                              <w:rPr>
                                <w:b/>
                                <w:i/>
                              </w:rPr>
                              <w:t xml:space="preserve">Johan </w:t>
                            </w:r>
                            <w:proofErr w:type="spellStart"/>
                            <w:r>
                              <w:rPr>
                                <w:b/>
                                <w:i/>
                              </w:rPr>
                              <w:t>Eltes</w:t>
                            </w:r>
                            <w:proofErr w:type="spellEnd"/>
                            <w:r>
                              <w:rPr>
                                <w:b/>
                                <w:i/>
                              </w:rPr>
                              <w:t>, Callista</w:t>
                            </w:r>
                          </w:p>
                          <w:p w14:paraId="23F76671" w14:textId="6521BA91" w:rsidR="0074309D" w:rsidRDefault="0074309D" w:rsidP="00D218F3">
                            <w:pPr>
                              <w:pStyle w:val="Footer"/>
                              <w:rPr>
                                <w:b/>
                                <w:i/>
                              </w:rPr>
                            </w:pPr>
                            <w:r>
                              <w:rPr>
                                <w:b/>
                                <w:i/>
                              </w:rPr>
                              <w:t xml:space="preserve">Lennart Eriksson, </w:t>
                            </w:r>
                            <w:proofErr w:type="spellStart"/>
                            <w:r>
                              <w:rPr>
                                <w:b/>
                                <w:i/>
                              </w:rPr>
                              <w:t>CeHis</w:t>
                            </w:r>
                            <w:proofErr w:type="spellEnd"/>
                          </w:p>
                          <w:p w14:paraId="5EBF459A" w14:textId="6ADE153E" w:rsidR="0074309D" w:rsidRDefault="0074309D"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Footer"/>
                              <w:rPr>
                                <w:b/>
                                <w:i/>
                              </w:rPr>
                            </w:pPr>
                            <w:r>
                              <w:rPr>
                                <w:b/>
                                <w:i/>
                              </w:rPr>
                              <w:t xml:space="preserve">Fredrik Ström, </w:t>
                            </w:r>
                            <w:proofErr w:type="spellStart"/>
                            <w:r>
                              <w:rPr>
                                <w:b/>
                                <w:i/>
                              </w:rPr>
                              <w:t>Mawell</w:t>
                            </w:r>
                            <w:proofErr w:type="spellEnd"/>
                          </w:p>
                          <w:p w14:paraId="3DB2AFC8" w14:textId="77777777" w:rsidR="0074309D" w:rsidRDefault="0074309D" w:rsidP="0008258C">
                            <w:pPr>
                              <w:pStyle w:val="Footer"/>
                              <w:rPr>
                                <w:b/>
                                <w:i/>
                              </w:rPr>
                            </w:pPr>
                          </w:p>
                          <w:p w14:paraId="4A431A8E" w14:textId="24B575D0" w:rsidR="0074309D" w:rsidRDefault="0074309D" w:rsidP="0008258C">
                            <w:pPr>
                              <w:pStyle w:val="Footer"/>
                              <w:rPr>
                                <w:b/>
                                <w:i/>
                              </w:rPr>
                            </w:pPr>
                            <w:r>
                              <w:rPr>
                                <w:b/>
                                <w:i/>
                              </w:rPr>
                              <w:t>Projektledning:</w:t>
                            </w:r>
                          </w:p>
                          <w:p w14:paraId="607582CE" w14:textId="77777777" w:rsidR="0074309D" w:rsidRDefault="0074309D" w:rsidP="0008258C">
                            <w:pPr>
                              <w:pStyle w:val="Footer"/>
                              <w:rPr>
                                <w:b/>
                                <w:i/>
                              </w:rPr>
                            </w:pPr>
                          </w:p>
                          <w:p w14:paraId="45227B97" w14:textId="3D299147" w:rsidR="0074309D" w:rsidRDefault="0074309D" w:rsidP="0008258C">
                            <w:pPr>
                              <w:pStyle w:val="Footer"/>
                              <w:rPr>
                                <w:b/>
                                <w:i/>
                              </w:rPr>
                            </w:pPr>
                            <w:r>
                              <w:rPr>
                                <w:b/>
                                <w:i/>
                              </w:rPr>
                              <w:t xml:space="preserve">Johan </w:t>
                            </w:r>
                            <w:proofErr w:type="spellStart"/>
                            <w:r>
                              <w:rPr>
                                <w:b/>
                                <w:i/>
                              </w:rPr>
                              <w:t>Eltes</w:t>
                            </w:r>
                            <w:proofErr w:type="spellEnd"/>
                            <w:r>
                              <w:rPr>
                                <w:b/>
                                <w:i/>
                              </w:rPr>
                              <w:t>, Callista</w:t>
                            </w:r>
                          </w:p>
                          <w:p w14:paraId="56EC2BB7" w14:textId="77777777" w:rsidR="0074309D" w:rsidRDefault="0074309D" w:rsidP="0008258C">
                            <w:pPr>
                              <w:pStyle w:val="Footer"/>
                              <w:rPr>
                                <w:b/>
                                <w:i/>
                              </w:rPr>
                            </w:pPr>
                          </w:p>
                          <w:p w14:paraId="2744DEAE" w14:textId="0E1FADFC" w:rsidR="0074309D" w:rsidRDefault="0074309D" w:rsidP="0008258C">
                            <w:pPr>
                              <w:pStyle w:val="Footer"/>
                              <w:rPr>
                                <w:b/>
                                <w:i/>
                              </w:rPr>
                            </w:pPr>
                            <w:r>
                              <w:rPr>
                                <w:b/>
                                <w:i/>
                              </w:rPr>
                              <w:t>Beställare:</w:t>
                            </w:r>
                          </w:p>
                          <w:p w14:paraId="1727F54D" w14:textId="77777777" w:rsidR="0074309D" w:rsidRDefault="0074309D" w:rsidP="0008258C">
                            <w:pPr>
                              <w:pStyle w:val="Footer"/>
                              <w:rPr>
                                <w:b/>
                                <w:i/>
                              </w:rPr>
                            </w:pPr>
                          </w:p>
                          <w:p w14:paraId="181F918E" w14:textId="7EDAA33E" w:rsidR="0074309D" w:rsidRDefault="0074309D"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2"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rPr>
          <w:b w:val="0"/>
          <w:bCs w:val="0"/>
        </w:rPr>
      </w:pPr>
      <w:bookmarkStart w:id="3" w:name="_Toc219337763"/>
      <w:bookmarkStart w:id="4" w:name="_Toc224973734"/>
      <w:bookmarkEnd w:id="2"/>
      <w:r w:rsidRPr="00BC5B0B">
        <w:t>Tjänstedomänens arkitektur</w:t>
      </w:r>
      <w:bookmarkEnd w:id="3"/>
      <w:bookmarkEnd w:id="4"/>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5" w:name="_Toc219337764"/>
      <w:bookmarkStart w:id="6" w:name="_Toc224973735"/>
      <w:r w:rsidRPr="00BC5B0B">
        <w:t>Övergripande</w:t>
      </w:r>
      <w:bookmarkEnd w:id="5"/>
      <w:bookmarkEnd w:id="6"/>
    </w:p>
    <w:p w14:paraId="087F4FDB" w14:textId="38FC0A09"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 xml:space="preserve">Tjänstedomänen förutsätter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502299">
      <w:pPr>
        <w:pStyle w:val="Rubrik2b"/>
      </w:pPr>
      <w:bookmarkStart w:id="7" w:name="_Toc219337765"/>
      <w:bookmarkStart w:id="8" w:name="_Toc224973736"/>
      <w:r>
        <w:t>Nationell användning</w:t>
      </w:r>
      <w:bookmarkEnd w:id="7"/>
      <w:bookmarkEnd w:id="8"/>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3359E1">
      <w:pPr>
        <w:pStyle w:val="BodyText"/>
        <w:numPr>
          <w:ilvl w:val="0"/>
          <w:numId w:val="4"/>
        </w:numPr>
        <w:ind w:right="119"/>
      </w:pPr>
      <w:r>
        <w:t xml:space="preserve">vårdsystemen uppdaterar nationellt </w:t>
      </w:r>
      <w:proofErr w:type="spellStart"/>
      <w:r>
        <w:t>engagemangsindex</w:t>
      </w:r>
      <w:proofErr w:type="spellEnd"/>
      <w:r>
        <w:t xml:space="preserve"> – direkt eller indirekt via regionalt index. </w:t>
      </w:r>
      <w:proofErr w:type="spellStart"/>
      <w:r w:rsidR="00DF2847">
        <w:t>PDL</w:t>
      </w:r>
      <w:proofErr w:type="spellEnd"/>
      <w:r w:rsidR="00DF2847">
        <w:t xml:space="preserve">-enhet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3359E1">
      <w:pPr>
        <w:pStyle w:val="Body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3359E1">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3359E1">
      <w:pPr>
        <w:pStyle w:val="Rubrik2b"/>
      </w:pPr>
      <w:bookmarkStart w:id="9" w:name="_Toc219337766"/>
      <w:bookmarkStart w:id="10" w:name="_Toc224973737"/>
      <w:r w:rsidRPr="003359E1">
        <w:t>Regional</w:t>
      </w:r>
      <w:r>
        <w:t xml:space="preserve"> användning</w:t>
      </w:r>
      <w:bookmarkEnd w:id="9"/>
      <w:bookmarkEnd w:id="10"/>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1B6BE6">
      <w:pPr>
        <w:pStyle w:val="Rubrik2b"/>
      </w:pPr>
      <w:bookmarkStart w:id="11" w:name="_Toc219337767"/>
      <w:bookmarkStart w:id="12" w:name="_Toc224973738"/>
      <w:r w:rsidRPr="00BC5B0B">
        <w:t>Adresseringsmodell</w:t>
      </w:r>
      <w:bookmarkEnd w:id="11"/>
      <w:bookmarkEnd w:id="12"/>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proofErr w:type="spellStart"/>
      <w:r>
        <w:t>engagemangsindex</w:t>
      </w:r>
      <w:proofErr w:type="spellEnd"/>
      <w:r>
        <w:t xml:space="preserve">-posterna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3" w:name="_Toc219337768"/>
      <w:bookmarkStart w:id="14" w:name="_Toc224973739"/>
      <w:r w:rsidRPr="00194355">
        <w:t>Adressering vid nationell användning</w:t>
      </w:r>
      <w:bookmarkEnd w:id="13"/>
      <w:bookmarkEnd w:id="14"/>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5" w:name="_Toc219337769"/>
      <w:bookmarkStart w:id="16" w:name="_Toc224973740"/>
      <w:r w:rsidRPr="00194355">
        <w:t xml:space="preserve">Adressering vid </w:t>
      </w:r>
      <w:r>
        <w:t>regional</w:t>
      </w:r>
      <w:r w:rsidRPr="00194355">
        <w:t xml:space="preserve"> användning</w:t>
      </w:r>
      <w:bookmarkEnd w:id="15"/>
      <w:bookmarkEnd w:id="16"/>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1B6BE6">
      <w:pPr>
        <w:pStyle w:val="Rubrik2b"/>
      </w:pPr>
      <w:bookmarkStart w:id="17" w:name="_Toc224973741"/>
      <w:r w:rsidRPr="0099425C">
        <w:t>Aggregerande tjänst</w:t>
      </w:r>
      <w:r w:rsidR="00317F3D">
        <w:t>er</w:t>
      </w:r>
      <w:bookmarkEnd w:id="17"/>
    </w:p>
    <w:p w14:paraId="29093D29" w14:textId="2E7F58E0" w:rsidR="0099425C" w:rsidRDefault="0099425C" w:rsidP="0099425C">
      <w:pPr>
        <w:pStyle w:val="Body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w:t>
      </w:r>
      <w:proofErr w:type="spellStart"/>
      <w:r w:rsidRPr="0099425C">
        <w:t>PDL</w:t>
      </w:r>
      <w:proofErr w:type="spellEnd"/>
      <w:r w:rsidRPr="0099425C">
        <w:t>-enhetsnivå</w:t>
      </w:r>
      <w:r w:rsidR="006D02F6">
        <w:t xml:space="preserve"> </w:t>
      </w:r>
      <w:r w:rsidR="006D02F6">
        <w:lastRenderedPageBreak/>
        <w:t>(</w:t>
      </w:r>
      <w:proofErr w:type="spellStart"/>
      <w:r w:rsidR="006D02F6">
        <w:t>logicalAddress</w:t>
      </w:r>
      <w:proofErr w:type="spellEnd"/>
      <w:r w:rsidR="006D02F6">
        <w:t>)</w:t>
      </w:r>
      <w:r w:rsidRPr="0099425C">
        <w:t>.</w:t>
      </w:r>
      <w:r>
        <w:t xml:space="preserve"> </w:t>
      </w:r>
      <w:r w:rsidR="00361359">
        <w:t xml:space="preserve">En aggregerande tjänst behöver gruppera posterna från </w:t>
      </w:r>
      <w:proofErr w:type="spellStart"/>
      <w:r w:rsidR="00361359">
        <w:t>engagemangsindex</w:t>
      </w:r>
      <w:proofErr w:type="spellEnd"/>
      <w:r w:rsidR="00361359">
        <w:t xml:space="preserve"> efter </w:t>
      </w:r>
      <w:proofErr w:type="spellStart"/>
      <w:r w:rsidR="00361359">
        <w:t>sourceSystem</w:t>
      </w:r>
      <w:proofErr w:type="spellEnd"/>
      <w:r w:rsidR="00361359">
        <w:t xml:space="preserve"> och sedan göra ett anrop per system där </w:t>
      </w:r>
      <w:proofErr w:type="spellStart"/>
      <w:r w:rsidR="00361359">
        <w:t>PDL</w:t>
      </w:r>
      <w:proofErr w:type="spellEnd"/>
      <w:r w:rsidR="00361359">
        <w:t xml:space="preserve">-enheterna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odyText"/>
      </w:pPr>
    </w:p>
    <w:p w14:paraId="23149A4D" w14:textId="5F20200F" w:rsidR="007256D5" w:rsidRDefault="007256D5" w:rsidP="0099425C">
      <w:pPr>
        <w:pStyle w:val="Body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odyText"/>
        <w:ind w:left="0"/>
      </w:pPr>
    </w:p>
    <w:p w14:paraId="7B7A5479" w14:textId="77777777" w:rsidR="00852BED" w:rsidRPr="00BC5B0B" w:rsidRDefault="00852BED" w:rsidP="00852BED">
      <w:pPr>
        <w:pStyle w:val="BodyText"/>
        <w:ind w:right="119"/>
      </w:pPr>
    </w:p>
    <w:p w14:paraId="1F07AF14" w14:textId="77777777" w:rsidR="00852BED" w:rsidRDefault="00852BED" w:rsidP="001B6BE6">
      <w:pPr>
        <w:pStyle w:val="Rubrik2b"/>
      </w:pPr>
      <w:bookmarkStart w:id="18" w:name="_Toc219337770"/>
      <w:bookmarkStart w:id="19" w:name="_Toc224973742"/>
      <w:r w:rsidRPr="00BC5B0B">
        <w:t>Informationssäkerhet</w:t>
      </w:r>
      <w:bookmarkEnd w:id="18"/>
      <w:bookmarkEnd w:id="19"/>
    </w:p>
    <w:p w14:paraId="04D45555" w14:textId="77777777" w:rsidR="00852BED" w:rsidRDefault="00852BED" w:rsidP="00852BED">
      <w:pPr>
        <w:pStyle w:val="Rubrik3b"/>
        <w:numPr>
          <w:ilvl w:val="2"/>
          <w:numId w:val="1"/>
        </w:numPr>
      </w:pPr>
      <w:bookmarkStart w:id="20" w:name="_Toc219337771"/>
      <w:bookmarkStart w:id="21" w:name="_Toc224973743"/>
      <w:r>
        <w:t>Medarbetarens direktåtkomst</w:t>
      </w:r>
      <w:bookmarkEnd w:id="20"/>
      <w:bookmarkEnd w:id="21"/>
    </w:p>
    <w:p w14:paraId="60DA40CB" w14:textId="0913A23B"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w:t>
      </w:r>
      <w:proofErr w:type="spellStart"/>
      <w:r>
        <w:t>PDL</w:t>
      </w:r>
      <w:proofErr w:type="spellEnd"/>
      <w:r>
        <w:t xml:space="preserve">-enhet).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2" w:name="_Toc219337772"/>
      <w:bookmarkStart w:id="23" w:name="_Toc224973744"/>
      <w:r>
        <w:t>Patientens direktåtkomst</w:t>
      </w:r>
      <w:bookmarkEnd w:id="22"/>
      <w:bookmarkEnd w:id="23"/>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w:t>
      </w:r>
      <w:proofErr w:type="gramStart"/>
      <w:r>
        <w:t xml:space="preserve">genom </w:t>
      </w:r>
      <w:proofErr w:type="spellStart"/>
      <w:r>
        <w:t>menprövning</w:t>
      </w:r>
      <w:proofErr w:type="spellEnd"/>
      <w:r>
        <w:t xml:space="preserve"> eller 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4" w:name="_Toc219337773"/>
      <w:bookmarkStart w:id="25" w:name="_Toc224973745"/>
      <w:r>
        <w:t>Generellt</w:t>
      </w:r>
      <w:bookmarkEnd w:id="24"/>
      <w:bookmarkEnd w:id="25"/>
    </w:p>
    <w:p w14:paraId="0A9C0800" w14:textId="69385E17"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D6731C">
        <w:t>Kunskapen om tjänsteproducentens identitet (d</w:t>
      </w:r>
      <w:r w:rsidR="009F56ED" w:rsidRPr="00D6731C">
        <w:t>.</w:t>
      </w:r>
      <w:r w:rsidR="00E37E68" w:rsidRPr="00D6731C">
        <w:t>v</w:t>
      </w:r>
      <w:r w:rsidR="009F56ED" w:rsidRPr="00D6731C">
        <w:t>.</w:t>
      </w:r>
      <w:r w:rsidR="00E37E68" w:rsidRPr="00D6731C">
        <w:t>s</w:t>
      </w:r>
      <w:r w:rsidR="009F56ED" w:rsidRPr="00D6731C">
        <w:t>.</w:t>
      </w:r>
      <w:r w:rsidR="00E37E68" w:rsidRPr="00D6731C">
        <w:t xml:space="preserve"> ursprunglig tjänstekonsument i anropskedjan) får bara användas för teknisk åtkomstbegränsning på så sätt att svaret blir som om de </w:t>
      </w:r>
      <w:proofErr w:type="spellStart"/>
      <w:r w:rsidR="00E37E68" w:rsidRPr="00D6731C">
        <w:t>PDL</w:t>
      </w:r>
      <w:proofErr w:type="spellEnd"/>
      <w:r w:rsidR="00E37E68" w:rsidRPr="00D6731C">
        <w:t xml:space="preserve">-enheter </w:t>
      </w:r>
      <w:r w:rsidR="00B81906" w:rsidRPr="00D6731C">
        <w:t>vars verksamhetschef inte godkänner</w:t>
      </w:r>
      <w:r w:rsidR="00E37E68" w:rsidRPr="00D6731C">
        <w:t xml:space="preserve"> aktuell tjänsteproducent varit exkluderade i frågan.</w:t>
      </w:r>
    </w:p>
    <w:p w14:paraId="2DC6265B" w14:textId="77777777" w:rsidR="00E37E68" w:rsidRDefault="00E37E68" w:rsidP="00852BED">
      <w:pPr>
        <w:pStyle w:val="BodyText"/>
        <w:ind w:right="119"/>
      </w:pPr>
    </w:p>
    <w:p w14:paraId="1EEBA6DE" w14:textId="77777777" w:rsidR="00852BED" w:rsidRPr="00BC5B0B" w:rsidRDefault="00852BED" w:rsidP="00852BED">
      <w:pPr>
        <w:pStyle w:val="BodyText"/>
        <w:ind w:right="119"/>
      </w:pPr>
    </w:p>
    <w:p w14:paraId="516D5555" w14:textId="0C5E82EE" w:rsidR="00852BED" w:rsidRDefault="00852BED" w:rsidP="004A3D38">
      <w:pPr>
        <w:pStyle w:val="Rubrik2b"/>
      </w:pPr>
      <w:bookmarkStart w:id="26" w:name="_Toc219337774"/>
      <w:bookmarkStart w:id="27" w:name="_Toc224973746"/>
      <w:r w:rsidRPr="00BC5B0B">
        <w:t>Tjänstekontraktens desi</w:t>
      </w:r>
      <w:bookmarkEnd w:id="26"/>
      <w:r w:rsidR="00344606">
        <w:t>gn</w:t>
      </w:r>
      <w:bookmarkEnd w:id="27"/>
    </w:p>
    <w:p w14:paraId="73E3FC9A" w14:textId="77777777" w:rsidR="00344606" w:rsidRPr="000A0525" w:rsidRDefault="00344606" w:rsidP="000A0525">
      <w:pPr>
        <w:pStyle w:val="BodyText"/>
        <w:ind w:right="119"/>
      </w:pPr>
    </w:p>
    <w:p w14:paraId="6A6F910B" w14:textId="7EE184D1" w:rsidR="00852BED" w:rsidRPr="000A0525" w:rsidRDefault="00344606" w:rsidP="00AD19A4">
      <w:pPr>
        <w:pStyle w:val="Body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odyText"/>
        <w:ind w:right="119"/>
      </w:pPr>
    </w:p>
    <w:p w14:paraId="18423C4F" w14:textId="40106B28" w:rsidR="003847E6" w:rsidRPr="002B1F3C" w:rsidRDefault="00AD19A4" w:rsidP="003847E6">
      <w:pPr>
        <w:pStyle w:val="BodyText"/>
        <w:ind w:right="119"/>
        <w:rPr>
          <w:highlight w:val="yellow"/>
        </w:rPr>
      </w:pPr>
      <w:r w:rsidRPr="002B1F3C">
        <w:rPr>
          <w:highlight w:val="yellow"/>
        </w:rPr>
        <w:lastRenderedPageBreak/>
        <w:t xml:space="preserve">Tjänsterna har en gemensam </w:t>
      </w:r>
      <w:proofErr w:type="spellStart"/>
      <w:r w:rsidRPr="002B1F3C">
        <w:rPr>
          <w:highlight w:val="yellow"/>
        </w:rPr>
        <w:t>basup</w:t>
      </w:r>
      <w:r w:rsidR="00B85D5C" w:rsidRPr="002B1F3C">
        <w:rPr>
          <w:highlight w:val="yellow"/>
        </w:rPr>
        <w:t>psättning</w:t>
      </w:r>
      <w:proofErr w:type="spellEnd"/>
      <w:r w:rsidR="00B85D5C" w:rsidRPr="002B1F3C">
        <w:rPr>
          <w:highlight w:val="yellow"/>
        </w:rPr>
        <w:t xml:space="preserve"> </w:t>
      </w:r>
      <w:proofErr w:type="spellStart"/>
      <w:r w:rsidR="00B85D5C" w:rsidRPr="002B1F3C">
        <w:rPr>
          <w:highlight w:val="yellow"/>
        </w:rPr>
        <w:t>sökparametrar</w:t>
      </w:r>
      <w:proofErr w:type="spellEnd"/>
      <w:r w:rsidR="00B85D5C" w:rsidRPr="002B1F3C">
        <w:rPr>
          <w:highlight w:val="yellow"/>
        </w:rPr>
        <w:t xml:space="preserve"> som i vissa fall utökats specifikt per tjänst.</w:t>
      </w:r>
    </w:p>
    <w:p w14:paraId="6748E31F" w14:textId="77777777" w:rsidR="00F26CBA" w:rsidRPr="002B1F3C" w:rsidRDefault="00F26CBA" w:rsidP="003847E6">
      <w:pPr>
        <w:pStyle w:val="BodyText"/>
        <w:ind w:right="119"/>
        <w:rPr>
          <w:highlight w:val="yellow"/>
        </w:rPr>
      </w:pPr>
    </w:p>
    <w:p w14:paraId="723DFBCB" w14:textId="06146060" w:rsidR="00F26CBA" w:rsidRPr="00AD19A4" w:rsidRDefault="00F26CBA" w:rsidP="003847E6">
      <w:pPr>
        <w:pStyle w:val="BodyText"/>
        <w:ind w:right="119"/>
      </w:pPr>
      <w:r w:rsidRPr="002B1F3C">
        <w:rPr>
          <w:highlight w:val="yellow"/>
        </w:rPr>
        <w:t xml:space="preserve">Tjänstekontrakten stödjer inte HL7 CDA, men de distribueras tillsammans med </w:t>
      </w:r>
      <w:proofErr w:type="spellStart"/>
      <w:r w:rsidRPr="002B1F3C">
        <w:rPr>
          <w:highlight w:val="yellow"/>
        </w:rPr>
        <w:t>XSLT-transfomationsfiler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rPr>
          <w:b w:val="0"/>
          <w:bCs w:val="0"/>
        </w:rPr>
      </w:pPr>
      <w:bookmarkStart w:id="28" w:name="_Toc219337775"/>
      <w:bookmarkStart w:id="29" w:name="_Toc22497374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8"/>
      <w:bookmarkEnd w:id="29"/>
    </w:p>
    <w:p w14:paraId="274C36BB" w14:textId="77777777" w:rsidR="00852BED" w:rsidRDefault="00852BED" w:rsidP="00D934EA">
      <w:pPr>
        <w:pStyle w:val="Rubrik2b"/>
      </w:pPr>
      <w:bookmarkStart w:id="30" w:name="_Toc219337776"/>
      <w:bookmarkStart w:id="31" w:name="_Toc224973748"/>
      <w:r>
        <w:t xml:space="preserve">Uppdatering av </w:t>
      </w:r>
      <w:proofErr w:type="spellStart"/>
      <w:r>
        <w:t>engagemangsindex</w:t>
      </w:r>
      <w:bookmarkEnd w:id="30"/>
      <w:bookmarkEnd w:id="31"/>
      <w:proofErr w:type="spellEnd"/>
    </w:p>
    <w:p w14:paraId="31DC6EA3" w14:textId="77777777" w:rsidR="00852BED" w:rsidRDefault="00852BED" w:rsidP="00852BED">
      <w:pPr>
        <w:pStyle w:val="BodyText"/>
      </w:pPr>
      <w:r>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w:t>
      </w:r>
      <w:r w:rsidR="005516F8">
        <w:t xml:space="preserve">tjänsteproducent för </w:t>
      </w:r>
      <w:r>
        <w:t xml:space="preserve">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ody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7D53A628" w:rsidR="00852BED" w:rsidRPr="006328BC" w:rsidRDefault="00F57973" w:rsidP="005B3644">
            <w:pPr>
              <w:pStyle w:val="Body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32"/>
            <w:proofErr w:type="spellStart"/>
            <w:r>
              <w:t>Logical</w:t>
            </w:r>
            <w:proofErr w:type="spellEnd"/>
            <w:r>
              <w:t xml:space="preserve"> </w:t>
            </w:r>
            <w:proofErr w:type="spellStart"/>
            <w:r>
              <w:t>address</w:t>
            </w:r>
            <w:proofErr w:type="spellEnd"/>
            <w:r>
              <w:t>*</w:t>
            </w:r>
            <w:commentRangeEnd w:id="32"/>
            <w:r>
              <w:rPr>
                <w:rStyle w:val="CommentReference"/>
                <w:i/>
                <w:lang w:val="en-GB"/>
              </w:rPr>
              <w:commentReference w:id="32"/>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proofErr w:type="spellStart"/>
            <w:r w:rsidRPr="00025210">
              <w:t>PDL</w:t>
            </w:r>
            <w:proofErr w:type="spellEnd"/>
            <w:r w:rsidRPr="00025210">
              <w:t>-enhet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ody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ody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791F025F" w14:textId="77777777" w:rsidR="0030515C" w:rsidRDefault="0030515C" w:rsidP="0030515C">
      <w:pPr>
        <w:pStyle w:val="Body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0515C" w:rsidRPr="00BC5B0B" w14:paraId="0DD3D3A4" w14:textId="77777777" w:rsidTr="00F17EF2">
        <w:tc>
          <w:tcPr>
            <w:tcW w:w="3156" w:type="dxa"/>
          </w:tcPr>
          <w:p w14:paraId="7940ADD0" w14:textId="77777777" w:rsidR="0030515C" w:rsidRPr="00BC5B0B" w:rsidRDefault="0030515C" w:rsidP="00F17EF2">
            <w:pPr>
              <w:rPr>
                <w:b/>
              </w:rPr>
            </w:pPr>
            <w:r>
              <w:rPr>
                <w:b/>
              </w:rPr>
              <w:t>Infomängd enl. Tjänstekontrakt</w:t>
            </w:r>
          </w:p>
        </w:tc>
        <w:tc>
          <w:tcPr>
            <w:tcW w:w="5349"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F17EF2">
        <w:tc>
          <w:tcPr>
            <w:tcW w:w="3156" w:type="dxa"/>
          </w:tcPr>
          <w:p w14:paraId="126B00DD" w14:textId="5AED9A0B" w:rsidR="0030515C" w:rsidRPr="00BC5B0B" w:rsidRDefault="00304CCF" w:rsidP="00F17EF2">
            <w:proofErr w:type="spellStart"/>
            <w:r>
              <w:t>GetCareContacts</w:t>
            </w:r>
            <w:proofErr w:type="spellEnd"/>
          </w:p>
        </w:tc>
        <w:tc>
          <w:tcPr>
            <w:tcW w:w="5349"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33" w:name="_Toc219337778"/>
      <w:bookmarkStart w:id="34" w:name="_Toc224973749"/>
      <w:r w:rsidRPr="00BC5B0B">
        <w:t>SLA-krav</w:t>
      </w:r>
      <w:bookmarkEnd w:id="33"/>
      <w:bookmarkEnd w:id="34"/>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w:t>
            </w:r>
            <w:r>
              <w:lastRenderedPageBreak/>
              <w:t xml:space="preserve">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lastRenderedPageBreak/>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w:t>
            </w:r>
            <w:proofErr w:type="spellStart"/>
            <w:r>
              <w:t>engagemangsindex</w:t>
            </w:r>
            <w:proofErr w:type="spellEnd"/>
            <w:r>
              <w:t>.</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35" w:name="_Toc224973750"/>
      <w:r>
        <w:t>Gemensamma konsumentregler</w:t>
      </w:r>
      <w:bookmarkEnd w:id="35"/>
    </w:p>
    <w:p w14:paraId="6966D0B6" w14:textId="7E8B427E" w:rsidR="00DE3410" w:rsidRDefault="00976B61" w:rsidP="00976B61">
      <w:pPr>
        <w:pStyle w:val="Body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odyText"/>
        <w:ind w:right="119"/>
      </w:pPr>
      <w:r>
        <w:t xml:space="preserve">R2: </w:t>
      </w:r>
      <w:r w:rsidR="00DE3410">
        <w:t xml:space="preserve">Tillämpa regelverk enl. </w:t>
      </w:r>
      <w:proofErr w:type="spellStart"/>
      <w:r w:rsidR="00DE3410">
        <w:t>PDL</w:t>
      </w:r>
      <w:proofErr w:type="spellEnd"/>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36" w:name="_Toc341787026"/>
      <w:bookmarkStart w:id="37" w:name="_Toc219337779"/>
      <w:bookmarkStart w:id="38" w:name="_Toc224973751"/>
      <w:r w:rsidRPr="00BC5B0B">
        <w:t>Format för Datum</w:t>
      </w:r>
      <w:bookmarkEnd w:id="36"/>
      <w:bookmarkEnd w:id="37"/>
      <w:bookmarkEnd w:id="38"/>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39" w:name="_Toc341787027"/>
      <w:bookmarkStart w:id="40" w:name="_Toc219337780"/>
      <w:bookmarkStart w:id="41" w:name="_Toc224973752"/>
      <w:r w:rsidRPr="00BC5B0B">
        <w:t>Format för tidpunkter</w:t>
      </w:r>
      <w:bookmarkEnd w:id="39"/>
      <w:bookmarkEnd w:id="40"/>
      <w:bookmarkEnd w:id="41"/>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0842C4">
      <w:pPr>
        <w:pStyle w:val="Rubrik2b"/>
      </w:pPr>
      <w:bookmarkStart w:id="42" w:name="_Toc341787028"/>
      <w:bookmarkStart w:id="43" w:name="_Toc219337781"/>
      <w:bookmarkStart w:id="44" w:name="_Toc224973753"/>
      <w:r w:rsidRPr="00BC5B0B">
        <w:t>Tidszon för tidpunkter</w:t>
      </w:r>
      <w:bookmarkEnd w:id="42"/>
      <w:bookmarkEnd w:id="43"/>
      <w:bookmarkEnd w:id="44"/>
    </w:p>
    <w:p w14:paraId="3D3DFA02" w14:textId="77777777" w:rsidR="00852BED" w:rsidRPr="00BC5B0B" w:rsidRDefault="00852BED" w:rsidP="00852BED">
      <w:pPr>
        <w:pStyle w:val="BodyText"/>
        <w:ind w:right="119"/>
      </w:pPr>
    </w:p>
    <w:p w14:paraId="0DACE071" w14:textId="77777777" w:rsidR="00852BED" w:rsidRDefault="00852BED" w:rsidP="00852BED">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odyText"/>
        <w:ind w:right="119"/>
      </w:pPr>
    </w:p>
    <w:p w14:paraId="402990E7" w14:textId="6E565074" w:rsidR="00A9629E" w:rsidRDefault="00A9629E" w:rsidP="000842C4">
      <w:pPr>
        <w:pStyle w:val="Rubrik2b"/>
      </w:pPr>
      <w:bookmarkStart w:id="45" w:name="_Toc224973754"/>
      <w:r>
        <w:t>Personidentifierare</w:t>
      </w:r>
      <w:bookmarkEnd w:id="45"/>
    </w:p>
    <w:p w14:paraId="7C55B5D2" w14:textId="77777777" w:rsidR="00A9629E" w:rsidRDefault="00A9629E" w:rsidP="00A9629E">
      <w:pPr>
        <w:pStyle w:val="BodyText"/>
        <w:ind w:right="119"/>
      </w:pPr>
      <w:r>
        <w:lastRenderedPageBreak/>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odyText"/>
        <w:ind w:left="0" w:right="119"/>
      </w:pPr>
    </w:p>
    <w:p w14:paraId="5AC492ED" w14:textId="77777777" w:rsidR="00852BED" w:rsidRPr="00BC5B0B" w:rsidRDefault="00852BED" w:rsidP="000842C4">
      <w:pPr>
        <w:pStyle w:val="Rubrik2b"/>
      </w:pPr>
      <w:bookmarkStart w:id="46" w:name="_Toc341787029"/>
      <w:bookmarkStart w:id="47" w:name="_Toc219337782"/>
      <w:bookmarkStart w:id="48" w:name="_Toc224973755"/>
      <w:proofErr w:type="spellStart"/>
      <w:r w:rsidRPr="00BC5B0B">
        <w:t>Felhantering</w:t>
      </w:r>
      <w:bookmarkEnd w:id="46"/>
      <w:bookmarkEnd w:id="47"/>
      <w:bookmarkEnd w:id="48"/>
      <w:proofErr w:type="spellEnd"/>
    </w:p>
    <w:p w14:paraId="42457D24" w14:textId="77777777" w:rsidR="00852BED" w:rsidRPr="00BC5B0B" w:rsidRDefault="00852BED" w:rsidP="00852BED">
      <w:pPr>
        <w:pStyle w:val="BodyText"/>
        <w:ind w:right="119"/>
      </w:pPr>
    </w:p>
    <w:p w14:paraId="7EDEAF42" w14:textId="2968C0B1" w:rsidR="00852BED" w:rsidRPr="00BC5B0B" w:rsidRDefault="00852BED" w:rsidP="00852BED">
      <w:pPr>
        <w:pStyle w:val="Body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49" w:name="_Toc224973756"/>
      <w:bookmarkStart w:id="50" w:name="_Toc341787030"/>
      <w:r w:rsidRPr="00907C9B">
        <w:rPr>
          <w:spacing w:val="1"/>
        </w:rPr>
        <w:t>Gemensamma informationskomponenter</w:t>
      </w:r>
      <w:bookmarkEnd w:id="49"/>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proofErr w:type="spellStart"/>
            <w:r>
              <w:rPr>
                <w:b/>
              </w:rPr>
              <w:t>Kardinalitet</w:t>
            </w:r>
            <w:proofErr w:type="spellEnd"/>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0C311D97" w:rsidR="008C68A3" w:rsidRDefault="0074309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74309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 xml:space="preserve">HSA-id för </w:t>
            </w:r>
            <w:proofErr w:type="spellStart"/>
            <w:r w:rsidRPr="0082241A">
              <w:rPr>
                <w:rFonts w:ascii="Times New Roman" w:eastAsia="Times New Roman" w:hAnsi="Times New Roman" w:cs="Times New Roman"/>
                <w:spacing w:val="-1"/>
                <w:sz w:val="20"/>
                <w:szCs w:val="20"/>
              </w:rPr>
              <w:t>PDL</w:t>
            </w:r>
            <w:proofErr w:type="spellEnd"/>
            <w:r w:rsidRPr="0082241A">
              <w:rPr>
                <w:rFonts w:ascii="Times New Roman" w:eastAsia="Times New Roman" w:hAnsi="Times New Roman" w:cs="Times New Roman"/>
                <w:spacing w:val="-1"/>
                <w:sz w:val="20"/>
                <w:szCs w:val="20"/>
              </w:rPr>
              <w:t>-enhet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09B46F1" w:rsidR="0097220C" w:rsidRPr="00BC5B0B" w:rsidRDefault="002E7ACA" w:rsidP="008021A9">
            <w:pPr>
              <w:pStyle w:val="TableParagraph"/>
              <w:spacing w:line="229" w:lineRule="exact"/>
              <w:ind w:left="102"/>
              <w:rPr>
                <w:rFonts w:ascii="Times New Roman" w:eastAsia="Times New Roman" w:hAnsi="Times New Roman" w:cs="Times New Roman"/>
                <w:sz w:val="20"/>
                <w:szCs w:val="20"/>
              </w:rPr>
            </w:pPr>
            <w:proofErr w:type="spellStart"/>
            <w:r w:rsidRPr="00D6731C">
              <w:rPr>
                <w:sz w:val="20"/>
                <w:szCs w:val="20"/>
              </w:rPr>
              <w:t>sourceSystemHSAid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0"/>
    <w:p w14:paraId="027F9A60" w14:textId="77777777" w:rsidR="00527535" w:rsidRPr="00527535" w:rsidRDefault="00907C9B" w:rsidP="0043113E">
      <w:pPr>
        <w:pStyle w:val="Heading1"/>
        <w:numPr>
          <w:ilvl w:val="0"/>
          <w:numId w:val="1"/>
        </w:numPr>
        <w:tabs>
          <w:tab w:val="left" w:pos="1299"/>
        </w:tabs>
      </w:pPr>
      <w:r w:rsidRPr="00907C9B">
        <w:rPr>
          <w:color w:val="FF0000"/>
        </w:rPr>
        <w:br w:type="page"/>
      </w:r>
      <w:bookmarkStart w:id="51" w:name="_Toc224973757"/>
      <w:proofErr w:type="spellStart"/>
      <w:r w:rsidR="000927F0" w:rsidRPr="000927F0">
        <w:rPr>
          <w:spacing w:val="1"/>
        </w:rPr>
        <w:lastRenderedPageBreak/>
        <w:t>GetCareContact</w:t>
      </w:r>
      <w:bookmarkEnd w:id="51"/>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2" w:name="_Toc224973758"/>
      <w:r w:rsidRPr="002E1905">
        <w:t>Frivillighet</w:t>
      </w:r>
      <w:bookmarkEnd w:id="5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3" w:name="_Toc224973759"/>
      <w:r w:rsidRPr="00866C77">
        <w:t>Version</w:t>
      </w:r>
      <w:bookmarkEnd w:id="53"/>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4" w:name="_Toc224973760"/>
      <w:r w:rsidRPr="001C06B7">
        <w:t>SLA-krav</w:t>
      </w:r>
      <w:bookmarkEnd w:id="54"/>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5" w:name="_Toc224973761"/>
      <w:r w:rsidRPr="002A2A8D">
        <w:t>Fältregler</w:t>
      </w:r>
      <w:bookmarkEnd w:id="55"/>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 xml:space="preserve">Begränsning av sökning avseende </w:t>
            </w:r>
            <w:proofErr w:type="spellStart"/>
            <w:r>
              <w:rPr>
                <w:spacing w:val="-1"/>
                <w:sz w:val="20"/>
                <w:szCs w:val="20"/>
              </w:rPr>
              <w:t>PDL</w:t>
            </w:r>
            <w:proofErr w:type="spellEnd"/>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3498D" w:rsidRPr="00907C9B" w14:paraId="088E9164" w14:textId="77777777" w:rsidTr="00F3498D">
        <w:trPr>
          <w:trHeight w:hRule="exact" w:val="284"/>
          <w:tblHeader/>
        </w:trPr>
        <w:tc>
          <w:tcPr>
            <w:tcW w:w="2922" w:type="dxa"/>
            <w:tcBorders>
              <w:top w:val="single" w:sz="5" w:space="0" w:color="000000"/>
              <w:left w:val="single" w:sz="5" w:space="0" w:color="000000"/>
              <w:bottom w:val="single" w:sz="5" w:space="0" w:color="000000"/>
              <w:right w:val="single" w:sz="5" w:space="0" w:color="000000"/>
            </w:tcBorders>
          </w:tcPr>
          <w:p w14:paraId="7E45E995" w14:textId="1228A42B" w:rsidR="00F3498D" w:rsidRPr="00907C9B" w:rsidRDefault="00F3498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5B1EEF70" w14:textId="3C2EB919" w:rsidR="00F3498D" w:rsidRDefault="00F3498D"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CD494B2" w14:textId="677FC5C0" w:rsidR="00F3498D" w:rsidRPr="00E46F4F" w:rsidRDefault="00F3498D"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25957EB" w14:textId="2BD25681" w:rsidR="00F3498D" w:rsidRPr="00907C9B" w:rsidRDefault="00F3498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3498D" w:rsidRPr="00907C9B" w14:paraId="017A88DA" w14:textId="77777777" w:rsidTr="00F3498D">
        <w:trPr>
          <w:trHeight w:hRule="exact" w:val="284"/>
          <w:tblHeader/>
        </w:trPr>
        <w:tc>
          <w:tcPr>
            <w:tcW w:w="2922" w:type="dxa"/>
            <w:tcBorders>
              <w:top w:val="single" w:sz="5" w:space="0" w:color="000000"/>
              <w:left w:val="single" w:sz="5" w:space="0" w:color="000000"/>
              <w:bottom w:val="single" w:sz="5" w:space="0" w:color="000000"/>
              <w:right w:val="single" w:sz="5" w:space="0" w:color="000000"/>
            </w:tcBorders>
          </w:tcPr>
          <w:p w14:paraId="139B7A7E" w14:textId="3F4D6117" w:rsidR="00F3498D" w:rsidRPr="00907C9B" w:rsidRDefault="00F3498D"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4EB70239" w14:textId="16927B1C" w:rsidR="00F3498D" w:rsidRDefault="00F3498D"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DDD255D" w14:textId="0C89AD27" w:rsidR="00F3498D" w:rsidRPr="00E46F4F" w:rsidRDefault="00F3498D"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7EF46C4" w14:textId="18C46BB1" w:rsidR="00F3498D" w:rsidRPr="00907C9B" w:rsidRDefault="00F3498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SOAP-header</w:t>
            </w:r>
            <w:proofErr w:type="spellEnd"/>
            <w:r w:rsidRPr="00D6731C">
              <w:rPr>
                <w:sz w:val="20"/>
                <w:szCs w:val="20"/>
              </w:rPr>
              <w:t>).</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692AF523"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E6075E"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1D5D9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bookmarkStart w:id="56" w:name="_GoBack"/>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bookmarkEnd w:id="56"/>
      <w:tr w:rsidR="000F635B" w:rsidRPr="00907C9B" w14:paraId="60E5E0C9" w14:textId="77777777" w:rsidTr="000F635B">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102569FA" w14:textId="0FCC4649" w:rsidR="000F635B" w:rsidRPr="00907C9B" w:rsidRDefault="000F635B" w:rsidP="008C6F07">
            <w:pPr>
              <w:spacing w:line="226" w:lineRule="exact"/>
              <w:ind w:left="102"/>
              <w:rPr>
                <w:sz w:val="20"/>
                <w:szCs w:val="20"/>
              </w:rPr>
            </w:pPr>
            <w:proofErr w:type="gramStart"/>
            <w:r>
              <w:rPr>
                <w:sz w:val="20"/>
                <w:szCs w:val="20"/>
              </w:rPr>
              <w:t>…</w:t>
            </w:r>
            <w:proofErr w:type="spellStart"/>
            <w:r w:rsidRPr="00597873">
              <w:rPr>
                <w:sz w:val="20"/>
                <w:szCs w:val="20"/>
              </w:rPr>
              <w:t>authorOtherRole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65F4C9A" w14:textId="2AB10C14" w:rsidR="000F635B" w:rsidRDefault="000F635B" w:rsidP="008C6F07">
            <w:pPr>
              <w:spacing w:line="226" w:lineRule="exact"/>
              <w:ind w:left="102"/>
              <w:rPr>
                <w:spacing w:val="-1"/>
                <w:sz w:val="20"/>
                <w:szCs w:val="20"/>
              </w:rPr>
            </w:pPr>
            <w:proofErr w:type="spellStart"/>
            <w:r>
              <w:rPr>
                <w:spacing w:val="-1"/>
                <w:sz w:val="20"/>
                <w:szCs w:val="20"/>
              </w:rPr>
              <w:t>AuthorOtherRoleType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0A6CF1" w14:textId="65291F86" w:rsidR="000F635B" w:rsidRDefault="000F635B" w:rsidP="008C6F07">
            <w:pPr>
              <w:spacing w:line="226" w:lineRule="exact"/>
              <w:ind w:left="102"/>
              <w:rPr>
                <w:spacing w:val="-1"/>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 används</w:t>
            </w:r>
          </w:p>
        </w:tc>
        <w:tc>
          <w:tcPr>
            <w:tcW w:w="851" w:type="dxa"/>
            <w:tcBorders>
              <w:top w:val="single" w:sz="5" w:space="0" w:color="000000"/>
              <w:left w:val="single" w:sz="5" w:space="0" w:color="000000"/>
              <w:bottom w:val="single" w:sz="5" w:space="0" w:color="000000"/>
              <w:right w:val="single" w:sz="5" w:space="0" w:color="000000"/>
            </w:tcBorders>
          </w:tcPr>
          <w:p w14:paraId="75AB43B9" w14:textId="77777777" w:rsidR="000F635B" w:rsidRDefault="000F635B" w:rsidP="00325B4C">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5802077B" w14:textId="77777777" w:rsidR="000F635B" w:rsidRPr="00907C9B" w:rsidRDefault="000F635B" w:rsidP="00756F28">
            <w:pPr>
              <w:spacing w:line="226" w:lineRule="exact"/>
              <w:ind w:left="102"/>
              <w:rPr>
                <w:spacing w:val="-1"/>
                <w:sz w:val="20"/>
                <w:szCs w:val="20"/>
              </w:rPr>
            </w:pPr>
          </w:p>
        </w:tc>
      </w:tr>
      <w:tr w:rsidR="000F635B" w:rsidRPr="00907C9B" w14:paraId="2E640C9E" w14:textId="77777777" w:rsidTr="000F635B">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29DCB84C" w14:textId="46520D90" w:rsidR="000F635B" w:rsidRPr="00907C9B" w:rsidRDefault="000F635B" w:rsidP="008C6F07">
            <w:pPr>
              <w:spacing w:line="226" w:lineRule="exact"/>
              <w:ind w:left="102"/>
              <w:rPr>
                <w:sz w:val="20"/>
                <w:szCs w:val="20"/>
              </w:rPr>
            </w:pPr>
            <w:proofErr w:type="gramStart"/>
            <w:r>
              <w:rPr>
                <w:sz w:val="20"/>
                <w:szCs w:val="20"/>
              </w:rPr>
              <w:t>….</w:t>
            </w:r>
            <w:proofErr w:type="spellStart"/>
            <w:proofErr w:type="gramEnd"/>
            <w:r w:rsidRPr="0039403A">
              <w:rPr>
                <w:sz w:val="20"/>
                <w:szCs w:val="20"/>
              </w:rPr>
              <w:t>authorOtherRoleCode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9714A1" w14:textId="54DF22CE" w:rsidR="000F635B" w:rsidRDefault="000F635B"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5FF0FE0" w14:textId="0F471C58" w:rsidR="000F635B" w:rsidRDefault="000F635B" w:rsidP="008C6F07">
            <w:pPr>
              <w:spacing w:line="226" w:lineRule="exact"/>
              <w:ind w:left="102"/>
              <w:rPr>
                <w:spacing w:val="-1"/>
                <w:sz w:val="20"/>
                <w:szCs w:val="20"/>
              </w:rPr>
            </w:pPr>
            <w:r w:rsidRPr="00597873">
              <w:rPr>
                <w:sz w:val="20"/>
                <w:szCs w:val="20"/>
              </w:rPr>
              <w:t xml:space="preserve">Kod för författarens befattning enligt annat </w:t>
            </w:r>
            <w:proofErr w:type="spellStart"/>
            <w:r w:rsidRPr="00597873">
              <w:rPr>
                <w:sz w:val="20"/>
                <w:szCs w:val="20"/>
              </w:rPr>
              <w:t>kodverk</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510BE5F" w14:textId="361717D6" w:rsidR="000F635B" w:rsidRPr="00907C9B" w:rsidRDefault="000F635B"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F635B" w:rsidRPr="00907C9B" w14:paraId="126A4369" w14:textId="77777777" w:rsidTr="000F635B">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1F703936" w14:textId="2EFA4B9A" w:rsidR="000F635B" w:rsidRPr="00907C9B" w:rsidRDefault="000F635B" w:rsidP="008C6F07">
            <w:pPr>
              <w:spacing w:line="226" w:lineRule="exact"/>
              <w:ind w:left="102"/>
              <w:rPr>
                <w:sz w:val="20"/>
                <w:szCs w:val="20"/>
              </w:rPr>
            </w:pPr>
            <w:proofErr w:type="gramStart"/>
            <w:r>
              <w:rPr>
                <w:sz w:val="20"/>
                <w:szCs w:val="20"/>
              </w:rPr>
              <w:t>….</w:t>
            </w:r>
            <w:proofErr w:type="spellStart"/>
            <w:proofErr w:type="gramEnd"/>
            <w:r w:rsidRPr="0039403A">
              <w:rPr>
                <w:sz w:val="20"/>
                <w:szCs w:val="20"/>
              </w:rPr>
              <w:t>authorOtherRoleCodeOID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332B23" w14:textId="77777777" w:rsidR="000F635B" w:rsidRDefault="000F635B" w:rsidP="00325B4C">
            <w:pPr>
              <w:spacing w:line="226" w:lineRule="exact"/>
              <w:ind w:left="102"/>
              <w:rPr>
                <w:spacing w:val="-1"/>
                <w:sz w:val="20"/>
                <w:szCs w:val="20"/>
              </w:rPr>
            </w:pPr>
            <w:r>
              <w:rPr>
                <w:spacing w:val="-1"/>
                <w:sz w:val="20"/>
                <w:szCs w:val="20"/>
              </w:rPr>
              <w:t>string</w:t>
            </w:r>
          </w:p>
          <w:p w14:paraId="2F4F8EA1" w14:textId="77777777" w:rsidR="000F635B" w:rsidRDefault="000F635B" w:rsidP="008C6F07">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1F914E" w14:textId="6D0AAF89" w:rsidR="000F635B" w:rsidRDefault="000F635B" w:rsidP="008C6F07">
            <w:pPr>
              <w:spacing w:line="226" w:lineRule="exact"/>
              <w:ind w:left="102"/>
              <w:rPr>
                <w:spacing w:val="-1"/>
                <w:sz w:val="20"/>
                <w:szCs w:val="20"/>
              </w:rPr>
            </w:pPr>
            <w:proofErr w:type="spellStart"/>
            <w:r w:rsidRPr="00597873">
              <w:rPr>
                <w:sz w:val="20"/>
                <w:szCs w:val="20"/>
              </w:rPr>
              <w:t>OID</w:t>
            </w:r>
            <w:proofErr w:type="spellEnd"/>
            <w:r w:rsidRPr="00597873">
              <w:rPr>
                <w:sz w:val="20"/>
                <w:szCs w:val="20"/>
              </w:rPr>
              <w:t xml:space="preserve"> för det </w:t>
            </w:r>
            <w:proofErr w:type="spellStart"/>
            <w:r w:rsidRPr="00597873">
              <w:rPr>
                <w:sz w:val="20"/>
                <w:szCs w:val="20"/>
              </w:rPr>
              <w:t>kodverk</w:t>
            </w:r>
            <w:proofErr w:type="spellEnd"/>
            <w:r w:rsidRPr="00597873">
              <w:rPr>
                <w:sz w:val="20"/>
                <w:szCs w:val="20"/>
              </w:rPr>
              <w:t xml:space="preserve">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48161682" w14:textId="4DFD0218" w:rsidR="000F635B" w:rsidRPr="00907C9B" w:rsidRDefault="000F635B" w:rsidP="00756F28">
            <w:pPr>
              <w:spacing w:line="226" w:lineRule="exact"/>
              <w:ind w:left="102"/>
              <w:rPr>
                <w:spacing w:val="-1"/>
                <w:sz w:val="20"/>
                <w:szCs w:val="20"/>
              </w:rPr>
            </w:pPr>
            <w:r>
              <w:rPr>
                <w:spacing w:val="-1"/>
                <w:sz w:val="20"/>
                <w:szCs w:val="20"/>
              </w:rPr>
              <w:t>1.1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E43346F" w:rsidR="00BF651D" w:rsidRPr="008C68A3" w:rsidRDefault="00BF651D"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0A4C40">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2B3AD041" w:rsidR="00BF651D" w:rsidRDefault="0074309D"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A4C40" w:rsidRPr="00907C9B" w14:paraId="084A534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D9718E6" w14:textId="7AFB42DD" w:rsidR="000A4C40" w:rsidRDefault="005D51B3"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A2E042" w14:textId="14412335" w:rsidR="000A4C40" w:rsidRDefault="005D51B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82205D" w14:textId="55C8FED1" w:rsidR="000A4C40" w:rsidRPr="008C68A3" w:rsidRDefault="005D51B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206834" w14:textId="1AE485EC" w:rsidR="000A4C40" w:rsidRDefault="005D51B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D51B3" w:rsidRPr="00907C9B" w:rsidRDefault="005D51B3"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sidR="0074309D">
              <w:rPr>
                <w:spacing w:val="-1"/>
                <w:sz w:val="20"/>
                <w:szCs w:val="20"/>
              </w:rPr>
              <w:t xml:space="preserve"> </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w:t>
            </w:r>
            <w:proofErr w:type="spellStart"/>
            <w:r w:rsidRPr="0017140E">
              <w:rPr>
                <w:rFonts w:ascii="Times New Roman" w:eastAsia="Times New Roman" w:hAnsi="Times New Roman" w:cs="Times New Roman"/>
                <w:sz w:val="20"/>
                <w:szCs w:val="20"/>
              </w:rPr>
              <w:t>tillåtetet</w:t>
            </w:r>
            <w:proofErr w:type="spellEnd"/>
            <w:r w:rsidRPr="0017140E">
              <w:rPr>
                <w:rFonts w:ascii="Times New Roman" w:eastAsia="Times New Roman" w:hAnsi="Times New Roman" w:cs="Times New Roman"/>
                <w:sz w:val="20"/>
                <w:szCs w:val="20"/>
              </w:rPr>
              <w: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51F0431" w:rsidR="00BF651D" w:rsidRPr="0017140E" w:rsidRDefault="00CC58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careContacUnitI</w:t>
            </w:r>
            <w:r w:rsidR="00BF651D">
              <w:rPr>
                <w:rFonts w:ascii="Times New Roman" w:eastAsia="Times New Roman" w:hAnsi="Times New Roman" w:cs="Times New Roman"/>
                <w:sz w:val="20"/>
                <w:szCs w:val="20"/>
              </w:rPr>
              <w:t>d</w:t>
            </w:r>
            <w:proofErr w:type="spellEnd"/>
            <w:proofErr w:type="gramEnd"/>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629C08A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5A8B0EB0"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3337083F"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7C43E2E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39CDFAFE"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0ADF115E"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4ED562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77777777" w:rsidR="005D51B3" w:rsidRDefault="005D51B3"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careContactUnitLocation</w:t>
            </w:r>
            <w:proofErr w:type="spellEnd"/>
            <w:proofErr w:type="gramEnd"/>
          </w:p>
          <w:p w14:paraId="5A2CD27A" w14:textId="77777777" w:rsidR="005D51B3" w:rsidRDefault="005D51B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0F8264A7"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 xml:space="preserve">3 = </w:t>
            </w:r>
            <w:proofErr w:type="spellStart"/>
            <w:r w:rsidRPr="004B44D5">
              <w:rPr>
                <w:rFonts w:ascii="Times New Roman" w:eastAsia="Times New Roman" w:hAnsi="Times New Roman" w:cs="Times New Roman"/>
                <w:sz w:val="20"/>
                <w:szCs w:val="20"/>
              </w:rPr>
              <w:t>tidbokad</w:t>
            </w:r>
            <w:proofErr w:type="spellEnd"/>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21"/>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Johan Eltes" w:date="2013-01-20T23:30:00Z" w:initials="JE">
    <w:p w14:paraId="3283B6FB" w14:textId="77777777" w:rsidR="0074309D" w:rsidRPr="00551CB4" w:rsidRDefault="0074309D"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F7A8E" w14:textId="77777777" w:rsidR="00BD1B55" w:rsidRDefault="00BD1B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B9D59" w14:textId="77777777" w:rsidR="00BD1B55" w:rsidRDefault="00BD1B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5336B" w14:textId="77777777" w:rsidR="00BD1B55" w:rsidRDefault="00BD1B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C41B7" w14:textId="77777777" w:rsidR="00BD1B55" w:rsidRDefault="00BD1B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F635B">
            <w:rPr>
              <w:noProof/>
            </w:rPr>
            <w:t>24</w:t>
          </w:r>
          <w:r>
            <w:fldChar w:fldCharType="end"/>
          </w:r>
          <w:r>
            <w:t xml:space="preserve"> (</w:t>
          </w:r>
          <w:r>
            <w:fldChar w:fldCharType="begin"/>
          </w:r>
          <w:r>
            <w:instrText xml:space="preserve"> NUMPAGES </w:instrText>
          </w:r>
          <w:r>
            <w:fldChar w:fldCharType="separate"/>
          </w:r>
          <w:r w:rsidR="000F635B">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C58BF">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29AEC" w14:textId="77777777" w:rsidR="00BD1B55" w:rsidRDefault="00BD1B5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F635B">
            <w:rPr>
              <w:noProof/>
            </w:rPr>
            <w:t>26</w:t>
          </w:r>
          <w:r>
            <w:fldChar w:fldCharType="end"/>
          </w:r>
          <w:r>
            <w:t xml:space="preserve"> (</w:t>
          </w:r>
          <w:r>
            <w:fldChar w:fldCharType="begin"/>
          </w:r>
          <w:r>
            <w:instrText xml:space="preserve"> NUMPAGES </w:instrText>
          </w:r>
          <w:r>
            <w:fldChar w:fldCharType="separate"/>
          </w:r>
          <w:r w:rsidR="000F635B">
            <w:rPr>
              <w:noProof/>
            </w:rPr>
            <w:t>26</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C58BF">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5A45"/>
    <w:rsid w:val="000E36F5"/>
    <w:rsid w:val="000F4582"/>
    <w:rsid w:val="000F45F6"/>
    <w:rsid w:val="000F635B"/>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D5D9C"/>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E7ACA"/>
    <w:rsid w:val="002F049F"/>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2B10"/>
    <w:rsid w:val="003D5A7D"/>
    <w:rsid w:val="003D6271"/>
    <w:rsid w:val="003D659E"/>
    <w:rsid w:val="003E2E06"/>
    <w:rsid w:val="003E5998"/>
    <w:rsid w:val="003F056A"/>
    <w:rsid w:val="003F24BE"/>
    <w:rsid w:val="00400BF0"/>
    <w:rsid w:val="00401066"/>
    <w:rsid w:val="004040F0"/>
    <w:rsid w:val="00405476"/>
    <w:rsid w:val="00405D7A"/>
    <w:rsid w:val="00413309"/>
    <w:rsid w:val="0041336D"/>
    <w:rsid w:val="004146E3"/>
    <w:rsid w:val="00421C24"/>
    <w:rsid w:val="004261D6"/>
    <w:rsid w:val="00426F10"/>
    <w:rsid w:val="0043113E"/>
    <w:rsid w:val="0043171C"/>
    <w:rsid w:val="004323A7"/>
    <w:rsid w:val="004330B8"/>
    <w:rsid w:val="004401FC"/>
    <w:rsid w:val="00440331"/>
    <w:rsid w:val="0044096C"/>
    <w:rsid w:val="00443630"/>
    <w:rsid w:val="00445A0F"/>
    <w:rsid w:val="00446E41"/>
    <w:rsid w:val="004479C5"/>
    <w:rsid w:val="00450ECC"/>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02299"/>
    <w:rsid w:val="0051739C"/>
    <w:rsid w:val="005211C2"/>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6F0C6C"/>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27023"/>
    <w:rsid w:val="00830306"/>
    <w:rsid w:val="00830A4B"/>
    <w:rsid w:val="008341C9"/>
    <w:rsid w:val="00834243"/>
    <w:rsid w:val="00835228"/>
    <w:rsid w:val="0083546F"/>
    <w:rsid w:val="00836554"/>
    <w:rsid w:val="00843B20"/>
    <w:rsid w:val="00844DBB"/>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321E7"/>
    <w:rsid w:val="009347B5"/>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1B55"/>
    <w:rsid w:val="00BE3B64"/>
    <w:rsid w:val="00BF0EC8"/>
    <w:rsid w:val="00BF21A3"/>
    <w:rsid w:val="00BF464F"/>
    <w:rsid w:val="00BF651D"/>
    <w:rsid w:val="00BF7AAD"/>
    <w:rsid w:val="00C015AE"/>
    <w:rsid w:val="00C04FAC"/>
    <w:rsid w:val="00C0548B"/>
    <w:rsid w:val="00C06423"/>
    <w:rsid w:val="00C11C49"/>
    <w:rsid w:val="00C139B6"/>
    <w:rsid w:val="00C220D9"/>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1F47"/>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58BF"/>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731C"/>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4508"/>
    <w:rsid w:val="00DA473A"/>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22B13"/>
    <w:rsid w:val="00E323C4"/>
    <w:rsid w:val="00E324A6"/>
    <w:rsid w:val="00E347F9"/>
    <w:rsid w:val="00E352A0"/>
    <w:rsid w:val="00E35457"/>
    <w:rsid w:val="00E35692"/>
    <w:rsid w:val="00E37E68"/>
    <w:rsid w:val="00E433A3"/>
    <w:rsid w:val="00E46F4F"/>
    <w:rsid w:val="00E523B7"/>
    <w:rsid w:val="00E542EE"/>
    <w:rsid w:val="00E546AE"/>
    <w:rsid w:val="00E6075E"/>
    <w:rsid w:val="00E63128"/>
    <w:rsid w:val="00E6322E"/>
    <w:rsid w:val="00E658CC"/>
    <w:rsid w:val="00E73887"/>
    <w:rsid w:val="00E73E21"/>
    <w:rsid w:val="00E73E2E"/>
    <w:rsid w:val="00E74D83"/>
    <w:rsid w:val="00E763DE"/>
    <w:rsid w:val="00E763E6"/>
    <w:rsid w:val="00E81C95"/>
    <w:rsid w:val="00E843CD"/>
    <w:rsid w:val="00E84FE3"/>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4BA0"/>
    <w:rsid w:val="00F26CBA"/>
    <w:rsid w:val="00F26F28"/>
    <w:rsid w:val="00F3361E"/>
    <w:rsid w:val="00F34084"/>
    <w:rsid w:val="00F3498D"/>
    <w:rsid w:val="00F4114B"/>
    <w:rsid w:val="00F45A5F"/>
    <w:rsid w:val="00F50134"/>
    <w:rsid w:val="00F51C9D"/>
    <w:rsid w:val="00F53C52"/>
    <w:rsid w:val="00F54CBF"/>
    <w:rsid w:val="00F558DF"/>
    <w:rsid w:val="00F56437"/>
    <w:rsid w:val="00F57973"/>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omments" Target="comments.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26</Pages>
  <Words>4857</Words>
  <Characters>27687</Characters>
  <Application>Microsoft Macintosh Word</Application>
  <DocSecurity>0</DocSecurity>
  <Lines>230</Lines>
  <Paragraphs>64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44</cp:revision>
  <cp:lastPrinted>2013-02-07T13:14:00Z</cp:lastPrinted>
  <dcterms:created xsi:type="dcterms:W3CDTF">2013-03-05T19:50:00Z</dcterms:created>
  <dcterms:modified xsi:type="dcterms:W3CDTF">2013-04-03T06:19:00Z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