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A1371AE" w:rsidR="00D218F3" w:rsidRPr="00BC5B0B" w:rsidRDefault="004B2DDF" w:rsidP="00D218F3">
      <w:pPr>
        <w:pStyle w:val="Friform"/>
        <w:rPr>
          <w:rFonts w:ascii="Arial" w:hAnsi="Arial"/>
          <w:sz w:val="36"/>
        </w:rPr>
      </w:pPr>
      <w:r>
        <w:rPr>
          <w:rFonts w:ascii="Arial" w:hAnsi="Arial"/>
          <w:sz w:val="36"/>
        </w:rPr>
        <w:t>Utgåva PA</w:t>
      </w:r>
      <w:r w:rsidR="00ED331A">
        <w:rPr>
          <w:rFonts w:ascii="Arial" w:hAnsi="Arial"/>
          <w:sz w:val="36"/>
        </w:rPr>
        <w:t>4</w:t>
      </w:r>
      <w:r w:rsidR="00C25AA9">
        <w:rPr>
          <w:rFonts w:ascii="Arial" w:hAnsi="Arial"/>
          <w:sz w:val="36"/>
        </w:rPr>
        <w:t>9</w:t>
      </w:r>
    </w:p>
    <w:p w14:paraId="087F92D2" w14:textId="026D9243" w:rsidR="00D218F3" w:rsidRPr="00BC5B0B" w:rsidRDefault="00FB2C42" w:rsidP="00D218F3">
      <w:pPr>
        <w:pStyle w:val="Friform"/>
        <w:rPr>
          <w:rFonts w:ascii="Arial" w:hAnsi="Arial"/>
          <w:sz w:val="36"/>
        </w:rPr>
      </w:pPr>
      <w:r>
        <w:rPr>
          <w:rFonts w:ascii="Arial" w:hAnsi="Arial"/>
          <w:sz w:val="36"/>
        </w:rPr>
        <w:t>201</w:t>
      </w:r>
      <w:r w:rsidR="00C25AA9">
        <w:rPr>
          <w:rFonts w:ascii="Arial" w:hAnsi="Arial"/>
          <w:sz w:val="36"/>
        </w:rPr>
        <w:t>4-02-13</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CommentText"/>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 xml:space="preserve">Lagt till avsnitt om </w:t>
            </w:r>
            <w:proofErr w:type="spellStart"/>
            <w:r>
              <w:t>engagemangsindex</w:t>
            </w:r>
            <w:proofErr w:type="spellEnd"/>
            <w:r>
              <w:t>.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lastRenderedPageBreak/>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w:t>
            </w:r>
            <w:proofErr w:type="spellStart"/>
            <w:r>
              <w:t>NPÖ</w:t>
            </w:r>
            <w:proofErr w:type="spellEnd"/>
            <w:r>
              <w:t xml:space="preserve">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 xml:space="preserve">Johan </w:t>
            </w:r>
            <w:proofErr w:type="spellStart"/>
            <w:r>
              <w:t>Eltes</w:t>
            </w:r>
            <w:proofErr w:type="spellEnd"/>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 xml:space="preserve">Tagit bort </w:t>
            </w:r>
            <w:proofErr w:type="spellStart"/>
            <w:r>
              <w:t>nullified</w:t>
            </w:r>
            <w:proofErr w:type="spellEnd"/>
            <w:r>
              <w:t xml:space="preserve"> i </w:t>
            </w:r>
            <w:proofErr w:type="spellStart"/>
            <w:r>
              <w:t>GetCareContacts</w:t>
            </w:r>
            <w:proofErr w:type="spellEnd"/>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 xml:space="preserve">Björn </w:t>
            </w:r>
            <w:proofErr w:type="spellStart"/>
            <w:r>
              <w:t>Genfors</w:t>
            </w:r>
            <w:proofErr w:type="spellEnd"/>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02702922" w14:textId="28543C00" w:rsidR="00443705" w:rsidRDefault="00443705" w:rsidP="00FE2B3C">
            <w:pPr>
              <w:pStyle w:val="TableText"/>
            </w:pPr>
            <w:r>
              <w:t xml:space="preserve">Björn </w:t>
            </w:r>
            <w:proofErr w:type="spellStart"/>
            <w:r>
              <w:t>Genfors</w:t>
            </w:r>
            <w:proofErr w:type="spellEnd"/>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 xml:space="preserve">Stavat rätt på Thomas </w:t>
            </w:r>
            <w:proofErr w:type="spellStart"/>
            <w:r>
              <w:t>Siltberg</w:t>
            </w:r>
            <w:proofErr w:type="spellEnd"/>
          </w:p>
          <w:p w14:paraId="2D00FF1E" w14:textId="1A47DCF2" w:rsidR="00305E6E" w:rsidRDefault="00305E6E" w:rsidP="005B6C7F">
            <w:pPr>
              <w:pStyle w:val="TableText"/>
              <w:numPr>
                <w:ilvl w:val="0"/>
                <w:numId w:val="7"/>
              </w:numPr>
            </w:pPr>
            <w:r>
              <w:t xml:space="preserve">Tagit bort Lennart Eriksson, </w:t>
            </w:r>
            <w:proofErr w:type="spellStart"/>
            <w:r>
              <w:t>CeHis</w:t>
            </w:r>
            <w:proofErr w:type="spellEnd"/>
            <w:r>
              <w:t xml:space="preserve">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w:t>
            </w:r>
            <w:proofErr w:type="spellStart"/>
            <w:r>
              <w:t>documentId</w:t>
            </w:r>
            <w:proofErr w:type="spellEnd"/>
            <w:r>
              <w:t xml:space="preserve"> i </w:t>
            </w:r>
            <w:proofErr w:type="spellStart"/>
            <w:r>
              <w:t>PatientSummaryHeader</w:t>
            </w:r>
            <w:proofErr w:type="spellEnd"/>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w:t>
            </w:r>
            <w:proofErr w:type="spellStart"/>
            <w:r>
              <w:t>rubrikfel</w:t>
            </w:r>
            <w:proofErr w:type="spellEnd"/>
            <w:r>
              <w:t xml:space="preserve">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 xml:space="preserve">Lagt till posten </w:t>
            </w:r>
            <w:proofErr w:type="spellStart"/>
            <w:r>
              <w:t>SourceSystem</w:t>
            </w:r>
            <w:proofErr w:type="spellEnd"/>
            <w:r>
              <w:t xml:space="preserve"> i Engagemangsindex.</w:t>
            </w:r>
          </w:p>
        </w:tc>
        <w:tc>
          <w:tcPr>
            <w:tcW w:w="2126" w:type="dxa"/>
          </w:tcPr>
          <w:p w14:paraId="7FD3E7F0" w14:textId="009DB16A" w:rsidR="00305E6E" w:rsidRDefault="005721DD" w:rsidP="00FE2B3C">
            <w:pPr>
              <w:pStyle w:val="TableText"/>
            </w:pPr>
            <w:r>
              <w:lastRenderedPageBreak/>
              <w:t xml:space="preserve">Björn </w:t>
            </w:r>
            <w:proofErr w:type="spellStart"/>
            <w:r>
              <w:t>Genfors</w:t>
            </w:r>
            <w:proofErr w:type="spellEnd"/>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Paragraph"/>
              <w:numPr>
                <w:ilvl w:val="0"/>
                <w:numId w:val="11"/>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 xml:space="preserve">Johan </w:t>
            </w:r>
            <w:proofErr w:type="spellStart"/>
            <w:r>
              <w:t>Eltes</w:t>
            </w:r>
            <w:proofErr w:type="spellEnd"/>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Paragraph"/>
              <w:numPr>
                <w:ilvl w:val="0"/>
                <w:numId w:val="11"/>
              </w:numPr>
              <w:rPr>
                <w:sz w:val="20"/>
              </w:rPr>
            </w:pPr>
            <w:r>
              <w:rPr>
                <w:sz w:val="20"/>
              </w:rPr>
              <w:t xml:space="preserve">Ersatt termen </w:t>
            </w:r>
            <w:proofErr w:type="spellStart"/>
            <w:r>
              <w:rPr>
                <w:sz w:val="20"/>
              </w:rPr>
              <w:t>PDL</w:t>
            </w:r>
            <w:proofErr w:type="spellEnd"/>
            <w:r>
              <w:rPr>
                <w:sz w:val="20"/>
              </w:rPr>
              <w:t>-enhet med vårdenhet</w:t>
            </w:r>
          </w:p>
          <w:p w14:paraId="062A2091" w14:textId="77777777" w:rsidR="00FB305D" w:rsidRDefault="00FB305D" w:rsidP="00123066">
            <w:pPr>
              <w:pStyle w:val="ListParagraph"/>
              <w:numPr>
                <w:ilvl w:val="0"/>
                <w:numId w:val="11"/>
              </w:numPr>
              <w:rPr>
                <w:sz w:val="20"/>
              </w:rPr>
            </w:pPr>
            <w:r>
              <w:rPr>
                <w:sz w:val="20"/>
              </w:rPr>
              <w:t xml:space="preserve">Uppdaterat avsnittet om informationssäkerhet efter </w:t>
            </w:r>
            <w:proofErr w:type="spellStart"/>
            <w:r>
              <w:rPr>
                <w:sz w:val="20"/>
              </w:rPr>
              <w:t>CeHis</w:t>
            </w:r>
            <w:proofErr w:type="spellEnd"/>
            <w:r>
              <w:rPr>
                <w:sz w:val="20"/>
              </w:rPr>
              <w:t>-granskning</w:t>
            </w:r>
          </w:p>
          <w:p w14:paraId="3B6994AF" w14:textId="193018CB" w:rsidR="00F766C9" w:rsidRDefault="00F766C9" w:rsidP="00123066">
            <w:pPr>
              <w:pStyle w:val="ListParagraph"/>
              <w:numPr>
                <w:ilvl w:val="0"/>
                <w:numId w:val="11"/>
              </w:numPr>
              <w:rPr>
                <w:sz w:val="20"/>
              </w:rPr>
            </w:pPr>
            <w:r>
              <w:rPr>
                <w:sz w:val="20"/>
              </w:rPr>
              <w:t xml:space="preserve">Tagit bort referenser till HL7 CDA för denna </w:t>
            </w:r>
            <w:proofErr w:type="gramStart"/>
            <w:r>
              <w:rPr>
                <w:sz w:val="20"/>
              </w:rPr>
              <w:t>domen</w:t>
            </w:r>
            <w:proofErr w:type="gramEnd"/>
            <w:r>
              <w:rPr>
                <w:sz w:val="20"/>
              </w:rPr>
              <w:t xml:space="preserve"> (administrativ domän)</w:t>
            </w:r>
          </w:p>
        </w:tc>
        <w:tc>
          <w:tcPr>
            <w:tcW w:w="2126" w:type="dxa"/>
          </w:tcPr>
          <w:p w14:paraId="5C79D0E5" w14:textId="554FCB86" w:rsidR="00FB305D" w:rsidRDefault="00FB305D" w:rsidP="00FE2B3C">
            <w:pPr>
              <w:pStyle w:val="TableText"/>
            </w:pPr>
            <w:r>
              <w:t xml:space="preserve">Johan </w:t>
            </w:r>
            <w:proofErr w:type="spellStart"/>
            <w:r>
              <w:t>Eltes</w:t>
            </w:r>
            <w:proofErr w:type="spellEnd"/>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w:t>
            </w:r>
            <w:proofErr w:type="spellStart"/>
            <w:r w:rsidR="00770BF5">
              <w:rPr>
                <w:sz w:val="20"/>
              </w:rPr>
              <w:t>kardinalitet</w:t>
            </w:r>
            <w:proofErr w:type="spellEnd"/>
            <w:r w:rsidR="00770BF5">
              <w:rPr>
                <w:sz w:val="20"/>
              </w:rPr>
              <w:t xml:space="preserve"> för </w:t>
            </w:r>
            <w:proofErr w:type="spellStart"/>
            <w:r w:rsidR="00770BF5" w:rsidRPr="003658DE">
              <w:t>healthcareProfessional</w:t>
            </w:r>
            <w:r w:rsidR="00770BF5" w:rsidRPr="003658DE">
              <w:rPr>
                <w:spacing w:val="-1"/>
              </w:rPr>
              <w:t>CareUnitHSA</w:t>
            </w:r>
            <w:r w:rsidR="00770BF5">
              <w:rPr>
                <w:spacing w:val="-1"/>
              </w:rPr>
              <w:t>I</w:t>
            </w:r>
            <w:r w:rsidR="00770BF5" w:rsidRPr="003658DE">
              <w:rPr>
                <w:spacing w:val="-1"/>
              </w:rPr>
              <w:t>d</w:t>
            </w:r>
            <w:proofErr w:type="spellEnd"/>
            <w:r w:rsidR="00770BF5">
              <w:rPr>
                <w:spacing w:val="-1"/>
              </w:rPr>
              <w:t xml:space="preserve"> </w:t>
            </w:r>
            <w:r w:rsidR="00770BF5" w:rsidRPr="00770BF5">
              <w:rPr>
                <w:sz w:val="20"/>
              </w:rPr>
              <w:t xml:space="preserve">och </w:t>
            </w:r>
            <w:proofErr w:type="spellStart"/>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proofErr w:type="spellEnd"/>
            <w:r w:rsidR="00A00C2D">
              <w:rPr>
                <w:spacing w:val="-1"/>
              </w:rPr>
              <w:t xml:space="preserve"> från 1</w:t>
            </w:r>
            <w:proofErr w:type="gramStart"/>
            <w:r w:rsidR="00A00C2D">
              <w:rPr>
                <w:spacing w:val="-1"/>
              </w:rPr>
              <w:t>..</w:t>
            </w:r>
            <w:proofErr w:type="gramEnd"/>
            <w:r w:rsidR="00A00C2D">
              <w:rPr>
                <w:spacing w:val="-1"/>
              </w:rPr>
              <w:t>1 till 0..1</w:t>
            </w:r>
          </w:p>
        </w:tc>
        <w:tc>
          <w:tcPr>
            <w:tcW w:w="2126" w:type="dxa"/>
          </w:tcPr>
          <w:p w14:paraId="77C8267B" w14:textId="2946C0D8" w:rsidR="00770BF5" w:rsidRDefault="00770BF5" w:rsidP="00FE2B3C">
            <w:pPr>
              <w:pStyle w:val="TableText"/>
            </w:pPr>
            <w:r>
              <w:t xml:space="preserve">Johan </w:t>
            </w:r>
            <w:proofErr w:type="spellStart"/>
            <w:r>
              <w:t>Eltes</w:t>
            </w:r>
            <w:proofErr w:type="spellEnd"/>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proofErr w:type="gramStart"/>
            <w:r>
              <w:rPr>
                <w:sz w:val="20"/>
              </w:rPr>
              <w:t>-</w:t>
            </w:r>
            <w:proofErr w:type="gramEnd"/>
            <w:r>
              <w:rPr>
                <w:sz w:val="20"/>
              </w:rPr>
              <w:t xml:space="preserve"> Lagt till text på </w:t>
            </w:r>
            <w:proofErr w:type="spellStart"/>
            <w:r>
              <w:rPr>
                <w:sz w:val="20"/>
              </w:rPr>
              <w:t>GCC</w:t>
            </w:r>
            <w:proofErr w:type="spellEnd"/>
            <w:r>
              <w:rPr>
                <w:sz w:val="20"/>
              </w:rPr>
              <w:t xml:space="preserve"> som deklarerar kompatibilitet med </w:t>
            </w:r>
            <w:proofErr w:type="spellStart"/>
            <w:r>
              <w:rPr>
                <w:sz w:val="20"/>
              </w:rPr>
              <w:t>NPö</w:t>
            </w:r>
            <w:proofErr w:type="spellEnd"/>
            <w:r>
              <w:rPr>
                <w:sz w:val="20"/>
              </w:rPr>
              <w:t xml:space="preserve"> RIV Spec.</w:t>
            </w:r>
          </w:p>
        </w:tc>
        <w:tc>
          <w:tcPr>
            <w:tcW w:w="2126" w:type="dxa"/>
          </w:tcPr>
          <w:p w14:paraId="1075F793" w14:textId="38D2B410" w:rsidR="00C51CCF" w:rsidRDefault="00C51CCF" w:rsidP="00FE2B3C">
            <w:pPr>
              <w:pStyle w:val="TableText"/>
            </w:pPr>
            <w:r>
              <w:t xml:space="preserve">Johan </w:t>
            </w:r>
            <w:proofErr w:type="spellStart"/>
            <w:r>
              <w:t>Eltes</w:t>
            </w:r>
            <w:proofErr w:type="spellEnd"/>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w:t>
            </w:r>
            <w:proofErr w:type="spellStart"/>
            <w:r w:rsidR="003B0659">
              <w:rPr>
                <w:sz w:val="20"/>
              </w:rPr>
              <w:t>PatientSummaryHeaderType</w:t>
            </w:r>
            <w:proofErr w:type="spellEnd"/>
            <w:r w:rsidR="003B0659">
              <w:rPr>
                <w:sz w:val="20"/>
              </w:rPr>
              <w:t xml:space="preserve"> samt </w:t>
            </w:r>
            <w:proofErr w:type="spellStart"/>
            <w:r w:rsidR="003B0659">
              <w:rPr>
                <w:sz w:val="20"/>
              </w:rPr>
              <w:t>HealthcareProfessionalType</w:t>
            </w:r>
            <w:proofErr w:type="spellEnd"/>
            <w:r w:rsidR="003B0659">
              <w:rPr>
                <w:sz w:val="20"/>
              </w:rPr>
              <w:t>)</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 xml:space="preserve">Uppdaterat beskrivningen av </w:t>
            </w:r>
            <w:proofErr w:type="spellStart"/>
            <w:r w:rsidRPr="00F228E8">
              <w:rPr>
                <w:sz w:val="20"/>
                <w:szCs w:val="20"/>
              </w:rPr>
              <w:t>orgUnitHSAId</w:t>
            </w:r>
            <w:proofErr w:type="spellEnd"/>
            <w:r w:rsidRPr="00F228E8">
              <w:rPr>
                <w:sz w:val="20"/>
                <w:szCs w:val="20"/>
              </w:rPr>
              <w:t xml:space="preserve"> (se även Google </w:t>
            </w:r>
            <w:proofErr w:type="spellStart"/>
            <w:r w:rsidRPr="00F228E8">
              <w:rPr>
                <w:sz w:val="20"/>
                <w:szCs w:val="20"/>
              </w:rPr>
              <w:t>Code</w:t>
            </w:r>
            <w:proofErr w:type="spellEnd"/>
            <w:r w:rsidRPr="00F228E8">
              <w:rPr>
                <w:sz w:val="20"/>
                <w:szCs w:val="20"/>
              </w:rPr>
              <w:t xml:space="preserve"> </w:t>
            </w:r>
            <w:proofErr w:type="spellStart"/>
            <w:r w:rsidRPr="00F228E8">
              <w:rPr>
                <w:sz w:val="20"/>
                <w:szCs w:val="20"/>
              </w:rPr>
              <w:t>issue</w:t>
            </w:r>
            <w:proofErr w:type="spellEnd"/>
            <w:r w:rsidRPr="00F228E8">
              <w:rPr>
                <w:sz w:val="20"/>
                <w:szCs w:val="20"/>
              </w:rPr>
              <w:t xml:space="preserv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 xml:space="preserve">Björn </w:t>
            </w:r>
            <w:proofErr w:type="spellStart"/>
            <w:r>
              <w:t>Genfors</w:t>
            </w:r>
            <w:proofErr w:type="spellEnd"/>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proofErr w:type="spellStart"/>
            <w:r w:rsidRPr="001C32B6">
              <w:rPr>
                <w:sz w:val="20"/>
                <w:szCs w:val="20"/>
              </w:rPr>
              <w:t>healthcareProfessionalHSAId</w:t>
            </w:r>
            <w:proofErr w:type="spellEnd"/>
            <w:r w:rsidRPr="001C32B6">
              <w:rPr>
                <w:sz w:val="20"/>
                <w:szCs w:val="20"/>
              </w:rPr>
              <w:t xml:space="preserve"> </w:t>
            </w:r>
            <w:proofErr w:type="gramStart"/>
            <w:r w:rsidRPr="001C32B6">
              <w:rPr>
                <w:sz w:val="20"/>
                <w:szCs w:val="20"/>
              </w:rPr>
              <w:t xml:space="preserve">ändrad </w:t>
            </w:r>
            <w:r w:rsidR="009A180F" w:rsidRPr="001C32B6">
              <w:rPr>
                <w:sz w:val="20"/>
                <w:szCs w:val="20"/>
              </w:rPr>
              <w:t xml:space="preserve"> </w:t>
            </w:r>
            <w:r w:rsidRPr="001C32B6">
              <w:rPr>
                <w:sz w:val="20"/>
                <w:szCs w:val="20"/>
              </w:rPr>
              <w:t>från</w:t>
            </w:r>
            <w:proofErr w:type="gramEnd"/>
            <w:r w:rsidRPr="001C32B6">
              <w:rPr>
                <w:sz w:val="20"/>
                <w:szCs w:val="20"/>
              </w:rPr>
              <w:t xml:space="preserve"> 1..1 till 0..1, </w:t>
            </w:r>
            <w:proofErr w:type="spellStart"/>
            <w:r w:rsidRPr="001C32B6">
              <w:rPr>
                <w:sz w:val="20"/>
                <w:szCs w:val="20"/>
              </w:rPr>
              <w:t>orgUnitHSAId</w:t>
            </w:r>
            <w:proofErr w:type="spellEnd"/>
            <w:r w:rsidR="00EC2E62" w:rsidRPr="001C32B6">
              <w:rPr>
                <w:sz w:val="20"/>
                <w:szCs w:val="20"/>
              </w:rPr>
              <w:t xml:space="preserve"> ändrad från 1..1</w:t>
            </w:r>
            <w:r w:rsidRPr="001C32B6">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r w:rsidR="0082781F" w:rsidRPr="006F251E" w14:paraId="5B9322CB" w14:textId="77777777" w:rsidTr="00103DD2">
        <w:tc>
          <w:tcPr>
            <w:tcW w:w="964" w:type="dxa"/>
          </w:tcPr>
          <w:p w14:paraId="1713DB07" w14:textId="36AA9F70" w:rsidR="0082781F" w:rsidRDefault="0082781F" w:rsidP="00FE2B3C">
            <w:pPr>
              <w:pStyle w:val="TableText"/>
            </w:pPr>
            <w:r>
              <w:t>PA50</w:t>
            </w:r>
          </w:p>
        </w:tc>
        <w:tc>
          <w:tcPr>
            <w:tcW w:w="1224" w:type="dxa"/>
          </w:tcPr>
          <w:p w14:paraId="6FC65E74" w14:textId="4AB34F6C" w:rsidR="0082781F" w:rsidRDefault="0082781F" w:rsidP="00FE2B3C">
            <w:pPr>
              <w:pStyle w:val="TableText"/>
            </w:pPr>
            <w:r>
              <w:t>2014-02-17</w:t>
            </w:r>
          </w:p>
        </w:tc>
        <w:tc>
          <w:tcPr>
            <w:tcW w:w="3652" w:type="dxa"/>
          </w:tcPr>
          <w:p w14:paraId="43AB550F" w14:textId="77777777" w:rsidR="0082781F" w:rsidRDefault="0082781F" w:rsidP="00F228E8">
            <w:pPr>
              <w:pStyle w:val="TableParagraph"/>
              <w:numPr>
                <w:ilvl w:val="0"/>
                <w:numId w:val="11"/>
              </w:numPr>
              <w:rPr>
                <w:sz w:val="20"/>
                <w:szCs w:val="20"/>
              </w:rPr>
            </w:pPr>
            <w:proofErr w:type="spellStart"/>
            <w:r>
              <w:rPr>
                <w:sz w:val="20"/>
                <w:szCs w:val="20"/>
              </w:rPr>
              <w:t>accountableHealthCareProfessional</w:t>
            </w:r>
            <w:proofErr w:type="spellEnd"/>
            <w:r>
              <w:rPr>
                <w:sz w:val="20"/>
                <w:szCs w:val="20"/>
              </w:rPr>
              <w:t xml:space="preserve"> ändrad från 0</w:t>
            </w:r>
            <w:proofErr w:type="gramStart"/>
            <w:r>
              <w:rPr>
                <w:sz w:val="20"/>
                <w:szCs w:val="20"/>
              </w:rPr>
              <w:t>..</w:t>
            </w:r>
            <w:proofErr w:type="gramEnd"/>
            <w:r>
              <w:rPr>
                <w:sz w:val="20"/>
                <w:szCs w:val="20"/>
              </w:rPr>
              <w:t>1 till 1..1 (</w:t>
            </w:r>
            <w:proofErr w:type="spellStart"/>
            <w:r>
              <w:rPr>
                <w:sz w:val="20"/>
                <w:szCs w:val="20"/>
              </w:rPr>
              <w:t>authorTime</w:t>
            </w:r>
            <w:proofErr w:type="spellEnd"/>
            <w:r>
              <w:rPr>
                <w:sz w:val="20"/>
                <w:szCs w:val="20"/>
              </w:rPr>
              <w:t xml:space="preserve"> måste alltid vara med)</w:t>
            </w:r>
          </w:p>
          <w:p w14:paraId="66938365" w14:textId="77777777" w:rsidR="0082781F" w:rsidRPr="0082781F" w:rsidRDefault="0082781F" w:rsidP="00F228E8">
            <w:pPr>
              <w:pStyle w:val="TableParagraph"/>
              <w:numPr>
                <w:ilvl w:val="0"/>
                <w:numId w:val="11"/>
              </w:numPr>
              <w:rPr>
                <w:rFonts w:ascii="Calibri" w:hAnsi="Calibri"/>
                <w:sz w:val="20"/>
                <w:szCs w:val="20"/>
              </w:rPr>
            </w:pPr>
            <w:proofErr w:type="spellStart"/>
            <w:proofErr w:type="gramStart"/>
            <w:r w:rsidRPr="0082781F">
              <w:rPr>
                <w:rFonts w:ascii="Calibri" w:hAnsi="Calibri" w:cs="Helvetica"/>
                <w:sz w:val="20"/>
                <w:szCs w:val="20"/>
                <w:lang w:val="en-US"/>
              </w:rPr>
              <w:t>careContactOrgUnit</w:t>
            </w:r>
            <w:r w:rsidRPr="0082781F">
              <w:rPr>
                <w:rFonts w:ascii="Calibri" w:hAnsi="Calibri" w:cs="Helvetica"/>
                <w:sz w:val="20"/>
                <w:szCs w:val="20"/>
                <w:lang w:val="en-US"/>
              </w:rPr>
              <w:t>.orgUnitHSAId</w:t>
            </w:r>
            <w:proofErr w:type="spellEnd"/>
            <w:proofErr w:type="gramEnd"/>
            <w:r w:rsidRPr="0082781F">
              <w:rPr>
                <w:rFonts w:ascii="Calibri" w:hAnsi="Calibri" w:cs="Helvetica"/>
                <w:sz w:val="20"/>
                <w:szCs w:val="20"/>
                <w:lang w:val="en-US"/>
              </w:rPr>
              <w:t xml:space="preserve"> 0..1 till 1</w:t>
            </w:r>
            <w:proofErr w:type="gramStart"/>
            <w:r w:rsidRPr="0082781F">
              <w:rPr>
                <w:rFonts w:ascii="Calibri" w:hAnsi="Calibri" w:cs="Helvetica"/>
                <w:sz w:val="20"/>
                <w:szCs w:val="20"/>
                <w:lang w:val="en-US"/>
              </w:rPr>
              <w:t>..</w:t>
            </w:r>
            <w:proofErr w:type="gramEnd"/>
            <w:r w:rsidRPr="0082781F">
              <w:rPr>
                <w:rFonts w:ascii="Calibri" w:hAnsi="Calibri" w:cs="Helvetica"/>
                <w:sz w:val="20"/>
                <w:szCs w:val="20"/>
                <w:lang w:val="en-US"/>
              </w:rPr>
              <w:t>1</w:t>
            </w:r>
          </w:p>
          <w:p w14:paraId="282269D9" w14:textId="67EB9FB9" w:rsidR="0082781F" w:rsidRPr="001C32B6" w:rsidRDefault="0082781F" w:rsidP="00F228E8">
            <w:pPr>
              <w:pStyle w:val="TableParagraph"/>
              <w:numPr>
                <w:ilvl w:val="0"/>
                <w:numId w:val="11"/>
              </w:numPr>
              <w:rPr>
                <w:sz w:val="20"/>
                <w:szCs w:val="20"/>
              </w:rPr>
            </w:pPr>
            <w:proofErr w:type="spellStart"/>
            <w:proofErr w:type="gramStart"/>
            <w:r w:rsidRPr="0082781F">
              <w:rPr>
                <w:rFonts w:ascii="Calibri" w:hAnsi="Calibri" w:cs="Helvetica"/>
                <w:sz w:val="20"/>
                <w:szCs w:val="20"/>
                <w:lang w:val="en-US"/>
              </w:rPr>
              <w:t>careContactOrgUnit</w:t>
            </w:r>
            <w:r w:rsidRPr="0082781F">
              <w:rPr>
                <w:rFonts w:ascii="Calibri" w:hAnsi="Calibri" w:cs="Helvetica"/>
                <w:sz w:val="20"/>
                <w:szCs w:val="20"/>
                <w:lang w:val="en-US"/>
              </w:rPr>
              <w:t>.orgUnitName</w:t>
            </w:r>
            <w:proofErr w:type="spellEnd"/>
            <w:proofErr w:type="gramEnd"/>
            <w:r w:rsidRPr="0082781F">
              <w:rPr>
                <w:rFonts w:ascii="Calibri" w:hAnsi="Calibri" w:cs="Helvetica"/>
                <w:sz w:val="20"/>
                <w:szCs w:val="20"/>
                <w:lang w:val="en-US"/>
              </w:rPr>
              <w:t xml:space="preserve"> 0..1 till 1</w:t>
            </w:r>
            <w:proofErr w:type="gramStart"/>
            <w:r w:rsidRPr="0082781F">
              <w:rPr>
                <w:rFonts w:ascii="Calibri" w:hAnsi="Calibri" w:cs="Helvetica"/>
                <w:sz w:val="20"/>
                <w:szCs w:val="20"/>
                <w:lang w:val="en-US"/>
              </w:rPr>
              <w:t>..</w:t>
            </w:r>
            <w:proofErr w:type="gramEnd"/>
            <w:r w:rsidRPr="0082781F">
              <w:rPr>
                <w:rFonts w:ascii="Calibri" w:hAnsi="Calibri" w:cs="Helvetica"/>
                <w:sz w:val="20"/>
                <w:szCs w:val="20"/>
                <w:lang w:val="en-US"/>
              </w:rPr>
              <w:t>1</w:t>
            </w:r>
          </w:p>
        </w:tc>
        <w:tc>
          <w:tcPr>
            <w:tcW w:w="2126" w:type="dxa"/>
          </w:tcPr>
          <w:p w14:paraId="4B437E47" w14:textId="380F34DD" w:rsidR="0082781F" w:rsidRDefault="0082781F" w:rsidP="00FE2B3C">
            <w:pPr>
              <w:pStyle w:val="TableText"/>
            </w:pPr>
            <w:r>
              <w:t>Khaled Da</w:t>
            </w:r>
            <w:bookmarkStart w:id="0" w:name="_GoBack"/>
            <w:bookmarkEnd w:id="0"/>
            <w:r>
              <w:t>ham</w:t>
            </w:r>
          </w:p>
        </w:tc>
        <w:tc>
          <w:tcPr>
            <w:tcW w:w="1276" w:type="dxa"/>
          </w:tcPr>
          <w:p w14:paraId="77503877" w14:textId="77777777" w:rsidR="0082781F" w:rsidRPr="005B6C7F" w:rsidRDefault="0082781F" w:rsidP="00FE2B3C">
            <w:pPr>
              <w:pStyle w:val="TableText"/>
            </w:pPr>
          </w:p>
        </w:tc>
      </w:tr>
    </w:tbl>
    <w:p w14:paraId="2A423960" w14:textId="4424A045"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1E2D2C38" w14:textId="77777777" w:rsidR="00324A32" w:rsidRPr="00F228E8" w:rsidRDefault="00444E07">
      <w:pPr>
        <w:pStyle w:val="TOC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TOC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TOC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7635024"/>
      <w:bookmarkStart w:id="3" w:name="_Toc227659597"/>
      <w:bookmarkStart w:id="4" w:name="_Toc246696023"/>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13FFCE8F"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w:t>
      </w:r>
      <w:proofErr w:type="spellStart"/>
      <w:r w:rsidR="009B0F5D" w:rsidRPr="009B0F5D">
        <w:t>def</w:t>
      </w:r>
      <w:proofErr w:type="spellEnd"/>
      <w:r w:rsidR="009B0F5D" w:rsidRPr="009B0F5D">
        <w:t>: T-bok REV B)</w:t>
      </w:r>
      <w:r w:rsidR="00C51F47" w:rsidRPr="00BC5B0B">
        <w:t>.</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 xml:space="preserve">Maria Andersson, </w:t>
                            </w:r>
                            <w:proofErr w:type="spellStart"/>
                            <w:r>
                              <w:rPr>
                                <w:b/>
                                <w:i/>
                              </w:rPr>
                              <w:t>Mawell</w:t>
                            </w:r>
                            <w:proofErr w:type="spellEnd"/>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 xml:space="preserve">Johan </w:t>
                            </w:r>
                            <w:proofErr w:type="spellStart"/>
                            <w:r>
                              <w:rPr>
                                <w:b/>
                                <w:i/>
                              </w:rPr>
                              <w:t>Eltes</w:t>
                            </w:r>
                            <w:proofErr w:type="spellEnd"/>
                            <w:r>
                              <w:rPr>
                                <w:b/>
                                <w:i/>
                              </w:rPr>
                              <w:t>, Callista</w:t>
                            </w:r>
                          </w:p>
                          <w:p w14:paraId="5EBF459A" w14:textId="6ADE153E" w:rsidR="00431619" w:rsidRDefault="00431619"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431619" w:rsidRDefault="00431619"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431619" w:rsidRPr="00FE3AAD" w:rsidRDefault="00431619"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31619" w:rsidRDefault="00431619" w:rsidP="0008258C">
                            <w:pPr>
                              <w:pStyle w:val="Footer"/>
                              <w:rPr>
                                <w:b/>
                                <w:i/>
                              </w:rPr>
                            </w:pPr>
                            <w:r>
                              <w:rPr>
                                <w:b/>
                                <w:i/>
                              </w:rPr>
                              <w:t xml:space="preserve">Fredrik Ström, </w:t>
                            </w:r>
                            <w:proofErr w:type="spellStart"/>
                            <w:r>
                              <w:rPr>
                                <w:b/>
                                <w:i/>
                              </w:rPr>
                              <w:t>Mawell</w:t>
                            </w:r>
                            <w:proofErr w:type="spellEnd"/>
                          </w:p>
                          <w:p w14:paraId="04BC96A1" w14:textId="51EB4D3E" w:rsidR="00431619" w:rsidRDefault="00431619"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 xml:space="preserve">Maria Andersson, </w:t>
                      </w:r>
                      <w:proofErr w:type="spellStart"/>
                      <w:r>
                        <w:rPr>
                          <w:b/>
                          <w:i/>
                        </w:rPr>
                        <w:t>Mawell</w:t>
                      </w:r>
                      <w:proofErr w:type="spellEnd"/>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 xml:space="preserve">Johan </w:t>
                      </w:r>
                      <w:proofErr w:type="spellStart"/>
                      <w:r>
                        <w:rPr>
                          <w:b/>
                          <w:i/>
                        </w:rPr>
                        <w:t>Eltes</w:t>
                      </w:r>
                      <w:proofErr w:type="spellEnd"/>
                      <w:r>
                        <w:rPr>
                          <w:b/>
                          <w:i/>
                        </w:rPr>
                        <w:t>, Callista</w:t>
                      </w:r>
                    </w:p>
                    <w:p w14:paraId="5EBF459A" w14:textId="6ADE153E" w:rsidR="00431619" w:rsidRDefault="00431619"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431619" w:rsidRDefault="00431619"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431619" w:rsidRPr="00FE3AAD" w:rsidRDefault="00431619"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31619" w:rsidRDefault="00431619" w:rsidP="0008258C">
                      <w:pPr>
                        <w:pStyle w:val="Footer"/>
                        <w:rPr>
                          <w:b/>
                          <w:i/>
                        </w:rPr>
                      </w:pPr>
                      <w:r>
                        <w:rPr>
                          <w:b/>
                          <w:i/>
                        </w:rPr>
                        <w:t xml:space="preserve">Fredrik Ström, </w:t>
                      </w:r>
                      <w:proofErr w:type="spellStart"/>
                      <w:r>
                        <w:rPr>
                          <w:b/>
                          <w:i/>
                        </w:rPr>
                        <w:t>Mawell</w:t>
                      </w:r>
                      <w:proofErr w:type="spellEnd"/>
                    </w:p>
                    <w:p w14:paraId="04BC96A1" w14:textId="51EB4D3E" w:rsidR="00431619" w:rsidRDefault="00431619"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Heading1"/>
        <w:numPr>
          <w:ilvl w:val="0"/>
          <w:numId w:val="1"/>
        </w:numPr>
        <w:tabs>
          <w:tab w:val="left" w:pos="1299"/>
        </w:tabs>
        <w:rPr>
          <w:b w:val="0"/>
          <w:bCs w:val="0"/>
        </w:rPr>
      </w:pPr>
      <w:bookmarkStart w:id="5" w:name="_Toc219337763"/>
      <w:bookmarkStart w:id="6" w:name="_Toc229537036"/>
      <w:bookmarkStart w:id="7" w:name="_Toc246696024"/>
      <w:r w:rsidRPr="00BC5B0B">
        <w:t>Tjänstedomänens arkitektur</w:t>
      </w:r>
      <w:bookmarkEnd w:id="5"/>
      <w:bookmarkEnd w:id="6"/>
      <w:bookmarkEnd w:id="7"/>
    </w:p>
    <w:p w14:paraId="5F457821" w14:textId="77777777" w:rsidR="00074256" w:rsidRPr="00BC5B0B" w:rsidRDefault="00074256" w:rsidP="00074256">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6696025"/>
      <w:r w:rsidRPr="00660DFA">
        <w:t>Övergripande</w:t>
      </w:r>
      <w:bookmarkEnd w:id="8"/>
      <w:bookmarkEnd w:id="9"/>
      <w:bookmarkEnd w:id="10"/>
    </w:p>
    <w:p w14:paraId="336A1361" w14:textId="77777777" w:rsidR="00074256" w:rsidRPr="00BC5B0B" w:rsidRDefault="00074256" w:rsidP="00074256">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w:t>
      </w:r>
      <w:proofErr w:type="spellStart"/>
      <w:r>
        <w:t>engagemangsindex</w:t>
      </w:r>
      <w:proofErr w:type="spellEnd"/>
      <w:r>
        <w:t xml:space="preserve">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odyText"/>
        <w:ind w:right="119"/>
      </w:pPr>
    </w:p>
    <w:p w14:paraId="5E6105D1" w14:textId="77777777" w:rsidR="00074256" w:rsidRDefault="00074256" w:rsidP="00074256">
      <w:pPr>
        <w:pStyle w:val="BodyText"/>
        <w:ind w:right="119"/>
      </w:pPr>
      <w:r>
        <w:t>Tjänstedomänen</w:t>
      </w:r>
      <w:r w:rsidRPr="00BC5B0B">
        <w:t xml:space="preserve"> förutsätter en </w:t>
      </w:r>
      <w:proofErr w:type="spellStart"/>
      <w:r w:rsidRPr="00BC5B0B">
        <w:t>aggregeringsplattform</w:t>
      </w:r>
      <w:proofErr w:type="spellEnd"/>
      <w:r w:rsidRPr="00BC5B0B">
        <w:t xml:space="preserve"> motsvarande den som beskrivs i T-boken, REV B. </w:t>
      </w:r>
      <w:r>
        <w:t xml:space="preserve">Tjänstedomänen förutsätter också användning av </w:t>
      </w:r>
      <w:proofErr w:type="spellStart"/>
      <w:r>
        <w:t>engagemangsindex</w:t>
      </w:r>
      <w:proofErr w:type="spellEnd"/>
      <w:r>
        <w:t xml:space="preserve"> på nationell nivå. Behovet av ett regionalt </w:t>
      </w:r>
      <w:proofErr w:type="spellStart"/>
      <w:r>
        <w:t>engagemangsindex</w:t>
      </w:r>
      <w:proofErr w:type="spellEnd"/>
      <w:r>
        <w:t xml:space="preserve">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odyText"/>
        <w:ind w:right="119"/>
      </w:pPr>
    </w:p>
    <w:p w14:paraId="02529064" w14:textId="77777777" w:rsidR="00074256" w:rsidRDefault="00074256" w:rsidP="00074256">
      <w:pPr>
        <w:pStyle w:val="Body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odyText"/>
        <w:ind w:right="119"/>
      </w:pPr>
    </w:p>
    <w:p w14:paraId="478B112F" w14:textId="1A5749B0" w:rsidR="00074256" w:rsidRDefault="003E6B08" w:rsidP="00074256">
      <w:pPr>
        <w:pStyle w:val="BodyText"/>
        <w:ind w:right="119"/>
      </w:pPr>
      <w:r w:rsidRPr="003E6B08">
        <w:rPr>
          <w:rFonts w:cs="Times New Roman"/>
          <w:noProof/>
          <w:lang w:val="en-US"/>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odyText"/>
        <w:ind w:right="119"/>
      </w:pPr>
    </w:p>
    <w:p w14:paraId="6A024691" w14:textId="77777777" w:rsidR="00074256" w:rsidRPr="00E546AE" w:rsidRDefault="00074256" w:rsidP="00074256">
      <w:pPr>
        <w:pStyle w:val="BodyText"/>
        <w:ind w:right="119"/>
        <w:rPr>
          <w:i/>
        </w:rPr>
      </w:pPr>
      <w:r w:rsidRPr="00E546AE">
        <w:rPr>
          <w:i/>
        </w:rPr>
        <w:t>Figur: Direktåtkomst inom sammanhållen journalföring</w:t>
      </w:r>
    </w:p>
    <w:p w14:paraId="745A28F3" w14:textId="77777777" w:rsidR="00074256" w:rsidRDefault="00074256" w:rsidP="00074256">
      <w:pPr>
        <w:pStyle w:val="BodyText"/>
        <w:ind w:right="119"/>
      </w:pPr>
    </w:p>
    <w:p w14:paraId="41E1F148" w14:textId="2E1122B2" w:rsidR="00074256" w:rsidRDefault="003E6B08" w:rsidP="00074256">
      <w:pPr>
        <w:pStyle w:val="BodyText"/>
        <w:ind w:right="119"/>
      </w:pPr>
      <w:r>
        <w:rPr>
          <w:noProof/>
          <w:lang w:val="en-US"/>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ody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odyText"/>
        <w:ind w:right="119"/>
      </w:pPr>
    </w:p>
    <w:p w14:paraId="7DE976A5" w14:textId="77777777" w:rsidR="00074256" w:rsidRDefault="00074256" w:rsidP="00074256">
      <w:pPr>
        <w:pStyle w:val="Body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6696026"/>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odyText"/>
        <w:ind w:right="119"/>
      </w:pPr>
      <w:r w:rsidRPr="00FD2A8E">
        <w:t>Vid nationell anv</w:t>
      </w:r>
      <w:r>
        <w:t xml:space="preserve">ändning av tjänstekontrakten (d.v.s. tjänstekonsumenter som begär information från alla tjänsteproducenter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odyText"/>
        <w:ind w:right="119"/>
      </w:pPr>
    </w:p>
    <w:p w14:paraId="35E70358" w14:textId="77777777" w:rsidR="00074256" w:rsidRDefault="00074256" w:rsidP="00074256">
      <w:pPr>
        <w:pStyle w:val="BodyText"/>
        <w:ind w:right="119"/>
      </w:pPr>
      <w:r>
        <w:t>A: Direktanslutning av källsystem: Källsystemet är anslutningspunkten till gemensamma tjänsteplattformen</w:t>
      </w:r>
    </w:p>
    <w:p w14:paraId="7A782826" w14:textId="77777777" w:rsidR="00074256" w:rsidRDefault="00074256" w:rsidP="00074256">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ody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odyText"/>
        <w:ind w:right="119"/>
      </w:pPr>
      <w:r>
        <w:t xml:space="preserve"> </w:t>
      </w:r>
    </w:p>
    <w:p w14:paraId="15FB4B98" w14:textId="77777777" w:rsidR="00074256" w:rsidRDefault="00074256" w:rsidP="00074256">
      <w:pPr>
        <w:pStyle w:val="BodyText"/>
        <w:ind w:right="119"/>
      </w:pPr>
      <w:r>
        <w:t>Modellerna illustreras nedan (från höger till vänster):</w:t>
      </w:r>
    </w:p>
    <w:p w14:paraId="648FB2CD" w14:textId="77777777" w:rsidR="00074256" w:rsidRDefault="00074256" w:rsidP="00074256">
      <w:pPr>
        <w:pStyle w:val="BodyText"/>
        <w:ind w:right="119"/>
      </w:pPr>
      <w:r>
        <w:rPr>
          <w:noProof/>
          <w:lang w:val="en-US"/>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odyText"/>
        <w:ind w:right="119"/>
        <w:rPr>
          <w:i/>
        </w:rPr>
      </w:pPr>
      <w:r w:rsidRPr="009410DD">
        <w:rPr>
          <w:i/>
        </w:rPr>
        <w:t xml:space="preserve">Figur: Olika modeller för anslutning av källsystem. </w:t>
      </w:r>
    </w:p>
    <w:p w14:paraId="4B45B5B1" w14:textId="77777777" w:rsidR="00074256" w:rsidRDefault="00074256" w:rsidP="00074256">
      <w:pPr>
        <w:pStyle w:val="BodyText"/>
        <w:ind w:right="119"/>
      </w:pPr>
    </w:p>
    <w:p w14:paraId="4C58197F" w14:textId="77777777" w:rsidR="00074256" w:rsidRDefault="00074256" w:rsidP="00074256">
      <w:pPr>
        <w:pStyle w:val="BodyText"/>
        <w:ind w:right="119"/>
      </w:pPr>
      <w:r>
        <w:t>Anslutningsmodellerna förutsätter att…</w:t>
      </w:r>
    </w:p>
    <w:p w14:paraId="6AD700F0" w14:textId="77777777" w:rsidR="00074256" w:rsidRDefault="00074256" w:rsidP="00074256">
      <w:pPr>
        <w:pStyle w:val="BodyText"/>
        <w:numPr>
          <w:ilvl w:val="0"/>
          <w:numId w:val="4"/>
        </w:numPr>
        <w:ind w:right="119"/>
      </w:pPr>
      <w:r>
        <w:t xml:space="preserve">vårdsystemen uppdaterar nationellt </w:t>
      </w:r>
      <w:proofErr w:type="spellStart"/>
      <w:r>
        <w:t>engagemangsindex</w:t>
      </w:r>
      <w:proofErr w:type="spellEnd"/>
      <w:r>
        <w:t xml:space="preserve"> – direkt eller indirekt via regionalt index. </w:t>
      </w:r>
      <w:proofErr w:type="spellStart"/>
      <w:r>
        <w:t>Källsystemets</w:t>
      </w:r>
      <w:proofErr w:type="spellEnd"/>
      <w:r>
        <w:t xml:space="preserve"> HSA-id anges i engagemangsposten jämte övrig info enligt beskrivning i särskilt avsnitt under regelverk</w:t>
      </w:r>
    </w:p>
    <w:p w14:paraId="554BF54A" w14:textId="77777777" w:rsidR="00074256" w:rsidRDefault="00074256" w:rsidP="00074256">
      <w:pPr>
        <w:pStyle w:val="Body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5E0E0CB2" w14:textId="77777777" w:rsidR="00074256" w:rsidRPr="00FD2A8E" w:rsidRDefault="00074256" w:rsidP="00074256">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ody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6696027"/>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odyText"/>
        <w:ind w:right="119"/>
      </w:pPr>
      <w:r>
        <w:t xml:space="preserve">Regional användning innebär att tjänstekonsumenten är regional (R-K) och begär </w:t>
      </w:r>
      <w:r>
        <w:lastRenderedPageBreak/>
        <w:t xml:space="preserve">information från alla producenter i regionen, avseende ett visst tjänstekontrakt inom tjänstedomänen. Det innebär att regionen behöver utföra regional </w:t>
      </w:r>
      <w:proofErr w:type="spellStart"/>
      <w:r>
        <w:t>aggregering</w:t>
      </w:r>
      <w:proofErr w:type="spellEnd"/>
      <w:r>
        <w:t xml:space="preserve">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odyText"/>
        <w:ind w:right="119"/>
      </w:pPr>
      <w:r>
        <w:rPr>
          <w:noProof/>
          <w:lang w:val="en-US"/>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ody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6696028"/>
      <w:r w:rsidRPr="00660DFA">
        <w:t>Adresseringsmodell</w:t>
      </w:r>
      <w:bookmarkEnd w:id="19"/>
      <w:bookmarkEnd w:id="20"/>
      <w:bookmarkEnd w:id="21"/>
      <w:bookmarkEnd w:id="22"/>
    </w:p>
    <w:p w14:paraId="28A94156" w14:textId="50E580B6" w:rsidR="00074256" w:rsidRDefault="00074256" w:rsidP="00916805">
      <w:pPr>
        <w:pStyle w:val="BodyText"/>
      </w:pPr>
      <w:r>
        <w:t xml:space="preserve">Tjänstedomänen tillämpar system-adressering. Observera att tjänstekonsumenter främst anropar aggregerande tjänster. </w:t>
      </w:r>
      <w:r w:rsidR="00916805" w:rsidRPr="00916805">
        <w:t xml:space="preserve">Tjänstekonsumenten adresserar därför den aggregerande </w:t>
      </w:r>
      <w:proofErr w:type="spellStart"/>
      <w:r w:rsidR="00916805" w:rsidRPr="00916805">
        <w:t>tjänsten</w:t>
      </w:r>
      <w:r>
        <w:t>med</w:t>
      </w:r>
      <w:proofErr w:type="spellEnd"/>
      <w:r>
        <w:t xml:space="preserve"> antingen nationellt HSA-id (</w:t>
      </w:r>
      <w:proofErr w:type="spellStart"/>
      <w:r>
        <w:t>Ineras</w:t>
      </w:r>
      <w:proofErr w:type="spellEnd"/>
      <w:r>
        <w:t xml:space="preserve"> HSA-id) eller HSA-id för aktuell huvudman om det är en regional/huvudmanna-specifik (t.</w:t>
      </w:r>
      <w:proofErr w:type="gramStart"/>
      <w:r>
        <w:t xml:space="preserve">ex. </w:t>
      </w:r>
      <w:r w:rsidR="00916805">
        <w:t xml:space="preserve"> </w:t>
      </w:r>
      <w:r>
        <w:t>”regional</w:t>
      </w:r>
      <w:proofErr w:type="gramEnd"/>
      <w:r>
        <w:t xml:space="preserve">”) aggregerande tjänst som ska adresseras. </w:t>
      </w:r>
    </w:p>
    <w:p w14:paraId="003C373E" w14:textId="77777777" w:rsidR="00074256" w:rsidRDefault="00074256" w:rsidP="00074256">
      <w:pPr>
        <w:pStyle w:val="BodyText"/>
        <w:ind w:right="119"/>
      </w:pPr>
    </w:p>
    <w:p w14:paraId="3B6CC61C" w14:textId="1C89AB45" w:rsidR="00074256" w:rsidRDefault="00E85323" w:rsidP="00074256">
      <w:pPr>
        <w:pStyle w:val="BodyText"/>
        <w:ind w:right="119"/>
      </w:pPr>
      <w:r>
        <w:t xml:space="preserve">Det finns också fall då en tjänstekonsument adresserar ett källsystem. Det förutsätter att tjänstekonsumenten känner till </w:t>
      </w:r>
      <w:proofErr w:type="spellStart"/>
      <w:r>
        <w:t>källsystemets</w:t>
      </w:r>
      <w:proofErr w:type="spellEnd"/>
      <w:r>
        <w:t xml:space="preserve"> HSA. Det sker genom att ett sådant anrop föregås av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är producent för Engagemangsindex </w:t>
      </w:r>
      <w:proofErr w:type="gramStart"/>
      <w:r>
        <w:t>notifieringskontrakt</w:t>
      </w:r>
      <w:proofErr w:type="gramEnd"/>
      <w:r>
        <w:t xml:space="preserve"> (ProcessNotification). </w:t>
      </w:r>
      <w:proofErr w:type="gramStart"/>
      <w:r>
        <w:t>Notifieringen</w:t>
      </w:r>
      <w:proofErr w:type="gramEnd"/>
      <w:r>
        <w:t xml:space="preserve"> innehåller information om en händelse rörande en patients information i ett specifikt källsystem. Genom att använda informationen om </w:t>
      </w:r>
      <w:proofErr w:type="spellStart"/>
      <w:r>
        <w:t>källsystemets</w:t>
      </w:r>
      <w:proofErr w:type="spellEnd"/>
      <w:r>
        <w:t xml:space="preserve">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odyText"/>
        <w:ind w:right="119"/>
      </w:pPr>
    </w:p>
    <w:p w14:paraId="29B8A9F6" w14:textId="77777777" w:rsidR="00074256" w:rsidRDefault="00074256" w:rsidP="00074256">
      <w:pPr>
        <w:pStyle w:val="BodyText"/>
        <w:ind w:right="119"/>
      </w:pPr>
      <w:r>
        <w:t xml:space="preserve">Följande figur illustrerar adressering av aggregerande tjänst genom ett exempel. Det är alltid </w:t>
      </w:r>
      <w:proofErr w:type="spellStart"/>
      <w:r>
        <w:t>källsystemets</w:t>
      </w:r>
      <w:proofErr w:type="spellEnd"/>
      <w:r>
        <w:t xml:space="preserve">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odyText"/>
        <w:ind w:right="119"/>
      </w:pPr>
    </w:p>
    <w:p w14:paraId="075879BD" w14:textId="77777777" w:rsidR="00074256" w:rsidRPr="00194355" w:rsidRDefault="00074256" w:rsidP="00074256">
      <w:pPr>
        <w:pStyle w:val="Rubrik3b"/>
      </w:pPr>
      <w:bookmarkStart w:id="23" w:name="_Toc219337768"/>
      <w:bookmarkStart w:id="24" w:name="_Toc227077989"/>
      <w:bookmarkStart w:id="25" w:name="_Toc246696029"/>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odyText"/>
      </w:pPr>
    </w:p>
    <w:p w14:paraId="6A0B7D84" w14:textId="77777777" w:rsidR="00074256" w:rsidRDefault="00074256" w:rsidP="00074256">
      <w:pPr>
        <w:pStyle w:val="BodyText"/>
        <w:ind w:right="119"/>
      </w:pPr>
      <w:r>
        <w:rPr>
          <w:noProof/>
          <w:lang w:val="en-US"/>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odyText"/>
        <w:ind w:right="119"/>
        <w:rPr>
          <w:i/>
        </w:rPr>
      </w:pPr>
      <w:r w:rsidRPr="00A745DC">
        <w:rPr>
          <w:i/>
        </w:rPr>
        <w:t>Figur: Adressering vid anrop till nationell aggregerande tjänst (t.ex. från Mi</w:t>
      </w:r>
      <w:r>
        <w:rPr>
          <w:i/>
        </w:rPr>
        <w:t xml:space="preserve">na vårdkontakter eller </w:t>
      </w:r>
      <w:proofErr w:type="spellStart"/>
      <w:r>
        <w:rPr>
          <w:i/>
        </w:rPr>
        <w:t>NPÖ</w:t>
      </w:r>
      <w:proofErr w:type="spellEnd"/>
      <w:r>
        <w:rPr>
          <w:i/>
        </w:rPr>
        <w:t>-till</w:t>
      </w:r>
      <w:r w:rsidRPr="00A745DC">
        <w:rPr>
          <w:i/>
        </w:rPr>
        <w:t>ämpningen)</w:t>
      </w:r>
    </w:p>
    <w:p w14:paraId="55137C0A" w14:textId="77777777" w:rsidR="00074256" w:rsidRDefault="00074256" w:rsidP="00074256">
      <w:pPr>
        <w:pStyle w:val="BodyText"/>
        <w:ind w:right="119"/>
      </w:pPr>
    </w:p>
    <w:p w14:paraId="678A664B" w14:textId="77777777" w:rsidR="00074256" w:rsidRDefault="00074256" w:rsidP="00074256">
      <w:pPr>
        <w:pStyle w:val="Rubrik3b"/>
      </w:pPr>
      <w:bookmarkStart w:id="26" w:name="_Toc219337769"/>
      <w:bookmarkStart w:id="27" w:name="_Toc227077990"/>
      <w:bookmarkStart w:id="28" w:name="_Toc246696030"/>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odyText"/>
      </w:pPr>
      <w:r>
        <w:rPr>
          <w:noProof/>
          <w:lang w:val="en-US"/>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odyText"/>
        <w:ind w:right="119"/>
        <w:rPr>
          <w:i/>
        </w:rPr>
      </w:pPr>
    </w:p>
    <w:p w14:paraId="63AE168A" w14:textId="77777777" w:rsidR="00074256" w:rsidRDefault="00074256" w:rsidP="00074256">
      <w:pPr>
        <w:pStyle w:val="Rubrik3b"/>
      </w:pPr>
      <w:bookmarkStart w:id="29" w:name="_Toc227077991"/>
      <w:bookmarkStart w:id="30" w:name="_Toc246696031"/>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ody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HSA-id och vårdkontaktens HSA-id är känt, t.ex. genom att informationen finns i sökresultatet från något av tjänstekontrakten för journalhistorik (t.ex. tjänstekontrakt i domänen </w:t>
      </w:r>
      <w:proofErr w:type="gramStart"/>
      <w:r>
        <w:lastRenderedPageBreak/>
        <w:t>riv:clinicalprocess</w:t>
      </w:r>
      <w:proofErr w:type="gramEnd"/>
      <w:r>
        <w:t>:healthcond:description).</w:t>
      </w:r>
    </w:p>
    <w:p w14:paraId="11C0EB35" w14:textId="77777777" w:rsidR="00FB0922" w:rsidRDefault="00FB0922" w:rsidP="00074256">
      <w:pPr>
        <w:pStyle w:val="BodyText"/>
        <w:ind w:right="119"/>
        <w:rPr>
          <w:i/>
        </w:rPr>
      </w:pPr>
    </w:p>
    <w:p w14:paraId="4237FCEB" w14:textId="0C2A3C67" w:rsidR="00074256" w:rsidRDefault="00074256" w:rsidP="00074256">
      <w:pPr>
        <w:pStyle w:val="BodyText"/>
        <w:rPr>
          <w:i/>
        </w:rPr>
      </w:pPr>
      <w:r w:rsidRPr="00A01E1F">
        <w:t xml:space="preserve">Eftersom anropet i </w:t>
      </w:r>
      <w:r w:rsidR="00E0270B">
        <w:t>dessa</w:t>
      </w:r>
      <w:r w:rsidRPr="00A01E1F">
        <w:t xml:space="preserve"> fall sker direkt mot virtuell tjänst, sker adressering med </w:t>
      </w:r>
      <w:proofErr w:type="spellStart"/>
      <w:r w:rsidRPr="00A01E1F">
        <w:t>källsystemets</w:t>
      </w:r>
      <w:proofErr w:type="spellEnd"/>
      <w:r w:rsidRPr="00A01E1F">
        <w:t xml:space="preserve"> HSA-id direkt från tjänsteko</w:t>
      </w:r>
      <w:r>
        <w:t xml:space="preserve">nsumenten. Detta beskrivs i figuren nedan. </w:t>
      </w:r>
    </w:p>
    <w:p w14:paraId="78EEA201" w14:textId="77777777" w:rsidR="00074256" w:rsidRDefault="00074256" w:rsidP="00074256">
      <w:pPr>
        <w:pStyle w:val="BodyText"/>
        <w:ind w:right="119"/>
        <w:rPr>
          <w:i/>
        </w:rPr>
      </w:pPr>
      <w:r>
        <w:rPr>
          <w:i/>
          <w:noProof/>
          <w:lang w:val="en-US"/>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ody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odyText"/>
        <w:ind w:right="119"/>
        <w:rPr>
          <w:i/>
        </w:rPr>
      </w:pPr>
    </w:p>
    <w:p w14:paraId="0C444A74" w14:textId="77777777" w:rsidR="00074256" w:rsidRDefault="00074256" w:rsidP="00074256">
      <w:pPr>
        <w:pStyle w:val="Rubrik3b"/>
      </w:pPr>
      <w:bookmarkStart w:id="31" w:name="_Toc227077992"/>
      <w:bookmarkStart w:id="32" w:name="_Toc246696032"/>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odyText"/>
      </w:pPr>
    </w:p>
    <w:tbl>
      <w:tblPr>
        <w:tblStyle w:val="TableGrid"/>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ody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ody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odyText"/>
              <w:ind w:left="0"/>
            </w:pPr>
            <w:r>
              <w:t>För alla huvudmän</w:t>
            </w:r>
          </w:p>
        </w:tc>
        <w:tc>
          <w:tcPr>
            <w:tcW w:w="3544" w:type="dxa"/>
          </w:tcPr>
          <w:p w14:paraId="1FF26079" w14:textId="77777777" w:rsidR="00074256" w:rsidRDefault="00074256" w:rsidP="003658DE">
            <w:pPr>
              <w:pStyle w:val="BodyText"/>
              <w:ind w:left="0"/>
            </w:pPr>
            <w:proofErr w:type="spellStart"/>
            <w:r>
              <w:t>Ineras</w:t>
            </w:r>
            <w:proofErr w:type="spellEnd"/>
            <w:r>
              <w:t xml:space="preserve"> HSA-id</w:t>
            </w:r>
          </w:p>
        </w:tc>
      </w:tr>
      <w:tr w:rsidR="00074256" w14:paraId="251F6DCB" w14:textId="77777777" w:rsidTr="003658DE">
        <w:tc>
          <w:tcPr>
            <w:tcW w:w="3210" w:type="dxa"/>
          </w:tcPr>
          <w:p w14:paraId="30D40136" w14:textId="77777777" w:rsidR="00074256" w:rsidRDefault="00074256" w:rsidP="003658DE">
            <w:pPr>
              <w:pStyle w:val="BodyText"/>
              <w:ind w:left="0"/>
            </w:pPr>
            <w:r>
              <w:t>För en huvudman/region</w:t>
            </w:r>
          </w:p>
        </w:tc>
        <w:tc>
          <w:tcPr>
            <w:tcW w:w="3544" w:type="dxa"/>
          </w:tcPr>
          <w:p w14:paraId="503F3D4C" w14:textId="77777777" w:rsidR="00074256" w:rsidRDefault="00074256" w:rsidP="003658DE">
            <w:pPr>
              <w:pStyle w:val="Body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odyText"/>
              <w:ind w:left="0"/>
            </w:pPr>
            <w:r>
              <w:t>För ett källsystem</w:t>
            </w:r>
          </w:p>
        </w:tc>
        <w:tc>
          <w:tcPr>
            <w:tcW w:w="3544" w:type="dxa"/>
          </w:tcPr>
          <w:p w14:paraId="0FE06D74" w14:textId="77777777" w:rsidR="00074256" w:rsidRDefault="00074256" w:rsidP="003658DE">
            <w:pPr>
              <w:pStyle w:val="BodyText"/>
              <w:ind w:left="0"/>
            </w:pPr>
            <w:proofErr w:type="spellStart"/>
            <w:r>
              <w:t>Källsystemets</w:t>
            </w:r>
            <w:proofErr w:type="spellEnd"/>
            <w:r>
              <w:t xml:space="preserve"> HSA-id</w:t>
            </w:r>
          </w:p>
        </w:tc>
      </w:tr>
    </w:tbl>
    <w:p w14:paraId="6AA1A9BE" w14:textId="77777777" w:rsidR="00074256" w:rsidRPr="00A745DC" w:rsidRDefault="00074256" w:rsidP="00074256">
      <w:pPr>
        <w:pStyle w:val="Body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6696033"/>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ody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w:t>
      </w:r>
      <w:proofErr w:type="spellStart"/>
      <w:r>
        <w:t>engagemangsindex</w:t>
      </w:r>
      <w:proofErr w:type="spellEnd"/>
      <w:r>
        <w:t>, vidarebefordrar frågan till de källsystem som har information om patienten.</w:t>
      </w:r>
    </w:p>
    <w:p w14:paraId="76A1444D" w14:textId="77777777" w:rsidR="00074256" w:rsidRPr="00BC5B0B" w:rsidRDefault="00074256" w:rsidP="00074256">
      <w:pPr>
        <w:pStyle w:val="Body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6696034"/>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6696035"/>
      <w:r>
        <w:t xml:space="preserve">Medarbetarens </w:t>
      </w:r>
      <w:r w:rsidRPr="004F0149">
        <w:t>direktåtkomst</w:t>
      </w:r>
      <w:bookmarkEnd w:id="40"/>
      <w:bookmarkEnd w:id="41"/>
      <w:bookmarkEnd w:id="42"/>
    </w:p>
    <w:p w14:paraId="6FB66B79" w14:textId="5256AB5F" w:rsidR="00074256" w:rsidRDefault="00074256" w:rsidP="00074256">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odyText"/>
        <w:ind w:right="119"/>
      </w:pPr>
    </w:p>
    <w:p w14:paraId="4D5F4B5D" w14:textId="4ECDCD8C" w:rsidR="00074256" w:rsidRDefault="00074256" w:rsidP="00074256">
      <w:pPr>
        <w:pStyle w:val="BodyText"/>
        <w:ind w:right="119"/>
      </w:pPr>
      <w:r>
        <w:t>Patientdatalagen ställer också krav (via dess tolkning ”</w:t>
      </w:r>
      <w:proofErr w:type="spellStart"/>
      <w:r>
        <w:t>PDL</w:t>
      </w:r>
      <w:proofErr w:type="spellEnd"/>
      <w:r>
        <w:t>-i-praktiken”) på att medarbetaren är starkt autentiserad om medarbetarens inloggning sker i nät som delas med flera vårdgivare och att uppdragsval görs i samband med autentisering (</w:t>
      </w:r>
      <w:r w:rsidR="00333C0F">
        <w:t>vårdenhet</w:t>
      </w:r>
      <w:r>
        <w:t xml:space="preserve">).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odyText"/>
        <w:ind w:right="119"/>
      </w:pPr>
    </w:p>
    <w:p w14:paraId="7E98C044" w14:textId="77777777" w:rsidR="00074256" w:rsidRDefault="00074256" w:rsidP="00074256">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6696036"/>
      <w:r w:rsidRPr="00916805">
        <w:t>Patientens direktåtkomst</w:t>
      </w:r>
      <w:bookmarkEnd w:id="43"/>
      <w:bookmarkEnd w:id="44"/>
      <w:bookmarkEnd w:id="45"/>
      <w:bookmarkEnd w:id="46"/>
    </w:p>
    <w:p w14:paraId="4E14B558" w14:textId="77777777" w:rsidR="00074256" w:rsidRPr="00EF4A67" w:rsidRDefault="00074256" w:rsidP="00074256">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6696037"/>
      <w:r w:rsidRPr="004F0149">
        <w:t>Generellt</w:t>
      </w:r>
      <w:bookmarkEnd w:id="47"/>
      <w:bookmarkEnd w:id="48"/>
      <w:bookmarkEnd w:id="49"/>
    </w:p>
    <w:p w14:paraId="7289E800" w14:textId="67AB5FA7" w:rsidR="00074256" w:rsidRDefault="00074256" w:rsidP="00074256">
      <w:pPr>
        <w:pStyle w:val="Body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ody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6696038"/>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odyText"/>
        <w:ind w:right="119"/>
      </w:pPr>
      <w:r w:rsidRPr="000A0525">
        <w:t xml:space="preserve">Tjänsterna, som beskrivs nedan, returnerar 0, 1 eller flera instanser av tjänstespecifik patientbunden information i form av dokument.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odyText"/>
        <w:ind w:right="119"/>
      </w:pPr>
    </w:p>
    <w:p w14:paraId="10F33464" w14:textId="77777777" w:rsidR="00074256" w:rsidRPr="000A0525" w:rsidRDefault="00074256" w:rsidP="00074256">
      <w:pPr>
        <w:pStyle w:val="BodyText"/>
        <w:ind w:right="119"/>
      </w:pPr>
      <w:r>
        <w:t>Ett dokument motsvarar den information som täcks av en signatur (oavsett om signaturen ännu gjorts).</w:t>
      </w:r>
    </w:p>
    <w:p w14:paraId="5D2DA962" w14:textId="77777777" w:rsidR="00074256" w:rsidRDefault="00074256" w:rsidP="00074256">
      <w:pPr>
        <w:pStyle w:val="BodyText"/>
        <w:ind w:right="119"/>
      </w:pPr>
    </w:p>
    <w:p w14:paraId="742E4904" w14:textId="2FFF3358" w:rsidR="00074256" w:rsidRDefault="00074256" w:rsidP="00314A32">
      <w:pPr>
        <w:pStyle w:val="Body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54" w:name="_Toc219337775"/>
      <w:bookmarkStart w:id="55" w:name="_Toc227635040"/>
      <w:bookmarkStart w:id="56" w:name="_Toc227659613"/>
      <w:bookmarkStart w:id="57"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6696040"/>
      <w:r>
        <w:t xml:space="preserve">Uppdatering av </w:t>
      </w:r>
      <w:proofErr w:type="spellStart"/>
      <w:r>
        <w:t>engagemangsindex</w:t>
      </w:r>
      <w:bookmarkEnd w:id="58"/>
      <w:bookmarkEnd w:id="59"/>
      <w:bookmarkEnd w:id="60"/>
      <w:bookmarkEnd w:id="61"/>
      <w:proofErr w:type="spellEnd"/>
    </w:p>
    <w:p w14:paraId="31DC6EA3" w14:textId="77777777" w:rsidR="00852BED" w:rsidRDefault="00852BED" w:rsidP="00852BED">
      <w:pPr>
        <w:pStyle w:val="BodyText"/>
      </w:pPr>
      <w:r>
        <w:lastRenderedPageBreak/>
        <w:t xml:space="preserve">Alla källsystem ska uppdatera </w:t>
      </w:r>
      <w:proofErr w:type="spellStart"/>
      <w:r>
        <w:t>engagemangsindex</w:t>
      </w:r>
      <w:proofErr w:type="spellEnd"/>
      <w:r>
        <w:t>.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w:t>
      </w:r>
      <w:proofErr w:type="spellStart"/>
      <w:r>
        <w:t>engagemangsindex</w:t>
      </w:r>
      <w:proofErr w:type="spellEnd"/>
      <w:r>
        <w:t xml:space="preserve"> sker genom att källsystemet anropar </w:t>
      </w:r>
      <w:proofErr w:type="spellStart"/>
      <w:r>
        <w:t>engagemangsindex</w:t>
      </w:r>
      <w:proofErr w:type="spellEnd"/>
      <w:r>
        <w:t xml:space="preserve"> genom tjänstekontraktet </w:t>
      </w:r>
      <w:proofErr w:type="gramStart"/>
      <w:r>
        <w:t>urn:riv</w:t>
      </w:r>
      <w:proofErr w:type="gramEnd"/>
      <w:r>
        <w:t xml:space="preserve">:itintegration:engagementindex:UpdateResponder:1 (”index-push”) eller genom att erbjuda </w:t>
      </w:r>
      <w:r w:rsidR="005516F8">
        <w:t xml:space="preserve">tjänsteproducent för </w:t>
      </w:r>
      <w:r>
        <w:t xml:space="preserve">tjänstekontraktet urn:riv:itintegration:engagementindex:GetUpdatesResponder:1 (”index-pull”). Ladda hem Engagemangsindex </w:t>
      </w:r>
      <w:proofErr w:type="spellStart"/>
      <w:r>
        <w:t>WSDL</w:t>
      </w:r>
      <w:proofErr w:type="spellEnd"/>
      <w:r>
        <w:t>,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 xml:space="preserve">Följande regler gäller för innehållet i begäran till </w:t>
      </w:r>
      <w:proofErr w:type="spellStart"/>
      <w:r>
        <w:t>engagemangsindex</w:t>
      </w:r>
      <w:proofErr w:type="spellEnd"/>
      <w:r>
        <w:t xml:space="preserve">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ody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proofErr w:type="spellStart"/>
            <w:r w:rsidRPr="00B7745E">
              <w:t>URN</w:t>
            </w:r>
            <w:proofErr w:type="spellEnd"/>
            <w:r w:rsidRPr="00B7745E">
              <w:t xml:space="preserve">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ody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ody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proofErr w:type="spellStart"/>
            <w:r>
              <w:t>GUID</w:t>
            </w:r>
            <w:proofErr w:type="spellEnd"/>
          </w:p>
        </w:tc>
        <w:tc>
          <w:tcPr>
            <w:tcW w:w="788" w:type="dxa"/>
            <w:shd w:val="clear" w:color="auto" w:fill="auto"/>
          </w:tcPr>
          <w:p w14:paraId="258C3CDF" w14:textId="77777777" w:rsidR="00F65168" w:rsidRDefault="00F65168" w:rsidP="003658DE">
            <w:pPr>
              <w:pStyle w:val="Body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ody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ody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r>
              <w:t xml:space="preserve">Update </w:t>
            </w:r>
            <w:proofErr w:type="spellStart"/>
            <w:r>
              <w:t>Time</w:t>
            </w:r>
            <w:proofErr w:type="spellEnd"/>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odyText"/>
              <w:ind w:left="0"/>
            </w:pPr>
            <w:r w:rsidRPr="003F0D91">
              <w:t>Source System</w:t>
            </w:r>
          </w:p>
        </w:tc>
        <w:tc>
          <w:tcPr>
            <w:tcW w:w="1262" w:type="dxa"/>
            <w:shd w:val="clear" w:color="auto" w:fill="auto"/>
          </w:tcPr>
          <w:p w14:paraId="63CAD137" w14:textId="2942C20C" w:rsidR="00737316" w:rsidRPr="008276C4" w:rsidRDefault="00737316" w:rsidP="003658DE">
            <w:pPr>
              <w:pStyle w:val="Body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odyText"/>
              <w:ind w:left="0"/>
            </w:pPr>
            <w:proofErr w:type="spellStart"/>
            <w:r w:rsidRPr="003F0D91">
              <w:t>Källsystemets</w:t>
            </w:r>
            <w:proofErr w:type="spellEnd"/>
            <w:r w:rsidRPr="003F0D91">
              <w:t xml:space="preserve">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odyText"/>
              <w:ind w:left="0"/>
            </w:pPr>
            <w:r w:rsidRPr="003F0D91">
              <w:t>1</w:t>
            </w:r>
            <w:proofErr w:type="gramStart"/>
            <w:r w:rsidRPr="003F0D91">
              <w:t>..</w:t>
            </w:r>
            <w:proofErr w:type="gramEnd"/>
            <w:r w:rsidRPr="003F0D91">
              <w:t>1</w:t>
            </w:r>
          </w:p>
        </w:tc>
        <w:tc>
          <w:tcPr>
            <w:tcW w:w="1998" w:type="dxa"/>
            <w:shd w:val="clear" w:color="auto" w:fill="auto"/>
          </w:tcPr>
          <w:p w14:paraId="61FB1D7A" w14:textId="59C516B6" w:rsidR="00737316" w:rsidRPr="008276C4" w:rsidRDefault="00737316" w:rsidP="003658DE">
            <w:pPr>
              <w:pStyle w:val="Body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odyText"/>
              <w:ind w:left="0"/>
            </w:pPr>
            <w:r w:rsidRPr="003F0D91">
              <w:t xml:space="preserve">Del av instansens </w:t>
            </w:r>
            <w:proofErr w:type="spellStart"/>
            <w:r w:rsidRPr="003F0D91">
              <w:t>unikhet</w:t>
            </w:r>
            <w:proofErr w:type="spellEnd"/>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odyText"/>
              <w:ind w:left="0"/>
            </w:pPr>
            <w:r w:rsidRPr="008276C4">
              <w:t>Data Controller</w:t>
            </w:r>
          </w:p>
        </w:tc>
        <w:tc>
          <w:tcPr>
            <w:tcW w:w="1262" w:type="dxa"/>
            <w:shd w:val="clear" w:color="auto" w:fill="auto"/>
          </w:tcPr>
          <w:p w14:paraId="6841633A" w14:textId="77777777" w:rsidR="00737316" w:rsidRPr="0088256E" w:rsidRDefault="00737316" w:rsidP="003658DE">
            <w:pPr>
              <w:pStyle w:val="BodyText"/>
              <w:ind w:left="0"/>
            </w:pPr>
            <w:proofErr w:type="spellStart"/>
            <w:r w:rsidRPr="008276C4">
              <w:t>Personuppgitsansvarig</w:t>
            </w:r>
            <w:proofErr w:type="spellEnd"/>
            <w:r w:rsidRPr="008276C4">
              <w:t xml:space="preserve"> organisati</w:t>
            </w:r>
            <w:r w:rsidRPr="008276C4">
              <w:lastRenderedPageBreak/>
              <w:t>on</w:t>
            </w:r>
          </w:p>
        </w:tc>
        <w:tc>
          <w:tcPr>
            <w:tcW w:w="2444" w:type="dxa"/>
            <w:shd w:val="clear" w:color="auto" w:fill="auto"/>
          </w:tcPr>
          <w:p w14:paraId="2F88A5BA" w14:textId="77777777" w:rsidR="00737316" w:rsidRPr="0088256E" w:rsidRDefault="00737316" w:rsidP="003658DE">
            <w:pPr>
              <w:pStyle w:val="Body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ody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737316" w:rsidRPr="0088256E" w:rsidRDefault="00737316" w:rsidP="003658DE">
            <w:pPr>
              <w:pStyle w:val="Body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ody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6696041"/>
      <w:r w:rsidRPr="00BC5B0B">
        <w:t>SLA-krav</w:t>
      </w:r>
      <w:bookmarkEnd w:id="62"/>
      <w:bookmarkEnd w:id="63"/>
      <w:bookmarkEnd w:id="64"/>
      <w:bookmarkEnd w:id="65"/>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 xml:space="preserve">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w:t>
            </w:r>
            <w:proofErr w:type="spellStart"/>
            <w:r>
              <w:t>engagemangsindex</w:t>
            </w:r>
            <w:proofErr w:type="spellEnd"/>
            <w:r>
              <w:t>.</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66" w:name="_Toc227635043"/>
      <w:bookmarkStart w:id="67" w:name="_Toc227659616"/>
      <w:bookmarkStart w:id="68" w:name="_Toc246696042"/>
      <w:r>
        <w:t>Gemensamma konsumentregler</w:t>
      </w:r>
      <w:bookmarkEnd w:id="66"/>
      <w:bookmarkEnd w:id="67"/>
      <w:bookmarkEnd w:id="68"/>
    </w:p>
    <w:p w14:paraId="6966D0B6" w14:textId="7BD17187" w:rsidR="00DE3410" w:rsidRDefault="00976B61" w:rsidP="00976B61">
      <w:pPr>
        <w:pStyle w:val="BodyText"/>
        <w:ind w:right="119"/>
      </w:pPr>
      <w:r>
        <w:t xml:space="preserve">R1: </w:t>
      </w:r>
      <w:r w:rsidR="00DE3410">
        <w:t>Filtrera enligt flagga ”</w:t>
      </w:r>
      <w:proofErr w:type="spellStart"/>
      <w:r w:rsidR="00257D1C" w:rsidRPr="00697AEB">
        <w:t>approvedForPatient</w:t>
      </w:r>
      <w:proofErr w:type="spellEnd"/>
      <w:r w:rsidR="00DE3410">
        <w:t>”</w:t>
      </w:r>
    </w:p>
    <w:p w14:paraId="4C71142D" w14:textId="3F82E4BE" w:rsidR="00DE3410" w:rsidRDefault="00976B61" w:rsidP="00976B61">
      <w:pPr>
        <w:pStyle w:val="BodyText"/>
        <w:ind w:right="119"/>
      </w:pPr>
      <w:r>
        <w:t xml:space="preserve">R2: </w:t>
      </w:r>
      <w:r w:rsidR="00DE3410">
        <w:t xml:space="preserve">Tillämpa regelverk enl. </w:t>
      </w:r>
      <w:proofErr w:type="spellStart"/>
      <w:r w:rsidR="00DE3410">
        <w:t>PDL</w:t>
      </w:r>
      <w:proofErr w:type="spellEnd"/>
    </w:p>
    <w:p w14:paraId="06B5BEE5" w14:textId="77777777" w:rsidR="00D449A4" w:rsidRDefault="00D449A4" w:rsidP="00D449A4">
      <w:pPr>
        <w:pStyle w:val="Rubrik2b"/>
      </w:pPr>
      <w:bookmarkStart w:id="69" w:name="_Toc244015407"/>
      <w:bookmarkStart w:id="70" w:name="_Toc246696043"/>
      <w:r>
        <w:t>Gemensamma producentregler</w:t>
      </w:r>
      <w:bookmarkEnd w:id="69"/>
      <w:bookmarkEnd w:id="70"/>
    </w:p>
    <w:p w14:paraId="64FDF033" w14:textId="05691A7B" w:rsidR="00D449A4" w:rsidRDefault="00D449A4" w:rsidP="00D449A4">
      <w:pPr>
        <w:pStyle w:val="BodyText"/>
        <w:ind w:right="119"/>
      </w:pPr>
      <w:r>
        <w:t xml:space="preserve">R3: Filtrera enligt </w:t>
      </w:r>
      <w:proofErr w:type="spellStart"/>
      <w:r>
        <w:t>RIVTA-headern</w:t>
      </w:r>
      <w:proofErr w:type="spellEnd"/>
      <w:r>
        <w:t xml:space="preserve"> </w:t>
      </w:r>
      <w:proofErr w:type="spellStart"/>
      <w:r>
        <w:t>LogicalAddress</w:t>
      </w:r>
      <w:proofErr w:type="spellEnd"/>
      <w:r>
        <w:t xml:space="preserve">. Svarsmeddelandet få endast innehålla information som skapats i det källsystem som anges av frågemeddelandets </w:t>
      </w:r>
      <w:proofErr w:type="spellStart"/>
      <w:r>
        <w:t>LogicalAddress</w:t>
      </w:r>
      <w:proofErr w:type="spellEnd"/>
      <w:r>
        <w:t>.</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6696044"/>
      <w:r w:rsidRPr="00BC5B0B">
        <w:t>Format för Datum</w:t>
      </w:r>
      <w:bookmarkEnd w:id="71"/>
      <w:bookmarkEnd w:id="72"/>
      <w:bookmarkEnd w:id="73"/>
      <w:bookmarkEnd w:id="74"/>
      <w:bookmarkEnd w:id="75"/>
    </w:p>
    <w:p w14:paraId="2AA2F19E" w14:textId="77777777" w:rsidR="00852BED" w:rsidRPr="00BC5B0B" w:rsidRDefault="00852BED" w:rsidP="00852BED">
      <w:pPr>
        <w:pStyle w:val="BodyText"/>
        <w:ind w:right="119"/>
      </w:pPr>
      <w:r w:rsidRPr="00BC5B0B">
        <w:t>Datum anges alltid på formatet ”</w:t>
      </w:r>
      <w:proofErr w:type="spellStart"/>
      <w:r w:rsidRPr="00BC5B0B">
        <w:t>ÅÅÅÅMMDD</w:t>
      </w:r>
      <w:proofErr w:type="spellEnd"/>
      <w:r w:rsidRPr="00BC5B0B">
        <w:t xml:space="preserve">”, vilket motsvara den ISO 8601 och ISO </w:t>
      </w:r>
      <w:r w:rsidRPr="00BC5B0B">
        <w:lastRenderedPageBreak/>
        <w:t>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6696045"/>
      <w:r w:rsidRPr="00BC5B0B">
        <w:t>Format för tidpunkter</w:t>
      </w:r>
      <w:bookmarkEnd w:id="76"/>
      <w:bookmarkEnd w:id="77"/>
      <w:bookmarkEnd w:id="78"/>
      <w:bookmarkEnd w:id="79"/>
      <w:bookmarkEnd w:id="80"/>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6696046"/>
      <w:r w:rsidRPr="00BC5B0B">
        <w:t>Tidszon för tidpunkter</w:t>
      </w:r>
      <w:bookmarkEnd w:id="81"/>
      <w:bookmarkEnd w:id="82"/>
      <w:bookmarkEnd w:id="83"/>
      <w:bookmarkEnd w:id="84"/>
      <w:bookmarkEnd w:id="85"/>
    </w:p>
    <w:p w14:paraId="4FA91A0E" w14:textId="033181F2" w:rsidR="00A9629E" w:rsidRDefault="00852BED" w:rsidP="00490C5A">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86" w:name="_Toc227635047"/>
      <w:bookmarkStart w:id="87" w:name="_Toc227659620"/>
      <w:bookmarkStart w:id="88" w:name="_Toc246696047"/>
      <w:r>
        <w:t>Personidentifierare</w:t>
      </w:r>
      <w:bookmarkEnd w:id="86"/>
      <w:bookmarkEnd w:id="87"/>
      <w:bookmarkEnd w:id="88"/>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6696048"/>
      <w:proofErr w:type="spellStart"/>
      <w:r w:rsidRPr="00BC5B0B">
        <w:t>Felhantering</w:t>
      </w:r>
      <w:bookmarkEnd w:id="89"/>
      <w:bookmarkEnd w:id="90"/>
      <w:bookmarkEnd w:id="91"/>
      <w:bookmarkEnd w:id="92"/>
      <w:bookmarkEnd w:id="93"/>
      <w:proofErr w:type="spellEnd"/>
    </w:p>
    <w:p w14:paraId="63CE05AD" w14:textId="4ABD7425" w:rsidR="00D218F3" w:rsidRDefault="00852BED" w:rsidP="00D15C65">
      <w:pPr>
        <w:pStyle w:val="Body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odyText"/>
        <w:ind w:right="119"/>
      </w:pPr>
    </w:p>
    <w:p w14:paraId="4F09FA34" w14:textId="77777777" w:rsidR="00F228E8" w:rsidRPr="00BC5B0B" w:rsidRDefault="00F228E8" w:rsidP="00D15C65">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94" w:name="_Toc227635049"/>
      <w:bookmarkStart w:id="95" w:name="_Toc227659622"/>
      <w:bookmarkStart w:id="96" w:name="_Toc246696049"/>
      <w:bookmarkStart w:id="97" w:name="_Toc341787030"/>
      <w:r w:rsidRPr="00907C9B">
        <w:rPr>
          <w:spacing w:val="1"/>
        </w:rPr>
        <w:t>Gemensamma informationskomponenter</w:t>
      </w:r>
      <w:bookmarkEnd w:id="94"/>
      <w:bookmarkEnd w:id="95"/>
      <w:bookmarkEnd w:id="96"/>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odyText"/>
        <w:tabs>
          <w:tab w:val="left" w:pos="-567"/>
        </w:tabs>
        <w:spacing w:before="120"/>
        <w:ind w:left="851" w:right="838"/>
      </w:pPr>
    </w:p>
    <w:p w14:paraId="5BB8FA35" w14:textId="23E1A422" w:rsidR="00F228E8" w:rsidRDefault="00F228E8" w:rsidP="00141BEB">
      <w:pPr>
        <w:pStyle w:val="BodyText"/>
        <w:tabs>
          <w:tab w:val="left" w:pos="-567"/>
        </w:tabs>
        <w:spacing w:before="120"/>
        <w:ind w:left="851" w:right="838"/>
      </w:pPr>
      <w:r>
        <w:t>De gemensamma typerna beskrivs i bilagan ”</w:t>
      </w:r>
      <w:proofErr w:type="spellStart"/>
      <w:r>
        <w:t>Bilaga_Gemensamma_typer</w:t>
      </w:r>
      <w:proofErr w:type="spellEnd"/>
      <w:r>
        <w:t>_&lt;versionsnummer&gt;.</w:t>
      </w:r>
      <w:proofErr w:type="spellStart"/>
      <w:r>
        <w:t>pdf</w:t>
      </w:r>
      <w:proofErr w:type="spellEnd"/>
      <w:r>
        <w:t>”</w:t>
      </w:r>
    </w:p>
    <w:p w14:paraId="5CB6FFF3" w14:textId="77777777" w:rsidR="00141BEB" w:rsidRDefault="00141BEB" w:rsidP="00141BEB">
      <w:pPr>
        <w:pStyle w:val="BodyText"/>
        <w:tabs>
          <w:tab w:val="left" w:pos="567"/>
        </w:tabs>
        <w:spacing w:before="120"/>
        <w:ind w:left="360" w:right="838"/>
      </w:pPr>
    </w:p>
    <w:p w14:paraId="22626BD1" w14:textId="77777777" w:rsidR="00F228E8" w:rsidRDefault="00F228E8" w:rsidP="00141BEB">
      <w:pPr>
        <w:pStyle w:val="BodyText"/>
        <w:tabs>
          <w:tab w:val="left" w:pos="567"/>
        </w:tabs>
        <w:spacing w:before="120"/>
        <w:ind w:left="360" w:right="838"/>
      </w:pPr>
    </w:p>
    <w:p w14:paraId="34CF04FF" w14:textId="77777777" w:rsidR="00F228E8" w:rsidRDefault="00F228E8" w:rsidP="00141BEB">
      <w:pPr>
        <w:pStyle w:val="Body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Heading1"/>
        <w:numPr>
          <w:ilvl w:val="0"/>
          <w:numId w:val="1"/>
        </w:numPr>
        <w:tabs>
          <w:tab w:val="left" w:pos="1299"/>
        </w:tabs>
      </w:pPr>
      <w:bookmarkStart w:id="98" w:name="_Toc227635050"/>
      <w:bookmarkStart w:id="99" w:name="_Toc227659623"/>
      <w:bookmarkStart w:id="100" w:name="_Toc246696050"/>
      <w:bookmarkEnd w:id="97"/>
      <w:proofErr w:type="spellStart"/>
      <w:r w:rsidRPr="000927F0">
        <w:rPr>
          <w:spacing w:val="1"/>
        </w:rPr>
        <w:t>GetCareContact</w:t>
      </w:r>
      <w:r w:rsidR="00804285">
        <w:rPr>
          <w:spacing w:val="1"/>
        </w:rPr>
        <w:t>s</w:t>
      </w:r>
      <w:bookmarkEnd w:id="98"/>
      <w:bookmarkEnd w:id="99"/>
      <w:bookmarkEnd w:id="100"/>
      <w:proofErr w:type="spellEnd"/>
    </w:p>
    <w:p w14:paraId="47900702" w14:textId="00716306" w:rsidR="00527535"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w:t>
      </w:r>
      <w:proofErr w:type="spellStart"/>
      <w:r>
        <w:rPr>
          <w:spacing w:val="-1"/>
        </w:rPr>
        <w:t>NPÖ</w:t>
      </w:r>
      <w:proofErr w:type="spellEnd"/>
      <w:r>
        <w:rPr>
          <w:spacing w:val="-1"/>
        </w:rPr>
        <w:t xml:space="preserve">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305E6E">
              <w:rPr>
                <w:sz w:val="20"/>
                <w:szCs w:val="20"/>
              </w:rPr>
              <w:t xml:space="preserve"> Anges med 12 siffror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lastRenderedPageBreak/>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ÅÅÅÅ</w:t>
            </w:r>
            <w:r w:rsidRPr="00A63DCF">
              <w:rPr>
                <w:spacing w:val="-1"/>
                <w:sz w:val="20"/>
                <w:szCs w:val="20"/>
              </w:rPr>
              <w:t>MMDD</w:t>
            </w:r>
            <w:proofErr w:type="spellEnd"/>
            <w:r w:rsidRPr="00A63DCF">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proofErr w:type="gramStart"/>
            <w:r w:rsidR="00521BDA" w:rsidRPr="00907C9B">
              <w:rPr>
                <w:sz w:val="20"/>
                <w:szCs w:val="20"/>
              </w:rPr>
              <w:t>.</w:t>
            </w:r>
            <w:r w:rsidR="00521BDA" w:rsidRPr="00907C9B">
              <w:rPr>
                <w:spacing w:val="-1"/>
                <w:sz w:val="20"/>
                <w:szCs w:val="20"/>
              </w:rPr>
              <w:t>.</w:t>
            </w:r>
            <w:proofErr w:type="gramEnd"/>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careContact</w:t>
            </w:r>
            <w:r w:rsidR="00521BDA"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proofErr w:type="gramStart"/>
            <w:r>
              <w:rPr>
                <w:sz w:val="20"/>
                <w:szCs w:val="20"/>
              </w:rPr>
              <w:t>..</w:t>
            </w:r>
            <w:proofErr w:type="gramEnd"/>
            <w:r>
              <w:rPr>
                <w:sz w:val="20"/>
                <w:szCs w:val="20"/>
              </w:rPr>
              <w:t>/../</w:t>
            </w:r>
            <w:proofErr w:type="spellStart"/>
            <w:r>
              <w:rPr>
                <w:sz w:val="20"/>
                <w:szCs w:val="20"/>
              </w:rPr>
              <w:t>documentTitle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w:t>
            </w:r>
            <w:proofErr w:type="gramStart"/>
            <w:r>
              <w:rPr>
                <w:sz w:val="20"/>
                <w:szCs w:val="20"/>
              </w:rPr>
              <w:t>..</w:t>
            </w:r>
            <w:proofErr w:type="gramEnd"/>
            <w:r>
              <w:rPr>
                <w:sz w:val="20"/>
                <w:szCs w:val="20"/>
              </w:rPr>
              <w:t>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sidRPr="007D6475">
              <w:rPr>
                <w:sz w:val="20"/>
                <w:szCs w:val="20"/>
              </w:rPr>
              <w:t>sourceSystem</w:t>
            </w:r>
            <w:r w:rsidR="00521BDA">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w:t>
            </w:r>
            <w:proofErr w:type="gramStart"/>
            <w:r w:rsidR="00521BDA" w:rsidRPr="007D6475">
              <w:rPr>
                <w:sz w:val="20"/>
                <w:szCs w:val="20"/>
              </w:rPr>
              <w:t>..</w:t>
            </w:r>
            <w:proofErr w:type="gramEnd"/>
            <w:r w:rsidR="00521BDA"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proofErr w:type="gramStart"/>
            <w:r>
              <w:rPr>
                <w:sz w:val="20"/>
                <w:szCs w:val="20"/>
              </w:rPr>
              <w:t>..</w:t>
            </w:r>
            <w:proofErr w:type="gramEnd"/>
            <w:r>
              <w:rPr>
                <w:sz w:val="20"/>
                <w:szCs w:val="20"/>
              </w:rPr>
              <w:t>/../</w:t>
            </w:r>
            <w:proofErr w:type="spellStart"/>
            <w:r w:rsidR="002B6CD3" w:rsidRPr="00907C9B">
              <w:rPr>
                <w:sz w:val="20"/>
                <w:szCs w:val="20"/>
              </w:rPr>
              <w:t>patient</w:t>
            </w:r>
            <w:r w:rsidR="002B6CD3">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w:t>
            </w:r>
            <w:proofErr w:type="gramStart"/>
            <w:r w:rsidR="002B6CD3" w:rsidRPr="00907C9B">
              <w:rPr>
                <w:sz w:val="20"/>
                <w:szCs w:val="20"/>
              </w:rPr>
              <w:t>..</w:t>
            </w:r>
            <w:proofErr w:type="gramEnd"/>
            <w:r w:rsidR="002B6CD3"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proofErr w:type="gramStart"/>
            <w:r>
              <w:rPr>
                <w:sz w:val="20"/>
                <w:szCs w:val="20"/>
              </w:rPr>
              <w:t>..</w:t>
            </w:r>
            <w:proofErr w:type="gramEnd"/>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type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546DDD49" w:rsidR="002B6CD3" w:rsidRPr="00907C9B" w:rsidRDefault="002B6CD3" w:rsidP="00C01308">
            <w:pPr>
              <w:spacing w:line="229" w:lineRule="exact"/>
              <w:ind w:left="102"/>
              <w:rPr>
                <w:sz w:val="20"/>
                <w:szCs w:val="20"/>
              </w:rPr>
            </w:pPr>
            <w:r w:rsidRPr="003658DE">
              <w:rPr>
                <w:sz w:val="20"/>
                <w:szCs w:val="20"/>
              </w:rPr>
              <w:t>Hälso- och sjukvårdsperson som ansvarar för vårdkontakten.</w:t>
            </w:r>
            <w:r>
              <w:rPr>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51B75F4D" w14:textId="71ABE2E2" w:rsidR="002B6CD3" w:rsidRPr="00907C9B" w:rsidRDefault="00C10479" w:rsidP="00C10479">
            <w:pPr>
              <w:spacing w:line="229" w:lineRule="exact"/>
              <w:rPr>
                <w:sz w:val="20"/>
                <w:szCs w:val="20"/>
              </w:rPr>
            </w:pPr>
            <w:r>
              <w:rPr>
                <w:sz w:val="20"/>
                <w:szCs w:val="20"/>
              </w:rPr>
              <w:t xml:space="preserve"> </w:t>
            </w:r>
            <w:r w:rsidR="004A5406">
              <w:rPr>
                <w:sz w:val="20"/>
                <w:szCs w:val="20"/>
              </w:rPr>
              <w:t>1</w:t>
            </w:r>
            <w:proofErr w:type="gramStart"/>
            <w:r w:rsidR="002B6CD3" w:rsidRPr="00907C9B">
              <w:rPr>
                <w:sz w:val="20"/>
                <w:szCs w:val="20"/>
              </w:rPr>
              <w:t>..</w:t>
            </w:r>
            <w:proofErr w:type="gramEnd"/>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07C9B">
              <w:rPr>
                <w:sz w:val="20"/>
                <w:szCs w:val="20"/>
              </w:rPr>
              <w:t>a</w:t>
            </w:r>
            <w:r w:rsidR="002B6CD3" w:rsidRPr="00907C9B">
              <w:rPr>
                <w:spacing w:val="-1"/>
                <w:sz w:val="20"/>
                <w:szCs w:val="20"/>
              </w:rPr>
              <w:t>uthorTime</w:t>
            </w:r>
            <w:proofErr w:type="spell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healthcareProfessionalHSA</w:t>
            </w:r>
            <w:r w:rsidR="00932B9B">
              <w:rPr>
                <w:spacing w:val="-1"/>
                <w:sz w:val="20"/>
                <w:szCs w:val="20"/>
              </w:rPr>
              <w:t>I</w:t>
            </w:r>
            <w:r w:rsidR="002B6CD3">
              <w:rPr>
                <w:spacing w:val="-1"/>
                <w:sz w:val="20"/>
                <w:szCs w:val="20"/>
              </w:rPr>
              <w:t>d</w:t>
            </w:r>
            <w:proofErr w:type="spell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05F77D2E"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r w:rsidR="00791262">
              <w:rPr>
                <w:spacing w:val="-1"/>
                <w:sz w:val="20"/>
                <w:szCs w:val="20"/>
              </w:rPr>
              <w:t xml:space="preserve"> </w:t>
            </w:r>
            <w:r w:rsidR="00791262" w:rsidRPr="00DB2312">
              <w:rPr>
                <w:spacing w:val="-1"/>
                <w:sz w:val="20"/>
                <w:szCs w:val="20"/>
              </w:rPr>
              <w:t>Om tillgängligt skall detta anges.</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Default="00C10479" w:rsidP="00C10479">
            <w:pPr>
              <w:spacing w:line="229" w:lineRule="exact"/>
              <w:rPr>
                <w:sz w:val="20"/>
                <w:szCs w:val="20"/>
              </w:rPr>
            </w:pPr>
            <w:r>
              <w:rPr>
                <w:spacing w:val="-1"/>
                <w:sz w:val="20"/>
                <w:szCs w:val="20"/>
              </w:rPr>
              <w:t xml:space="preserve"> </w:t>
            </w:r>
            <w:r w:rsidR="008015C4">
              <w:rPr>
                <w:spacing w:val="-1"/>
                <w:sz w:val="20"/>
                <w:szCs w:val="20"/>
              </w:rPr>
              <w:t>0</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7023D43F" w:rsidR="002B6CD3" w:rsidRDefault="00C10479" w:rsidP="00C10479">
            <w:pPr>
              <w:spacing w:line="229" w:lineRule="exact"/>
              <w:rPr>
                <w:sz w:val="20"/>
                <w:szCs w:val="20"/>
              </w:rPr>
            </w:pPr>
            <w:r>
              <w:rPr>
                <w:spacing w:val="-1"/>
                <w:sz w:val="20"/>
                <w:szCs w:val="20"/>
              </w:rPr>
              <w:t xml:space="preserve"> </w:t>
            </w:r>
            <w:r w:rsidR="00097AAE">
              <w:rPr>
                <w:spacing w:val="-1"/>
                <w:sz w:val="20"/>
                <w:szCs w:val="20"/>
              </w:rPr>
              <w:t>0</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2B6CD3">
              <w:rPr>
                <w:spacing w:val="-1"/>
                <w:sz w:val="20"/>
                <w:szCs w:val="20"/>
              </w:rPr>
              <w:t>healthcareProfessional</w:t>
            </w:r>
            <w:r w:rsidR="002B6CD3" w:rsidRPr="00907C9B">
              <w:rPr>
                <w:spacing w:val="-1"/>
                <w:sz w:val="20"/>
                <w:szCs w:val="20"/>
              </w:rPr>
              <w:t>RoleCode</w:t>
            </w:r>
            <w:proofErr w:type="spell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w:t>
            </w:r>
            <w:proofErr w:type="spellStart"/>
            <w:r w:rsidRPr="00DB2312">
              <w:rPr>
                <w:sz w:val="20"/>
                <w:szCs w:val="20"/>
              </w:rPr>
              <w:t>OID</w:t>
            </w:r>
            <w:proofErr w:type="spellEnd"/>
            <w:r w:rsidRPr="00DB2312">
              <w:rPr>
                <w:sz w:val="20"/>
                <w:szCs w:val="20"/>
              </w:rPr>
              <w:t xml:space="preserve"> 1.2.752.129.2.2.1.4), se </w:t>
            </w:r>
          </w:p>
          <w:p w14:paraId="0E834413" w14:textId="77777777" w:rsidR="002B6CD3" w:rsidRDefault="005A26FC" w:rsidP="00757994">
            <w:pPr>
              <w:spacing w:line="226" w:lineRule="exact"/>
              <w:ind w:left="102"/>
              <w:rPr>
                <w:spacing w:val="-1"/>
                <w:sz w:val="20"/>
                <w:szCs w:val="20"/>
              </w:rPr>
            </w:pPr>
            <w:hyperlink r:id="rId17"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w:t>
            </w:r>
            <w:proofErr w:type="gramStart"/>
            <w:r w:rsidR="002B6CD3" w:rsidRPr="002D6889">
              <w:rPr>
                <w:spacing w:val="-1"/>
                <w:sz w:val="20"/>
                <w:szCs w:val="20"/>
                <w:lang w:val="en-US"/>
              </w:rPr>
              <w:t>..</w:t>
            </w:r>
            <w:proofErr w:type="gramEnd"/>
            <w:r w:rsidR="002B6CD3"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w:t>
            </w:r>
            <w:proofErr w:type="gramStart"/>
            <w:r w:rsidR="002B6CD3" w:rsidRPr="004149A9">
              <w:rPr>
                <w:spacing w:val="-1"/>
                <w:sz w:val="20"/>
                <w:szCs w:val="20"/>
                <w:lang w:val="en-US"/>
              </w:rPr>
              <w:t>..</w:t>
            </w:r>
            <w:proofErr w:type="gramEnd"/>
            <w:r w:rsidR="002B6CD3"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w:t>
            </w:r>
            <w:proofErr w:type="spellStart"/>
            <w:r>
              <w:rPr>
                <w:sz w:val="20"/>
                <w:szCs w:val="20"/>
              </w:rPr>
              <w:t>OID</w:t>
            </w:r>
            <w:proofErr w:type="spellEnd"/>
            <w:r>
              <w:rPr>
                <w:sz w:val="20"/>
                <w:szCs w:val="20"/>
              </w:rPr>
              <w:t xml:space="preserve">,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2B6CD3">
              <w:rPr>
                <w:spacing w:val="-1"/>
                <w:sz w:val="20"/>
                <w:szCs w:val="20"/>
              </w:rPr>
              <w:t>healthcareProfessional</w:t>
            </w:r>
            <w:r w:rsidR="002B6CD3" w:rsidRPr="008C68A3">
              <w:rPr>
                <w:spacing w:val="-1"/>
                <w:sz w:val="20"/>
                <w:szCs w:val="20"/>
              </w:rPr>
              <w:t>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BCBA1FE" w:rsidR="002B6CD3" w:rsidRDefault="00907F11"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285019AB" w14:textId="77777777" w:rsidTr="00F228E8">
        <w:trPr>
          <w:trHeight w:hRule="exact" w:val="698"/>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159AF9" w14:textId="35820436" w:rsidR="002B6CD3" w:rsidRPr="003658DE" w:rsidRDefault="00F228E8" w:rsidP="00756F28">
            <w:pPr>
              <w:spacing w:line="229" w:lineRule="exact"/>
              <w:ind w:left="102"/>
              <w:rPr>
                <w:sz w:val="20"/>
                <w:szCs w:val="20"/>
              </w:rPr>
            </w:pPr>
            <w:r w:rsidRPr="00974712">
              <w:rPr>
                <w:sz w:val="20"/>
                <w:szCs w:val="20"/>
              </w:rPr>
              <w:t>HSA-id för organisationsenhet.</w:t>
            </w:r>
            <w:r>
              <w:rPr>
                <w:sz w:val="20"/>
                <w:szCs w:val="20"/>
              </w:rPr>
              <w:t xml:space="preserve"> </w:t>
            </w:r>
            <w:r w:rsidR="001C32B6">
              <w:rPr>
                <w:sz w:val="20"/>
                <w:szCs w:val="20"/>
              </w:rPr>
              <w:t xml:space="preserve">Skall anges om tillgängligt. </w:t>
            </w:r>
            <w:r>
              <w:rPr>
                <w:sz w:val="20"/>
                <w:szCs w:val="20"/>
              </w:rPr>
              <w:t>I undantagsfall kan ett för källsystemet lokalt id användas istället.</w:t>
            </w:r>
          </w:p>
        </w:tc>
        <w:tc>
          <w:tcPr>
            <w:tcW w:w="844" w:type="dxa"/>
            <w:tcBorders>
              <w:top w:val="single" w:sz="5" w:space="0" w:color="000000"/>
              <w:left w:val="single" w:sz="5" w:space="0" w:color="000000"/>
              <w:bottom w:val="single" w:sz="5" w:space="0" w:color="000000"/>
              <w:right w:val="single" w:sz="5" w:space="0" w:color="000000"/>
            </w:tcBorders>
          </w:tcPr>
          <w:p w14:paraId="30E6FBA1" w14:textId="58E86503" w:rsidR="002B6CD3" w:rsidRDefault="001C32B6"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5D874853" w14:textId="77777777" w:rsidTr="001C32B6">
        <w:trPr>
          <w:trHeight w:hRule="exact" w:val="722"/>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62D91D9"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sjukvårdspersonen</w:t>
            </w:r>
            <w:r w:rsidR="00F228E8">
              <w:rPr>
                <w:spacing w:val="-1"/>
                <w:sz w:val="20"/>
                <w:szCs w:val="20"/>
              </w:rPr>
              <w:t xml:space="preserve"> </w:t>
            </w:r>
            <w:r w:rsidRPr="008C68A3">
              <w:rPr>
                <w:spacing w:val="-1"/>
                <w:sz w:val="20"/>
                <w:szCs w:val="20"/>
              </w:rPr>
              <w:t>är uppdragstagare på</w:t>
            </w:r>
            <w:r w:rsidR="001C32B6">
              <w:rPr>
                <w:spacing w:val="-1"/>
                <w:sz w:val="20"/>
                <w:szCs w:val="20"/>
              </w:rPr>
              <w:t xml:space="preserve">. </w:t>
            </w:r>
            <w:r w:rsidR="001C32B6">
              <w:rPr>
                <w:sz w:val="20"/>
                <w:szCs w:val="20"/>
              </w:rPr>
              <w:t>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15970429" w14:textId="580FE6BE" w:rsidR="002B6CD3" w:rsidRDefault="001C32B6"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proofErr w:type="spellStart"/>
            <w:r w:rsidRPr="00150203">
              <w:rPr>
                <w:sz w:val="20"/>
                <w:szCs w:val="20"/>
              </w:rPr>
              <w:t>LegalAuthenticatorType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nullfied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F228E8">
        <w:trPr>
          <w:trHeight w:hRule="exact" w:val="720"/>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roofErr w:type="spell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36A870A9" w:rsidR="002B6CD3" w:rsidRPr="00F228E8" w:rsidRDefault="00F228E8" w:rsidP="007443CF">
            <w:pPr>
              <w:pStyle w:val="TableParagraph"/>
              <w:spacing w:line="226" w:lineRule="exact"/>
              <w:ind w:left="102"/>
              <w:rPr>
                <w:rFonts w:ascii="Times New Roman" w:eastAsia="Times New Roman" w:hAnsi="Times New Roman" w:cs="Times New Roman"/>
                <w:sz w:val="20"/>
                <w:szCs w:val="20"/>
              </w:rPr>
            </w:pPr>
            <w:r w:rsidRPr="00F228E8">
              <w:rPr>
                <w:rFonts w:ascii="Times New Roman" w:hAnsi="Times New Roman" w:cs="Times New Roman"/>
                <w:sz w:val="20"/>
                <w:szCs w:val="20"/>
              </w:rPr>
              <w:t>HSA-id för organisationsen</w:t>
            </w:r>
            <w:r w:rsidR="00B264E9">
              <w:rPr>
                <w:rFonts w:ascii="Times New Roman" w:hAnsi="Times New Roman" w:cs="Times New Roman"/>
                <w:sz w:val="20"/>
                <w:szCs w:val="20"/>
              </w:rPr>
              <w:t>het.</w:t>
            </w:r>
            <w:r w:rsidR="001C32B6">
              <w:rPr>
                <w:rFonts w:ascii="Times New Roman" w:hAnsi="Times New Roman" w:cs="Times New Roman"/>
                <w:sz w:val="20"/>
                <w:szCs w:val="20"/>
              </w:rPr>
              <w:t xml:space="preserve"> </w:t>
            </w:r>
            <w:r w:rsidRPr="00F228E8">
              <w:rPr>
                <w:rFonts w:ascii="Times New Roman" w:hAnsi="Times New Roman" w:cs="Times New Roman"/>
                <w:sz w:val="20"/>
                <w:szCs w:val="20"/>
              </w:rPr>
              <w:t>I undantagsfall kan ett för källsystemet lokalt id användas istället.</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03F39EAE" w:rsidR="002B6CD3" w:rsidRPr="00907C9B" w:rsidRDefault="00B264E9" w:rsidP="00756F28">
            <w:pPr>
              <w:spacing w:line="229" w:lineRule="exact"/>
              <w:ind w:left="102"/>
              <w:rPr>
                <w:sz w:val="20"/>
                <w:szCs w:val="20"/>
              </w:rPr>
            </w:pPr>
            <w:r>
              <w:rPr>
                <w:sz w:val="20"/>
                <w:szCs w:val="20"/>
              </w:rPr>
              <w:t>1</w:t>
            </w:r>
            <w:proofErr w:type="gramStart"/>
            <w:r w:rsidR="002B6CD3">
              <w:rPr>
                <w:sz w:val="20"/>
                <w:szCs w:val="20"/>
              </w:rPr>
              <w:t>..</w:t>
            </w:r>
            <w:proofErr w:type="gramEnd"/>
            <w:r w:rsidR="002B6CD3">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roofErr w:type="spell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78474752" w:rsidR="002B6CD3" w:rsidRPr="00041CC6" w:rsidRDefault="002B6CD3" w:rsidP="00B264E9">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11072AAF" w:rsidR="002B6CD3" w:rsidRPr="00907C9B" w:rsidRDefault="00B264E9" w:rsidP="00756F28">
            <w:pPr>
              <w:spacing w:line="229" w:lineRule="exact"/>
              <w:ind w:left="102"/>
              <w:rPr>
                <w:sz w:val="20"/>
                <w:szCs w:val="20"/>
              </w:rPr>
            </w:pPr>
            <w:r>
              <w:rPr>
                <w:sz w:val="20"/>
                <w:szCs w:val="20"/>
              </w:rPr>
              <w:t>1</w:t>
            </w:r>
            <w:proofErr w:type="gramStart"/>
            <w:r w:rsidR="002B6CD3">
              <w:rPr>
                <w:sz w:val="20"/>
                <w:szCs w:val="20"/>
              </w:rPr>
              <w:t>..</w:t>
            </w:r>
            <w:proofErr w:type="gramEnd"/>
            <w:r w:rsidR="002B6CD3">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roofErr w:type="spell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roofErr w:type="spell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61004DBC"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57C549D"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w:t>
            </w:r>
            <w:r w:rsidR="000825B1">
              <w:rPr>
                <w:rFonts w:ascii="Times New Roman" w:eastAsia="Times New Roman" w:hAnsi="Times New Roman" w:cs="Times New Roman"/>
                <w:sz w:val="20"/>
                <w:szCs w:val="20"/>
              </w:rPr>
              <w:t>t</w:t>
            </w:r>
            <w:r w:rsidRPr="00757994">
              <w:rPr>
                <w:rFonts w:ascii="Times New Roman" w:eastAsia="Times New Roman" w:hAnsi="Times New Roman" w:cs="Times New Roman"/>
                <w:sz w:val="20"/>
                <w:szCs w:val="20"/>
              </w:rPr>
              <w:t>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490DB" w14:textId="77777777" w:rsidR="00431619" w:rsidRDefault="00431619">
      <w:r>
        <w:separator/>
      </w:r>
    </w:p>
  </w:endnote>
  <w:endnote w:type="continuationSeparator" w:id="0">
    <w:p w14:paraId="3B211D2F" w14:textId="77777777" w:rsidR="00431619" w:rsidRDefault="0043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4047D" w14:textId="77777777" w:rsidR="00431619" w:rsidRDefault="00431619">
      <w:r>
        <w:separator/>
      </w:r>
    </w:p>
  </w:footnote>
  <w:footnote w:type="continuationSeparator" w:id="0">
    <w:p w14:paraId="70C09517" w14:textId="77777777" w:rsidR="00431619" w:rsidRDefault="004316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3161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431619" w:rsidRDefault="00431619"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0E632EDB" w:rsidR="00431619" w:rsidRDefault="00431619"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43161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2781F">
            <w:rPr>
              <w:noProof/>
            </w:rPr>
            <w:t>6</w:t>
          </w:r>
          <w:r>
            <w:fldChar w:fldCharType="end"/>
          </w:r>
          <w:r>
            <w:t xml:space="preserve"> (</w:t>
          </w:r>
          <w:r>
            <w:fldChar w:fldCharType="begin"/>
          </w:r>
          <w:r>
            <w:instrText xml:space="preserve"> NUMPAGES </w:instrText>
          </w:r>
          <w:r>
            <w:fldChar w:fldCharType="separate"/>
          </w:r>
          <w:r w:rsidR="0082781F">
            <w:rPr>
              <w:noProof/>
            </w:rPr>
            <w:t>22</w:t>
          </w:r>
          <w:r>
            <w:fldChar w:fldCharType="end"/>
          </w:r>
          <w:r>
            <w:t>)</w:t>
          </w:r>
        </w:p>
      </w:tc>
    </w:tr>
    <w:tr w:rsidR="0043161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2014-02-14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31619" w:rsidRPr="00647B65" w:rsidRDefault="0043161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31619" w:rsidRPr="00647B65" w:rsidRDefault="00431619" w:rsidP="004E562D"/>
      </w:tc>
    </w:tr>
  </w:tbl>
  <w:p w14:paraId="1CF20CDE" w14:textId="77777777" w:rsidR="00431619" w:rsidRPr="008745C3" w:rsidRDefault="00431619"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3161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431619" w:rsidRDefault="0043161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431619" w:rsidRDefault="00431619"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43161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2781F">
            <w:rPr>
              <w:noProof/>
            </w:rPr>
            <w:t>8</w:t>
          </w:r>
          <w:r>
            <w:fldChar w:fldCharType="end"/>
          </w:r>
          <w:r>
            <w:t xml:space="preserve"> (</w:t>
          </w:r>
          <w:r>
            <w:fldChar w:fldCharType="begin"/>
          </w:r>
          <w:r>
            <w:instrText xml:space="preserve"> NUMPAGES </w:instrText>
          </w:r>
          <w:r>
            <w:fldChar w:fldCharType="separate"/>
          </w:r>
          <w:r w:rsidR="0082781F">
            <w:rPr>
              <w:noProof/>
            </w:rPr>
            <w:t>22</w:t>
          </w:r>
          <w:r>
            <w:fldChar w:fldCharType="end"/>
          </w:r>
          <w:r>
            <w:t>)</w:t>
          </w:r>
        </w:p>
      </w:tc>
    </w:tr>
    <w:tr w:rsidR="0043161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Pr>
              <w:rFonts w:ascii="Arial" w:hAnsi="Arial" w:cs="Arial"/>
              <w:noProof/>
            </w:rPr>
            <w:t>2014-02-14</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31619" w:rsidRPr="00647B65" w:rsidRDefault="0043161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31619" w:rsidRPr="00647B65" w:rsidRDefault="00431619" w:rsidP="004E562D"/>
      </w:tc>
    </w:tr>
  </w:tbl>
  <w:p w14:paraId="387255B9" w14:textId="77777777" w:rsidR="00431619" w:rsidRPr="008745C3" w:rsidRDefault="00431619"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25B1"/>
    <w:rsid w:val="000842C4"/>
    <w:rsid w:val="000865EC"/>
    <w:rsid w:val="0009127E"/>
    <w:rsid w:val="00092028"/>
    <w:rsid w:val="000927F0"/>
    <w:rsid w:val="00092AA2"/>
    <w:rsid w:val="00097AAE"/>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32B6"/>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619"/>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406"/>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6FC"/>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3722"/>
    <w:rsid w:val="00666182"/>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1262"/>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380"/>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2781F"/>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07F11"/>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4E9"/>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308"/>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47106"/>
    <w:rsid w:val="00C51CCF"/>
    <w:rsid w:val="00C51F47"/>
    <w:rsid w:val="00C52FC4"/>
    <w:rsid w:val="00C54673"/>
    <w:rsid w:val="00C5783B"/>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era.se/Documents/TJANSTER_PROJEKT/Katalogtjanst_HSA/Innehall/hsa_innehall_befattning.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E94B3-C899-E34C-89E0-03F52338F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22</Pages>
  <Words>5632</Words>
  <Characters>32105</Characters>
  <Application>Microsoft Macintosh Word</Application>
  <DocSecurity>0</DocSecurity>
  <Lines>267</Lines>
  <Paragraphs>75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13</cp:revision>
  <cp:lastPrinted>2013-02-07T13:14:00Z</cp:lastPrinted>
  <dcterms:created xsi:type="dcterms:W3CDTF">2014-02-13T10:07:00Z</dcterms:created>
  <dcterms:modified xsi:type="dcterms:W3CDTF">2014-02-17T11:05:00Z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