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A2262B9" w:rsidR="00D218F3" w:rsidRPr="00BC5B0B" w:rsidRDefault="00527535" w:rsidP="00D218F3">
      <w:pPr>
        <w:pStyle w:val="Friform"/>
        <w:rPr>
          <w:rFonts w:ascii="Arial" w:hAnsi="Arial"/>
          <w:sz w:val="36"/>
        </w:rPr>
      </w:pPr>
      <w:r>
        <w:rPr>
          <w:rFonts w:ascii="Arial" w:hAnsi="Arial"/>
          <w:sz w:val="36"/>
        </w:rPr>
        <w:t>Utgåva PA14</w:t>
      </w:r>
    </w:p>
    <w:p w14:paraId="087F92D2" w14:textId="3A59F3A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27535">
        <w:rPr>
          <w:rFonts w:ascii="Arial" w:hAnsi="Arial"/>
          <w:sz w:val="36"/>
        </w:rPr>
        <w:t>01-21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471AAEF4" w:rsidR="00527535" w:rsidRDefault="00527535" w:rsidP="00FE2B3C">
            <w:pPr>
              <w:pStyle w:val="TableText"/>
            </w:pPr>
            <w:r>
              <w:t>2012-01-21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24047DA8" w:rsidR="002E45BA" w:rsidRDefault="00F10B0D" w:rsidP="00FE2B3C">
            <w:pPr>
              <w:pStyle w:val="TableText"/>
            </w:pPr>
            <w:r>
              <w:t>2012-01-21</w:t>
            </w:r>
          </w:p>
        </w:tc>
        <w:tc>
          <w:tcPr>
            <w:tcW w:w="4140"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r w:rsidR="003A1BC5" w:rsidRPr="00BC5B0B" w14:paraId="1304E328" w14:textId="77777777" w:rsidTr="00FE2B3C">
        <w:tc>
          <w:tcPr>
            <w:tcW w:w="964" w:type="dxa"/>
          </w:tcPr>
          <w:p w14:paraId="66D29A4C" w14:textId="3D8B27BC" w:rsidR="003A1BC5" w:rsidRDefault="003A1BC5" w:rsidP="00FE2B3C">
            <w:pPr>
              <w:pStyle w:val="TableText"/>
            </w:pPr>
            <w:r>
              <w:t>PA16</w:t>
            </w:r>
          </w:p>
        </w:tc>
        <w:tc>
          <w:tcPr>
            <w:tcW w:w="1224" w:type="dxa"/>
          </w:tcPr>
          <w:p w14:paraId="387634D8" w14:textId="352F314E" w:rsidR="003A1BC5" w:rsidRDefault="003A1BC5" w:rsidP="00FE2B3C">
            <w:pPr>
              <w:pStyle w:val="TableText"/>
            </w:pPr>
            <w:r>
              <w:t>2012-01-21</w:t>
            </w:r>
          </w:p>
        </w:tc>
        <w:tc>
          <w:tcPr>
            <w:tcW w:w="4140"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1980" w:type="dxa"/>
          </w:tcPr>
          <w:p w14:paraId="15427D4C" w14:textId="713CCA36" w:rsidR="003A1BC5" w:rsidRDefault="003A1BC5" w:rsidP="00FE2B3C">
            <w:pPr>
              <w:pStyle w:val="TableText"/>
            </w:pPr>
            <w:r>
              <w:t>Maria Andersson</w:t>
            </w:r>
          </w:p>
        </w:tc>
        <w:tc>
          <w:tcPr>
            <w:tcW w:w="1440" w:type="dxa"/>
          </w:tcPr>
          <w:p w14:paraId="32CD8F72" w14:textId="77777777" w:rsidR="003A1BC5" w:rsidRPr="00BC5B0B" w:rsidRDefault="003A1BC5"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034886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29E3E731" w14:textId="77777777" w:rsidR="00F26F28"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26F28">
        <w:rPr>
          <w:noProof/>
        </w:rPr>
        <w:t>4</w:t>
      </w:r>
      <w:r w:rsidR="00F26F28">
        <w:rPr>
          <w:noProof/>
        </w:rPr>
        <w:fldChar w:fldCharType="end"/>
      </w:r>
    </w:p>
    <w:p w14:paraId="2729152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Pr>
          <w:noProof/>
        </w:rPr>
        <w:t>5</w:t>
      </w:r>
      <w:r>
        <w:rPr>
          <w:noProof/>
        </w:rPr>
        <w:fldChar w:fldCharType="end"/>
      </w:r>
    </w:p>
    <w:p w14:paraId="6E1D29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Pr>
          <w:noProof/>
        </w:rPr>
        <w:t>7</w:t>
      </w:r>
      <w:r>
        <w:rPr>
          <w:noProof/>
        </w:rPr>
        <w:fldChar w:fldCharType="end"/>
      </w:r>
    </w:p>
    <w:p w14:paraId="6FD4FCB8"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Pr>
          <w:noProof/>
        </w:rPr>
        <w:t>7</w:t>
      </w:r>
      <w:r>
        <w:rPr>
          <w:noProof/>
        </w:rPr>
        <w:fldChar w:fldCharType="end"/>
      </w:r>
    </w:p>
    <w:p w14:paraId="58F014DB"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Pr>
          <w:noProof/>
        </w:rPr>
        <w:t>8</w:t>
      </w:r>
      <w:r>
        <w:rPr>
          <w:noProof/>
        </w:rPr>
        <w:fldChar w:fldCharType="end"/>
      </w:r>
    </w:p>
    <w:p w14:paraId="0D5CF2B3"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Pr>
          <w:noProof/>
        </w:rPr>
        <w:t>9</w:t>
      </w:r>
      <w:r>
        <w:rPr>
          <w:noProof/>
        </w:rPr>
        <w:fldChar w:fldCharType="end"/>
      </w:r>
    </w:p>
    <w:p w14:paraId="41D76809"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Pr>
          <w:noProof/>
        </w:rPr>
        <w:t>10</w:t>
      </w:r>
      <w:r>
        <w:rPr>
          <w:noProof/>
        </w:rPr>
        <w:fldChar w:fldCharType="end"/>
      </w:r>
    </w:p>
    <w:p w14:paraId="7FBF052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Pr>
          <w:noProof/>
        </w:rPr>
        <w:t>10</w:t>
      </w:r>
      <w:r>
        <w:rPr>
          <w:noProof/>
        </w:rPr>
        <w:fldChar w:fldCharType="end"/>
      </w:r>
    </w:p>
    <w:p w14:paraId="5E356183"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Pr>
          <w:noProof/>
        </w:rPr>
        <w:t>11</w:t>
      </w:r>
      <w:r>
        <w:rPr>
          <w:noProof/>
        </w:rPr>
        <w:fldChar w:fldCharType="end"/>
      </w:r>
    </w:p>
    <w:p w14:paraId="40EACF3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Pr>
          <w:noProof/>
        </w:rPr>
        <w:t>11</w:t>
      </w:r>
      <w:r>
        <w:rPr>
          <w:noProof/>
        </w:rPr>
        <w:fldChar w:fldCharType="end"/>
      </w:r>
    </w:p>
    <w:p w14:paraId="0B1BFE5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Pr>
          <w:noProof/>
        </w:rPr>
        <w:t>12</w:t>
      </w:r>
      <w:r>
        <w:rPr>
          <w:noProof/>
        </w:rPr>
        <w:fldChar w:fldCharType="end"/>
      </w:r>
    </w:p>
    <w:p w14:paraId="4BF85001"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Pr>
          <w:noProof/>
        </w:rPr>
        <w:t>12</w:t>
      </w:r>
      <w:r>
        <w:rPr>
          <w:noProof/>
        </w:rPr>
        <w:fldChar w:fldCharType="end"/>
      </w:r>
    </w:p>
    <w:p w14:paraId="1022036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Pr>
          <w:noProof/>
        </w:rPr>
        <w:t>12</w:t>
      </w:r>
      <w:r>
        <w:rPr>
          <w:noProof/>
        </w:rPr>
        <w:fldChar w:fldCharType="end"/>
      </w:r>
    </w:p>
    <w:p w14:paraId="03E8E2AE"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Pr>
          <w:noProof/>
        </w:rPr>
        <w:t>12</w:t>
      </w:r>
      <w:r>
        <w:rPr>
          <w:noProof/>
        </w:rPr>
        <w:fldChar w:fldCharType="end"/>
      </w:r>
    </w:p>
    <w:p w14:paraId="184CEE67"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Pr>
          <w:noProof/>
        </w:rPr>
        <w:t>12</w:t>
      </w:r>
      <w:r>
        <w:rPr>
          <w:noProof/>
        </w:rPr>
        <w:fldChar w:fldCharType="end"/>
      </w:r>
    </w:p>
    <w:p w14:paraId="5A6299F1"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Pr>
          <w:noProof/>
        </w:rPr>
        <w:t>12</w:t>
      </w:r>
      <w:r>
        <w:rPr>
          <w:noProof/>
        </w:rPr>
        <w:fldChar w:fldCharType="end"/>
      </w:r>
    </w:p>
    <w:p w14:paraId="13B8990E"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Pr>
          <w:noProof/>
        </w:rPr>
        <w:t>12</w:t>
      </w:r>
      <w:r>
        <w:rPr>
          <w:noProof/>
        </w:rPr>
        <w:fldChar w:fldCharType="end"/>
      </w:r>
    </w:p>
    <w:p w14:paraId="2BD4742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Pr>
          <w:noProof/>
        </w:rPr>
        <w:t>15</w:t>
      </w:r>
      <w:r>
        <w:rPr>
          <w:noProof/>
        </w:rPr>
        <w:fldChar w:fldCharType="end"/>
      </w:r>
    </w:p>
    <w:p w14:paraId="107882E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Pr>
          <w:noProof/>
        </w:rPr>
        <w:t>15</w:t>
      </w:r>
      <w:r>
        <w:rPr>
          <w:noProof/>
        </w:rPr>
        <w:fldChar w:fldCharType="end"/>
      </w:r>
    </w:p>
    <w:p w14:paraId="7A430BD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Pr>
          <w:noProof/>
        </w:rPr>
        <w:t>16</w:t>
      </w:r>
      <w:r>
        <w:rPr>
          <w:noProof/>
        </w:rPr>
        <w:fldChar w:fldCharType="end"/>
      </w:r>
    </w:p>
    <w:p w14:paraId="792955B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Pr>
          <w:noProof/>
        </w:rPr>
        <w:t>16</w:t>
      </w:r>
      <w:r>
        <w:rPr>
          <w:noProof/>
        </w:rPr>
        <w:fldChar w:fldCharType="end"/>
      </w:r>
    </w:p>
    <w:p w14:paraId="41C988C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Pr>
          <w:noProof/>
        </w:rPr>
        <w:t>16</w:t>
      </w:r>
      <w:r>
        <w:rPr>
          <w:noProof/>
        </w:rPr>
        <w:fldChar w:fldCharType="end"/>
      </w:r>
    </w:p>
    <w:p w14:paraId="6B90D830"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Pr>
          <w:noProof/>
        </w:rPr>
        <w:t>16</w:t>
      </w:r>
      <w:r>
        <w:rPr>
          <w:noProof/>
        </w:rPr>
        <w:fldChar w:fldCharType="end"/>
      </w:r>
    </w:p>
    <w:p w14:paraId="2EC2957C"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Pr>
          <w:noProof/>
        </w:rPr>
        <w:t>17</w:t>
      </w:r>
      <w:r>
        <w:rPr>
          <w:noProof/>
        </w:rPr>
        <w:fldChar w:fldCharType="end"/>
      </w:r>
    </w:p>
    <w:p w14:paraId="79ED8D2F" w14:textId="77777777" w:rsidR="00F26F28" w:rsidRDefault="00F26F28">
      <w:pPr>
        <w:pStyle w:val="Innehll1"/>
        <w:tabs>
          <w:tab w:val="left" w:pos="1228"/>
          <w:tab w:val="right" w:leader="dot" w:pos="9159"/>
        </w:tabs>
        <w:rPr>
          <w:rFonts w:asciiTheme="minorHAnsi" w:eastAsiaTheme="minorEastAsia" w:hAnsiTheme="minorHAnsi"/>
          <w:noProof/>
          <w:lang w:val="en-US" w:eastAsia="ja-JP"/>
        </w:rPr>
      </w:pPr>
      <w:r w:rsidRPr="00FD09AD">
        <w:rPr>
          <w:noProof/>
          <w:spacing w:val="1"/>
        </w:rPr>
        <w:t>4</w:t>
      </w:r>
      <w:r>
        <w:rPr>
          <w:rFonts w:asciiTheme="minorHAnsi" w:eastAsiaTheme="minorEastAsia" w:hAnsiTheme="minorHAnsi"/>
          <w:noProof/>
          <w:lang w:val="en-US"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Pr>
          <w:noProof/>
        </w:rPr>
        <w:t>17</w:t>
      </w:r>
      <w:r>
        <w:rPr>
          <w:noProof/>
        </w:rPr>
        <w:fldChar w:fldCharType="end"/>
      </w:r>
    </w:p>
    <w:p w14:paraId="294E4DCB"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Pr>
          <w:noProof/>
        </w:rPr>
        <w:t>20</w:t>
      </w:r>
      <w:r>
        <w:rPr>
          <w:noProof/>
        </w:rPr>
        <w:fldChar w:fldCharType="end"/>
      </w:r>
    </w:p>
    <w:p w14:paraId="3C0B393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5.1</w:t>
      </w:r>
      <w:r>
        <w:rPr>
          <w:rFonts w:asciiTheme="minorHAnsi" w:eastAsiaTheme="minorEastAsia" w:hAnsiTheme="minorHAnsi"/>
          <w:noProof/>
          <w:lang w:val="en-US"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Pr>
          <w:noProof/>
        </w:rPr>
        <w:t>20</w:t>
      </w:r>
      <w:r>
        <w:rPr>
          <w:noProof/>
        </w:rPr>
        <w:fldChar w:fldCharType="end"/>
      </w:r>
    </w:p>
    <w:p w14:paraId="159DDB7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5.2</w:t>
      </w:r>
      <w:r>
        <w:rPr>
          <w:rFonts w:asciiTheme="minorHAnsi" w:eastAsiaTheme="minorEastAsia" w:hAnsiTheme="minorHAnsi"/>
          <w:noProof/>
          <w:lang w:val="en-US"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Pr>
          <w:noProof/>
        </w:rPr>
        <w:t>20</w:t>
      </w:r>
      <w:r>
        <w:rPr>
          <w:noProof/>
        </w:rPr>
        <w:fldChar w:fldCharType="end"/>
      </w:r>
    </w:p>
    <w:p w14:paraId="63F9A68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5.3</w:t>
      </w:r>
      <w:r>
        <w:rPr>
          <w:rFonts w:asciiTheme="minorHAnsi" w:eastAsiaTheme="minorEastAsia" w:hAnsiTheme="minorHAnsi"/>
          <w:noProof/>
          <w:lang w:val="en-US"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Pr>
          <w:noProof/>
        </w:rPr>
        <w:t>20</w:t>
      </w:r>
      <w:r>
        <w:rPr>
          <w:noProof/>
        </w:rPr>
        <w:fldChar w:fldCharType="end"/>
      </w:r>
    </w:p>
    <w:p w14:paraId="7B7615ED"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5.4</w:t>
      </w:r>
      <w:r>
        <w:rPr>
          <w:rFonts w:asciiTheme="minorHAnsi" w:eastAsiaTheme="minorEastAsia" w:hAnsiTheme="minorHAnsi"/>
          <w:noProof/>
          <w:lang w:val="en-US"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Pr>
          <w:noProof/>
        </w:rPr>
        <w:t>29</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Pr>
          <w:noProof/>
        </w:rPr>
        <w:t>29</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034886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EF7DF9" w:rsidRDefault="00EF7DF9" w:rsidP="00D218F3">
                            <w:pPr>
                              <w:pStyle w:val="Sidfot"/>
                              <w:rPr>
                                <w:b/>
                                <w:i/>
                              </w:rPr>
                            </w:pPr>
                            <w:r w:rsidRPr="00FE3AAD">
                              <w:rPr>
                                <w:b/>
                                <w:i/>
                              </w:rPr>
                              <w:t>I arbetet har följande personer deltagit:</w:t>
                            </w:r>
                          </w:p>
                          <w:p w14:paraId="4EF9015E" w14:textId="77777777" w:rsidR="00EF7DF9" w:rsidRDefault="00EF7DF9" w:rsidP="00D218F3">
                            <w:pPr>
                              <w:pStyle w:val="Sidfot"/>
                              <w:rPr>
                                <w:b/>
                                <w:i/>
                              </w:rPr>
                            </w:pPr>
                          </w:p>
                          <w:p w14:paraId="491D3AD6" w14:textId="4B98BDB5" w:rsidR="00EF7DF9" w:rsidRDefault="00EF7DF9" w:rsidP="00D218F3">
                            <w:pPr>
                              <w:pStyle w:val="Sidfot"/>
                              <w:rPr>
                                <w:b/>
                                <w:i/>
                              </w:rPr>
                            </w:pPr>
                            <w:r>
                              <w:rPr>
                                <w:b/>
                                <w:i/>
                              </w:rPr>
                              <w:t>Projektgrupp:</w:t>
                            </w:r>
                          </w:p>
                          <w:p w14:paraId="1F66F383" w14:textId="77777777" w:rsidR="00EF7DF9" w:rsidRDefault="00EF7DF9" w:rsidP="00D218F3">
                            <w:pPr>
                              <w:pStyle w:val="Sidfot"/>
                              <w:rPr>
                                <w:b/>
                                <w:i/>
                              </w:rPr>
                            </w:pPr>
                          </w:p>
                          <w:p w14:paraId="2BD74928" w14:textId="0EB8B332" w:rsidR="00EF7DF9" w:rsidRDefault="00EF7DF9" w:rsidP="00D218F3">
                            <w:pPr>
                              <w:pStyle w:val="Sidfot"/>
                              <w:rPr>
                                <w:b/>
                                <w:i/>
                              </w:rPr>
                            </w:pPr>
                            <w:r>
                              <w:rPr>
                                <w:b/>
                                <w:i/>
                              </w:rPr>
                              <w:t>Maria Andersson, Mawell</w:t>
                            </w:r>
                          </w:p>
                          <w:p w14:paraId="5F7BB64C" w14:textId="280D6E08" w:rsidR="00EF7DF9" w:rsidRDefault="00EF7DF9" w:rsidP="00D218F3">
                            <w:pPr>
                              <w:pStyle w:val="Sidfot"/>
                              <w:rPr>
                                <w:b/>
                                <w:i/>
                              </w:rPr>
                            </w:pPr>
                            <w:r>
                              <w:rPr>
                                <w:b/>
                                <w:i/>
                              </w:rPr>
                              <w:t>Marco De Luca, Callista</w:t>
                            </w:r>
                          </w:p>
                          <w:p w14:paraId="0166F93D" w14:textId="6674564D" w:rsidR="00EF7DF9" w:rsidRDefault="00EF7DF9" w:rsidP="00D218F3">
                            <w:pPr>
                              <w:pStyle w:val="Sidfot"/>
                              <w:rPr>
                                <w:b/>
                                <w:i/>
                              </w:rPr>
                            </w:pPr>
                            <w:r>
                              <w:rPr>
                                <w:b/>
                                <w:i/>
                              </w:rPr>
                              <w:t>Magnus Ekstrand, Callista</w:t>
                            </w:r>
                          </w:p>
                          <w:p w14:paraId="181FAA35" w14:textId="11D17738" w:rsidR="00EF7DF9" w:rsidRDefault="00EF7DF9" w:rsidP="00D218F3">
                            <w:pPr>
                              <w:pStyle w:val="Sidfot"/>
                              <w:rPr>
                                <w:b/>
                                <w:i/>
                              </w:rPr>
                            </w:pPr>
                            <w:r>
                              <w:rPr>
                                <w:b/>
                                <w:i/>
                              </w:rPr>
                              <w:t>Johan Eltes, Callista</w:t>
                            </w:r>
                          </w:p>
                          <w:p w14:paraId="23F76671" w14:textId="6521BA91" w:rsidR="00EF7DF9" w:rsidRDefault="00EF7DF9" w:rsidP="00D218F3">
                            <w:pPr>
                              <w:pStyle w:val="Sidfot"/>
                              <w:rPr>
                                <w:b/>
                                <w:i/>
                              </w:rPr>
                            </w:pPr>
                            <w:r>
                              <w:rPr>
                                <w:b/>
                                <w:i/>
                              </w:rPr>
                              <w:t>Lennart Eriksson, CeHis</w:t>
                            </w:r>
                          </w:p>
                          <w:p w14:paraId="5EBF459A" w14:textId="6ADE153E" w:rsidR="00EF7DF9" w:rsidRDefault="00EF7DF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F7DF9" w:rsidRDefault="00EF7DF9" w:rsidP="00D218F3">
                            <w:pPr>
                              <w:pStyle w:val="Sidfot"/>
                              <w:rPr>
                                <w:b/>
                                <w:i/>
                              </w:rPr>
                            </w:pPr>
                            <w:r>
                              <w:rPr>
                                <w:b/>
                                <w:i/>
                              </w:rPr>
                              <w:t>Thomas Slitberg, Mawell</w:t>
                            </w:r>
                          </w:p>
                          <w:p w14:paraId="41B65920" w14:textId="71B42563" w:rsidR="00EF7DF9" w:rsidRPr="00FE3AAD" w:rsidRDefault="00EF7DF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F7DF9" w:rsidRDefault="00EF7DF9" w:rsidP="0008258C">
                            <w:pPr>
                              <w:pStyle w:val="Sidfot"/>
                              <w:rPr>
                                <w:b/>
                                <w:i/>
                              </w:rPr>
                            </w:pPr>
                            <w:r>
                              <w:rPr>
                                <w:b/>
                                <w:i/>
                              </w:rPr>
                              <w:t>Fredrik Ström, Mawell</w:t>
                            </w:r>
                          </w:p>
                          <w:p w14:paraId="3DB2AFC8" w14:textId="77777777" w:rsidR="00EF7DF9" w:rsidRDefault="00EF7DF9" w:rsidP="0008258C">
                            <w:pPr>
                              <w:pStyle w:val="Sidfot"/>
                              <w:rPr>
                                <w:b/>
                                <w:i/>
                              </w:rPr>
                            </w:pPr>
                          </w:p>
                          <w:p w14:paraId="4A431A8E" w14:textId="24B575D0" w:rsidR="00EF7DF9" w:rsidRDefault="00EF7DF9" w:rsidP="0008258C">
                            <w:pPr>
                              <w:pStyle w:val="Sidfot"/>
                              <w:rPr>
                                <w:b/>
                                <w:i/>
                              </w:rPr>
                            </w:pPr>
                            <w:r>
                              <w:rPr>
                                <w:b/>
                                <w:i/>
                              </w:rPr>
                              <w:t>Projektledning:</w:t>
                            </w:r>
                          </w:p>
                          <w:p w14:paraId="607582CE" w14:textId="77777777" w:rsidR="00EF7DF9" w:rsidRDefault="00EF7DF9" w:rsidP="0008258C">
                            <w:pPr>
                              <w:pStyle w:val="Sidfot"/>
                              <w:rPr>
                                <w:b/>
                                <w:i/>
                              </w:rPr>
                            </w:pPr>
                          </w:p>
                          <w:p w14:paraId="45227B97" w14:textId="3D299147" w:rsidR="00EF7DF9" w:rsidRDefault="00EF7DF9" w:rsidP="0008258C">
                            <w:pPr>
                              <w:pStyle w:val="Sidfot"/>
                              <w:rPr>
                                <w:b/>
                                <w:i/>
                              </w:rPr>
                            </w:pPr>
                            <w:r>
                              <w:rPr>
                                <w:b/>
                                <w:i/>
                              </w:rPr>
                              <w:t>Johan Eltes, Callista</w:t>
                            </w:r>
                          </w:p>
                          <w:p w14:paraId="56EC2BB7" w14:textId="77777777" w:rsidR="00EF7DF9" w:rsidRDefault="00EF7DF9" w:rsidP="0008258C">
                            <w:pPr>
                              <w:pStyle w:val="Sidfot"/>
                              <w:rPr>
                                <w:b/>
                                <w:i/>
                              </w:rPr>
                            </w:pPr>
                          </w:p>
                          <w:p w14:paraId="2744DEAE" w14:textId="0E1FADFC" w:rsidR="00EF7DF9" w:rsidRDefault="00EF7DF9" w:rsidP="0008258C">
                            <w:pPr>
                              <w:pStyle w:val="Sidfot"/>
                              <w:rPr>
                                <w:b/>
                                <w:i/>
                              </w:rPr>
                            </w:pPr>
                            <w:r>
                              <w:rPr>
                                <w:b/>
                                <w:i/>
                              </w:rPr>
                              <w:t>Beställare:</w:t>
                            </w:r>
                          </w:p>
                          <w:p w14:paraId="1727F54D" w14:textId="77777777" w:rsidR="00EF7DF9" w:rsidRDefault="00EF7DF9" w:rsidP="0008258C">
                            <w:pPr>
                              <w:pStyle w:val="Sidfot"/>
                              <w:rPr>
                                <w:b/>
                                <w:i/>
                              </w:rPr>
                            </w:pPr>
                          </w:p>
                          <w:p w14:paraId="181F918E" w14:textId="7EDAA33E" w:rsidR="00EF7DF9" w:rsidRDefault="00EF7DF9" w:rsidP="0008258C">
                            <w:pPr>
                              <w:pStyle w:val="Sidfot"/>
                              <w:rPr>
                                <w:b/>
                                <w:i/>
                              </w:rPr>
                            </w:pPr>
                            <w:r>
                              <w:rPr>
                                <w:b/>
                                <w:i/>
                              </w:rPr>
                              <w:t xml:space="preserve">Nina Lundberg, SLL HSF </w:t>
                            </w:r>
                          </w:p>
                          <w:p w14:paraId="5640D950" w14:textId="77777777" w:rsidR="00EF7DF9" w:rsidRPr="00B43EE0" w:rsidRDefault="00EF7DF9" w:rsidP="00D218F3"/>
                          <w:p w14:paraId="10DDB439" w14:textId="77777777" w:rsidR="00EF7DF9" w:rsidRPr="00B43EE0" w:rsidRDefault="00EF7DF9" w:rsidP="00D218F3"/>
                          <w:p w14:paraId="2457A03D" w14:textId="77777777" w:rsidR="00EF7DF9" w:rsidRPr="00B43EE0" w:rsidRDefault="00EF7DF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EF7DF9" w:rsidRDefault="00EF7DF9" w:rsidP="00D218F3">
                      <w:pPr>
                        <w:pStyle w:val="Sidfot"/>
                        <w:rPr>
                          <w:b/>
                          <w:i/>
                        </w:rPr>
                      </w:pPr>
                      <w:r w:rsidRPr="00FE3AAD">
                        <w:rPr>
                          <w:b/>
                          <w:i/>
                        </w:rPr>
                        <w:t>I arbetet har följande personer deltagit:</w:t>
                      </w:r>
                    </w:p>
                    <w:p w14:paraId="4EF9015E" w14:textId="77777777" w:rsidR="00EF7DF9" w:rsidRDefault="00EF7DF9" w:rsidP="00D218F3">
                      <w:pPr>
                        <w:pStyle w:val="Sidfot"/>
                        <w:rPr>
                          <w:b/>
                          <w:i/>
                        </w:rPr>
                      </w:pPr>
                    </w:p>
                    <w:p w14:paraId="491D3AD6" w14:textId="4B98BDB5" w:rsidR="00EF7DF9" w:rsidRDefault="00EF7DF9" w:rsidP="00D218F3">
                      <w:pPr>
                        <w:pStyle w:val="Sidfot"/>
                        <w:rPr>
                          <w:b/>
                          <w:i/>
                        </w:rPr>
                      </w:pPr>
                      <w:r>
                        <w:rPr>
                          <w:b/>
                          <w:i/>
                        </w:rPr>
                        <w:t>Projektgrupp:</w:t>
                      </w:r>
                    </w:p>
                    <w:p w14:paraId="1F66F383" w14:textId="77777777" w:rsidR="00EF7DF9" w:rsidRDefault="00EF7DF9" w:rsidP="00D218F3">
                      <w:pPr>
                        <w:pStyle w:val="Sidfot"/>
                        <w:rPr>
                          <w:b/>
                          <w:i/>
                        </w:rPr>
                      </w:pPr>
                    </w:p>
                    <w:p w14:paraId="2BD74928" w14:textId="0EB8B332" w:rsidR="00EF7DF9" w:rsidRDefault="00EF7DF9" w:rsidP="00D218F3">
                      <w:pPr>
                        <w:pStyle w:val="Sidfot"/>
                        <w:rPr>
                          <w:b/>
                          <w:i/>
                        </w:rPr>
                      </w:pPr>
                      <w:r>
                        <w:rPr>
                          <w:b/>
                          <w:i/>
                        </w:rPr>
                        <w:t>Maria Andersson, Mawell</w:t>
                      </w:r>
                    </w:p>
                    <w:p w14:paraId="5F7BB64C" w14:textId="280D6E08" w:rsidR="00EF7DF9" w:rsidRDefault="00EF7DF9" w:rsidP="00D218F3">
                      <w:pPr>
                        <w:pStyle w:val="Sidfot"/>
                        <w:rPr>
                          <w:b/>
                          <w:i/>
                        </w:rPr>
                      </w:pPr>
                      <w:r>
                        <w:rPr>
                          <w:b/>
                          <w:i/>
                        </w:rPr>
                        <w:t>Marco De Luca, Callista</w:t>
                      </w:r>
                    </w:p>
                    <w:p w14:paraId="0166F93D" w14:textId="6674564D" w:rsidR="00EF7DF9" w:rsidRDefault="00EF7DF9" w:rsidP="00D218F3">
                      <w:pPr>
                        <w:pStyle w:val="Sidfot"/>
                        <w:rPr>
                          <w:b/>
                          <w:i/>
                        </w:rPr>
                      </w:pPr>
                      <w:r>
                        <w:rPr>
                          <w:b/>
                          <w:i/>
                        </w:rPr>
                        <w:t>Magnus Ekstrand, Callista</w:t>
                      </w:r>
                    </w:p>
                    <w:p w14:paraId="181FAA35" w14:textId="11D17738" w:rsidR="00EF7DF9" w:rsidRDefault="00EF7DF9" w:rsidP="00D218F3">
                      <w:pPr>
                        <w:pStyle w:val="Sidfot"/>
                        <w:rPr>
                          <w:b/>
                          <w:i/>
                        </w:rPr>
                      </w:pPr>
                      <w:r>
                        <w:rPr>
                          <w:b/>
                          <w:i/>
                        </w:rPr>
                        <w:t>Johan Eltes, Callista</w:t>
                      </w:r>
                    </w:p>
                    <w:p w14:paraId="23F76671" w14:textId="6521BA91" w:rsidR="00EF7DF9" w:rsidRDefault="00EF7DF9" w:rsidP="00D218F3">
                      <w:pPr>
                        <w:pStyle w:val="Sidfot"/>
                        <w:rPr>
                          <w:b/>
                          <w:i/>
                        </w:rPr>
                      </w:pPr>
                      <w:r>
                        <w:rPr>
                          <w:b/>
                          <w:i/>
                        </w:rPr>
                        <w:t>Lennart Eriksson, CeHis</w:t>
                      </w:r>
                    </w:p>
                    <w:p w14:paraId="5EBF459A" w14:textId="6ADE153E" w:rsidR="00EF7DF9" w:rsidRDefault="00EF7DF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F7DF9" w:rsidRDefault="00EF7DF9" w:rsidP="00D218F3">
                      <w:pPr>
                        <w:pStyle w:val="Sidfot"/>
                        <w:rPr>
                          <w:b/>
                          <w:i/>
                        </w:rPr>
                      </w:pPr>
                      <w:r>
                        <w:rPr>
                          <w:b/>
                          <w:i/>
                        </w:rPr>
                        <w:t>Thomas Slitberg, Mawell</w:t>
                      </w:r>
                    </w:p>
                    <w:p w14:paraId="41B65920" w14:textId="71B42563" w:rsidR="00EF7DF9" w:rsidRPr="00FE3AAD" w:rsidRDefault="00EF7DF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F7DF9" w:rsidRDefault="00EF7DF9" w:rsidP="0008258C">
                      <w:pPr>
                        <w:pStyle w:val="Sidfot"/>
                        <w:rPr>
                          <w:b/>
                          <w:i/>
                        </w:rPr>
                      </w:pPr>
                      <w:r>
                        <w:rPr>
                          <w:b/>
                          <w:i/>
                        </w:rPr>
                        <w:t>Fredrik Ström, Mawell</w:t>
                      </w:r>
                    </w:p>
                    <w:p w14:paraId="3DB2AFC8" w14:textId="77777777" w:rsidR="00EF7DF9" w:rsidRDefault="00EF7DF9" w:rsidP="0008258C">
                      <w:pPr>
                        <w:pStyle w:val="Sidfot"/>
                        <w:rPr>
                          <w:b/>
                          <w:i/>
                        </w:rPr>
                      </w:pPr>
                    </w:p>
                    <w:p w14:paraId="4A431A8E" w14:textId="24B575D0" w:rsidR="00EF7DF9" w:rsidRDefault="00EF7DF9" w:rsidP="0008258C">
                      <w:pPr>
                        <w:pStyle w:val="Sidfot"/>
                        <w:rPr>
                          <w:b/>
                          <w:i/>
                        </w:rPr>
                      </w:pPr>
                      <w:r>
                        <w:rPr>
                          <w:b/>
                          <w:i/>
                        </w:rPr>
                        <w:t>Projektledning:</w:t>
                      </w:r>
                    </w:p>
                    <w:p w14:paraId="607582CE" w14:textId="77777777" w:rsidR="00EF7DF9" w:rsidRDefault="00EF7DF9" w:rsidP="0008258C">
                      <w:pPr>
                        <w:pStyle w:val="Sidfot"/>
                        <w:rPr>
                          <w:b/>
                          <w:i/>
                        </w:rPr>
                      </w:pPr>
                    </w:p>
                    <w:p w14:paraId="45227B97" w14:textId="3D299147" w:rsidR="00EF7DF9" w:rsidRDefault="00EF7DF9" w:rsidP="0008258C">
                      <w:pPr>
                        <w:pStyle w:val="Sidfot"/>
                        <w:rPr>
                          <w:b/>
                          <w:i/>
                        </w:rPr>
                      </w:pPr>
                      <w:r>
                        <w:rPr>
                          <w:b/>
                          <w:i/>
                        </w:rPr>
                        <w:t>Johan Eltes, Callista</w:t>
                      </w:r>
                    </w:p>
                    <w:p w14:paraId="56EC2BB7" w14:textId="77777777" w:rsidR="00EF7DF9" w:rsidRDefault="00EF7DF9" w:rsidP="0008258C">
                      <w:pPr>
                        <w:pStyle w:val="Sidfot"/>
                        <w:rPr>
                          <w:b/>
                          <w:i/>
                        </w:rPr>
                      </w:pPr>
                    </w:p>
                    <w:p w14:paraId="2744DEAE" w14:textId="0E1FADFC" w:rsidR="00EF7DF9" w:rsidRDefault="00EF7DF9" w:rsidP="0008258C">
                      <w:pPr>
                        <w:pStyle w:val="Sidfot"/>
                        <w:rPr>
                          <w:b/>
                          <w:i/>
                        </w:rPr>
                      </w:pPr>
                      <w:r>
                        <w:rPr>
                          <w:b/>
                          <w:i/>
                        </w:rPr>
                        <w:t>Beställare:</w:t>
                      </w:r>
                    </w:p>
                    <w:p w14:paraId="1727F54D" w14:textId="77777777" w:rsidR="00EF7DF9" w:rsidRDefault="00EF7DF9" w:rsidP="0008258C">
                      <w:pPr>
                        <w:pStyle w:val="Sidfot"/>
                        <w:rPr>
                          <w:b/>
                          <w:i/>
                        </w:rPr>
                      </w:pPr>
                    </w:p>
                    <w:p w14:paraId="181F918E" w14:textId="7EDAA33E" w:rsidR="00EF7DF9" w:rsidRDefault="00EF7DF9" w:rsidP="0008258C">
                      <w:pPr>
                        <w:pStyle w:val="Sidfot"/>
                        <w:rPr>
                          <w:b/>
                          <w:i/>
                        </w:rPr>
                      </w:pPr>
                      <w:r>
                        <w:rPr>
                          <w:b/>
                          <w:i/>
                        </w:rPr>
                        <w:t xml:space="preserve">Nina Lundberg, SLL HSF </w:t>
                      </w:r>
                    </w:p>
                    <w:p w14:paraId="5640D950" w14:textId="77777777" w:rsidR="00EF7DF9" w:rsidRPr="00B43EE0" w:rsidRDefault="00EF7DF9" w:rsidP="00D218F3"/>
                    <w:p w14:paraId="10DDB439" w14:textId="77777777" w:rsidR="00EF7DF9" w:rsidRPr="00B43EE0" w:rsidRDefault="00EF7DF9" w:rsidP="00D218F3"/>
                    <w:p w14:paraId="2457A03D" w14:textId="77777777" w:rsidR="00EF7DF9" w:rsidRPr="00B43EE0" w:rsidRDefault="00EF7DF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034886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034886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034886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034886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034886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034886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034887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0348871"/>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034887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034887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034887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034887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7" w:name="_Toc219337774"/>
      <w:bookmarkStart w:id="28" w:name="_Toc220348876"/>
      <w:r w:rsidRPr="00BC5B0B">
        <w:t>Tjänstekontraktens design</w:t>
      </w:r>
      <w:bookmarkEnd w:id="27"/>
      <w:bookmarkEnd w:id="28"/>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9" w:name="_Toc219337775"/>
      <w:bookmarkStart w:id="30"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852BED">
      <w:pPr>
        <w:pStyle w:val="Rubrik1"/>
        <w:numPr>
          <w:ilvl w:val="1"/>
          <w:numId w:val="1"/>
        </w:numPr>
        <w:tabs>
          <w:tab w:val="left" w:pos="1299"/>
        </w:tabs>
        <w:ind w:left="792" w:hanging="432"/>
      </w:pPr>
      <w:bookmarkStart w:id="31" w:name="_Toc219337776"/>
      <w:bookmarkStart w:id="32" w:name="_Toc220348878"/>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4" w:name="_Toc219337777"/>
      <w:bookmarkStart w:id="35" w:name="_Toc220348879"/>
      <w:r>
        <w:t>Uppdatering av anslutningskatalog</w:t>
      </w:r>
      <w:bookmarkEnd w:id="34"/>
      <w:bookmarkEnd w:id="35"/>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6" w:name="_Toc219337778"/>
      <w:bookmarkStart w:id="37" w:name="_Toc220348880"/>
      <w:r w:rsidRPr="00BC5B0B">
        <w:t>SLA-krav</w:t>
      </w:r>
      <w:bookmarkEnd w:id="36"/>
      <w:bookmarkEnd w:id="37"/>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8" w:name="_Toc220348881"/>
      <w:r>
        <w:t>Gemensamma konsumentregler</w:t>
      </w:r>
      <w:bookmarkEnd w:id="38"/>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39" w:name="_Toc341787026"/>
      <w:bookmarkStart w:id="40" w:name="_Toc219337779"/>
      <w:bookmarkStart w:id="41" w:name="_Toc220348882"/>
      <w:r w:rsidRPr="00BC5B0B">
        <w:t>Format för Datum</w:t>
      </w:r>
      <w:bookmarkEnd w:id="39"/>
      <w:bookmarkEnd w:id="40"/>
      <w:bookmarkEnd w:id="41"/>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2" w:name="_Toc341787027"/>
      <w:bookmarkStart w:id="43" w:name="_Toc219337780"/>
      <w:bookmarkStart w:id="44" w:name="_Toc220348883"/>
      <w:r w:rsidRPr="00BC5B0B">
        <w:t>Format för tidpunkter</w:t>
      </w:r>
      <w:bookmarkEnd w:id="42"/>
      <w:bookmarkEnd w:id="43"/>
      <w:bookmarkEnd w:id="44"/>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5" w:name="_Toc341787028"/>
      <w:bookmarkStart w:id="46" w:name="_Toc219337781"/>
      <w:bookmarkStart w:id="47" w:name="_Toc220348884"/>
      <w:r w:rsidRPr="00BC5B0B">
        <w:t>Tidszon för tidpunkter</w:t>
      </w:r>
      <w:bookmarkEnd w:id="45"/>
      <w:bookmarkEnd w:id="46"/>
      <w:bookmarkEnd w:id="47"/>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w:t>
      </w:r>
      <w:r w:rsidRPr="00BC5B0B">
        <w:lastRenderedPageBreak/>
        <w:t>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8" w:name="_Toc341787029"/>
      <w:bookmarkStart w:id="49" w:name="_Toc219337782"/>
      <w:bookmarkStart w:id="50" w:name="_Toc220348885"/>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1" w:name="_Toc220348886"/>
      <w:bookmarkStart w:id="52" w:name="_Toc341787030"/>
      <w:r w:rsidRPr="00907C9B">
        <w:rPr>
          <w:spacing w:val="1"/>
        </w:rPr>
        <w:t>Gemensamma informationskomponenter</w:t>
      </w:r>
      <w:bookmarkEnd w:id="51"/>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4DD038F4"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0C558F09" w:rsidR="00240DAB" w:rsidRPr="00BC5B0B" w:rsidRDefault="00EF7DF9" w:rsidP="00FE2B3C">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240DAB" w:rsidRPr="00BC5B0B">
              <w:rPr>
                <w:rFonts w:ascii="Times New Roman" w:eastAsia="Times New Roman" w:hAnsi="Times New Roman" w:cs="Times New Roman"/>
                <w:sz w:val="20"/>
                <w:szCs w:val="20"/>
              </w:rPr>
              <w:t>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6DB0C2B0"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29C8751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0ED728C2"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04C1B36D"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10B25D9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7F6C9163"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115E81F5" w:rsidR="00305B68" w:rsidRPr="00BC5B0B" w:rsidRDefault="00EF7DF9"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305B68" w:rsidRPr="00BC5B0B">
              <w:rPr>
                <w:rFonts w:ascii="Times New Roman" w:eastAsia="Times New Roman" w:hAnsi="Times New Roman" w:cs="Times New Roman"/>
                <w:sz w:val="20"/>
                <w:szCs w:val="20"/>
              </w:rPr>
              <w:t>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8A655B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61762BB5"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41C69E2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4C3B63F8"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7A629F0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0803DC02"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22D194A1"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6D6D7C9D"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24551A99"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0761D925"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142FC584"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240DAB">
              <w:rPr>
                <w:rFonts w:ascii="Times New Roman" w:eastAsia="Times New Roman" w:hAnsi="Times New Roman" w:cs="Times New Roman"/>
                <w:sz w:val="20"/>
                <w:szCs w:val="20"/>
              </w:rPr>
              <w:t>custodianID</w:t>
            </w:r>
            <w:proofErr w:type="spell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60163587"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78F44EB7" w:rsidR="00305B68" w:rsidRPr="00240DAB" w:rsidRDefault="00EF7DF9"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Pr>
                <w:rFonts w:ascii="Times New Roman" w:eastAsia="Times New Roman" w:hAnsi="Times New Roman" w:cs="Times New Roman"/>
                <w:sz w:val="20"/>
                <w:szCs w:val="20"/>
                <w:lang w:val="en-US"/>
              </w:rPr>
              <w:t>L</w:t>
            </w:r>
            <w:r w:rsidR="00305B68" w:rsidRPr="00240DAB">
              <w:rPr>
                <w:rFonts w:ascii="Times New Roman" w:eastAsia="Times New Roman" w:hAnsi="Times New Roman" w:cs="Times New Roman"/>
                <w:sz w:val="20"/>
                <w:szCs w:val="20"/>
                <w:lang w:val="en-US"/>
              </w:rPr>
              <w:t>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45BD9718"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signatureTime</w:t>
            </w:r>
            <w:proofErr w:type="spellEnd"/>
            <w:proofErr w:type="gram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44D1337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assignedEntity</w:t>
            </w:r>
            <w:proofErr w:type="spellEnd"/>
            <w:proofErr w:type="gram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F0393CD" w:rsidR="00305B68" w:rsidRPr="00BC5B0B" w:rsidRDefault="00EF7DF9"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305B68" w:rsidRPr="00BC5B0B">
              <w:rPr>
                <w:rFonts w:ascii="Times New Roman" w:eastAsia="Times New Roman" w:hAnsi="Times New Roman" w:cs="Times New Roman"/>
                <w:spacing w:val="-1"/>
                <w:sz w:val="20"/>
                <w:szCs w:val="20"/>
              </w:rPr>
              <w:t>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7251FF80"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49173AB9"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4F8119F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02D6145A" w:rsidR="00305B68" w:rsidRPr="00BC5B0B" w:rsidRDefault="00EF7DF9" w:rsidP="00FE2B3C">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w:t>
            </w:r>
            <w:r w:rsidR="00305B68"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1A0E5E3" w:rsidR="00E81C95" w:rsidRPr="00BC5B0B" w:rsidRDefault="0052753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C87799" w:rsidRPr="00BC5B0B" w14:paraId="6B65548A"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72DDCDCE" w14:textId="1E61F0B5" w:rsidR="00C87799" w:rsidRDefault="00C87799" w:rsidP="00E81C95">
            <w:pPr>
              <w:pStyle w:val="TableParagraph"/>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22D4EBF" w14:textId="2E5C1C68" w:rsidR="00C87799" w:rsidRDefault="00C87799" w:rsidP="00E81C95">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lang w:val="en-US"/>
              </w:rPr>
              <w:t>E</w:t>
            </w:r>
            <w:r w:rsidRPr="00907C9B">
              <w:rPr>
                <w:rFonts w:ascii="Times New Roman" w:eastAsia="Times New Roman" w:hAnsi="Times New Roman" w:cs="Times New Roman"/>
                <w:spacing w:val="-1"/>
                <w:sz w:val="20"/>
                <w:szCs w:val="20"/>
                <w:lang w:val="en-US"/>
              </w:rPr>
              <w:t>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F32D96A" w14:textId="77777777" w:rsidR="00C87799" w:rsidRPr="00E81C95" w:rsidRDefault="00C87799" w:rsidP="00E81C95">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CCBA428" w14:textId="1EBA94A8" w:rsidR="00C87799" w:rsidRPr="00BC5B0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lang w:val="en-US"/>
              </w:rPr>
              <w:t>0..1</w:t>
            </w:r>
          </w:p>
        </w:tc>
      </w:tr>
      <w:tr w:rsidR="00C87799" w:rsidRPr="00BC5B0B" w14:paraId="42DE7140"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6AAB7638" w14:textId="77777777" w:rsidR="00C87799" w:rsidRPr="00907C9B" w:rsidRDefault="00C87799" w:rsidP="00DF7969">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32527CE8" w14:textId="77777777" w:rsidR="00C87799" w:rsidRPr="00907C9B" w:rsidRDefault="00C87799" w:rsidP="00E81C95">
            <w:pPr>
              <w:pStyle w:val="TableParagraph"/>
              <w:spacing w:line="226" w:lineRule="exact"/>
              <w:ind w:left="102"/>
              <w:rPr>
                <w:rFonts w:ascii="Times New Roman" w:eastAsia="Times New Roman" w:hAnsi="Times New Roman" w:cs="Times New Roman"/>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18E9C69" w14:textId="4EE3379B" w:rsidR="00C87799" w:rsidRDefault="00C87799" w:rsidP="00E81C95">
            <w:pPr>
              <w:pStyle w:val="TableParagraph"/>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77133099" w14:textId="7DD91969" w:rsidR="00C87799" w:rsidRPr="00E81C95" w:rsidRDefault="00C87799" w:rsidP="00E81C95">
            <w:pPr>
              <w:pStyle w:val="TableParagraph"/>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363C5039" w14:textId="0CB0C4C3"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C87799" w:rsidRPr="00BC5B0B" w14:paraId="38E8EB93"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5AA23826" w14:textId="77777777" w:rsidR="00C87799" w:rsidRPr="00907C9B" w:rsidRDefault="00C87799" w:rsidP="00DF7969">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3A5AE345" w14:textId="77777777" w:rsidR="00C87799" w:rsidRPr="00907C9B" w:rsidRDefault="00C87799" w:rsidP="00DF7969">
            <w:pPr>
              <w:spacing w:line="226" w:lineRule="exact"/>
              <w:ind w:left="102"/>
              <w:rPr>
                <w:rFonts w:ascii="Times New Roman" w:eastAsia="Times New Roman" w:hAnsi="Times New Roman" w:cs="Times New Roman"/>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BCD9360" w14:textId="1C50EA2A"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289BA464" w14:textId="6734175C"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w:t>
            </w:r>
            <w:bookmarkStart w:id="53" w:name="_GoBack"/>
            <w:bookmarkEnd w:id="53"/>
            <w:r w:rsidRPr="00907C9B">
              <w:rPr>
                <w:rFonts w:ascii="Times New Roman" w:eastAsia="Times New Roman" w:hAnsi="Times New Roman" w:cs="Times New Roman"/>
                <w:spacing w:val="-1"/>
                <w:sz w:val="20"/>
                <w:szCs w:val="20"/>
              </w:rPr>
              <w:t>rgskontakt</w:t>
            </w:r>
          </w:p>
        </w:tc>
        <w:tc>
          <w:tcPr>
            <w:tcW w:w="900" w:type="dxa"/>
            <w:tcBorders>
              <w:top w:val="single" w:sz="5" w:space="0" w:color="000000"/>
              <w:left w:val="single" w:sz="5" w:space="0" w:color="000000"/>
              <w:bottom w:val="single" w:sz="5" w:space="0" w:color="000000"/>
              <w:right w:val="single" w:sz="5" w:space="0" w:color="000000"/>
            </w:tcBorders>
          </w:tcPr>
          <w:p w14:paraId="75FE53FC" w14:textId="547116E9"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4" w:name="_Toc220348887"/>
      <w:proofErr w:type="spellStart"/>
      <w:r w:rsidRPr="00907C9B">
        <w:rPr>
          <w:spacing w:val="1"/>
        </w:rPr>
        <w:t>GetCareDocumentation</w:t>
      </w:r>
      <w:proofErr w:type="spellEnd"/>
      <w:r w:rsidRPr="00907C9B">
        <w:rPr>
          <w:spacing w:val="1"/>
        </w:rPr>
        <w:t xml:space="preserve"> (Vård- och omsorgsdokument</w:t>
      </w:r>
      <w:bookmarkEnd w:id="52"/>
      <w:r w:rsidRPr="00907C9B">
        <w:rPr>
          <w:spacing w:val="1"/>
        </w:rPr>
        <w:t>)</w:t>
      </w:r>
      <w:bookmarkEnd w:id="54"/>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5" w:name="_Toc341787031"/>
      <w:bookmarkStart w:id="56" w:name="_Toc220348888"/>
      <w:r w:rsidRPr="002E1905">
        <w:rPr>
          <w:color w:val="000000" w:themeColor="text1"/>
        </w:rPr>
        <w:t>Frivillighet</w:t>
      </w:r>
      <w:bookmarkEnd w:id="55"/>
      <w:bookmarkEnd w:id="56"/>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7" w:name="_Toc341787032"/>
      <w:bookmarkStart w:id="58" w:name="_Toc220348889"/>
      <w:r w:rsidRPr="00866C77">
        <w:rPr>
          <w:color w:val="000000" w:themeColor="text1"/>
        </w:rPr>
        <w:t>Version</w:t>
      </w:r>
      <w:bookmarkEnd w:id="57"/>
      <w:bookmarkEnd w:id="58"/>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9" w:name="_Toc341787033"/>
      <w:bookmarkStart w:id="60" w:name="_Toc220348890"/>
      <w:r w:rsidRPr="001C06B7">
        <w:rPr>
          <w:color w:val="000000" w:themeColor="text1"/>
        </w:rPr>
        <w:t>SLA-krav</w:t>
      </w:r>
      <w:bookmarkEnd w:id="59"/>
      <w:bookmarkEnd w:id="60"/>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1" w:name="_Toc341787034"/>
      <w:bookmarkStart w:id="62" w:name="_Toc220348891"/>
      <w:r w:rsidRPr="00EE7BD6">
        <w:rPr>
          <w:color w:val="000000" w:themeColor="text1"/>
        </w:rPr>
        <w:t>Fältregler</w:t>
      </w:r>
      <w:bookmarkEnd w:id="61"/>
      <w:bookmarkEnd w:id="62"/>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CAC509F"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areDocumentation</w:t>
            </w:r>
            <w:proofErr w:type="spellEnd"/>
            <w:r w:rsidR="00907C9B" w:rsidRPr="00907C9B">
              <w:rPr>
                <w:rFonts w:ascii="Times New Roman" w:eastAsia="Times New Roman" w:hAnsi="Times New Roman" w:cs="Times New Roman"/>
                <w:sz w:val="20"/>
                <w:szCs w:val="20"/>
              </w:rPr>
              <w:br/>
            </w:r>
            <w:proofErr w:type="spellStart"/>
            <w:r w:rsidR="00907C9B"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37B57E45"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907C9B" w:rsidRPr="00907C9B">
              <w:rPr>
                <w:rFonts w:ascii="Times New Roman" w:eastAsia="Times New Roman" w:hAnsi="Times New Roman" w:cs="Times New Roman"/>
                <w:sz w:val="20"/>
                <w:szCs w:val="20"/>
              </w:rPr>
              <w:t>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w:t>
            </w:r>
            <w:r w:rsidR="00907C9B" w:rsidRPr="00907C9B">
              <w:rPr>
                <w:rFonts w:ascii="Times New Roman" w:eastAsia="Times New Roman" w:hAnsi="Times New Roman" w:cs="Times New Roman"/>
                <w:sz w:val="20"/>
                <w:szCs w:val="20"/>
                <w:lang w:val="en-US"/>
              </w:rPr>
              <w:t>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5E9757AB"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18666513" w:rsidR="00907C9B" w:rsidRPr="00907C9B" w:rsidRDefault="004479C5" w:rsidP="00907C9B">
            <w:pPr>
              <w:spacing w:line="226" w:lineRule="exact"/>
              <w:ind w:left="102"/>
              <w:rPr>
                <w:rFonts w:ascii="Times New Roman" w:eastAsia="Times New Roman" w:hAnsi="Times New Roman" w:cs="Times New Roman"/>
                <w:spacing w:val="-1"/>
                <w:sz w:val="20"/>
                <w:szCs w:val="20"/>
                <w:lang w:val="en-US"/>
              </w:rPr>
            </w:pPr>
            <w:proofErr w:type="spellStart"/>
            <w:r>
              <w:rPr>
                <w:rFonts w:ascii="Times New Roman" w:eastAsia="Times New Roman" w:hAnsi="Times New Roman" w:cs="Times New Roman"/>
                <w:spacing w:val="-1"/>
                <w:sz w:val="20"/>
                <w:szCs w:val="20"/>
                <w:lang w:val="en-US"/>
              </w:rPr>
              <w:t>E</w:t>
            </w:r>
            <w:r w:rsidR="00907C9B" w:rsidRPr="00907C9B">
              <w:rPr>
                <w:rFonts w:ascii="Times New Roman" w:eastAsia="Times New Roman" w:hAnsi="Times New Roman" w:cs="Times New Roman"/>
                <w:spacing w:val="-1"/>
                <w:sz w:val="20"/>
                <w:szCs w:val="20"/>
                <w:lang w:val="en-US"/>
              </w:rPr>
              <w:t>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907C9B" w:rsidRPr="00907C9B">
              <w:rPr>
                <w:rFonts w:ascii="Times New Roman" w:eastAsia="Times New Roman" w:hAnsi="Times New Roman" w:cs="Times New Roman"/>
                <w:spacing w:val="-1"/>
                <w:sz w:val="20"/>
                <w:szCs w:val="20"/>
              </w:rPr>
              <w:t>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14F3DF0D"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DBA4917"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w:t>
            </w:r>
            <w:r w:rsidR="00907C9B" w:rsidRPr="00907C9B">
              <w:rPr>
                <w:rFonts w:ascii="Times New Roman" w:eastAsia="Times New Roman" w:hAnsi="Times New Roman" w:cs="Times New Roman"/>
                <w:sz w:val="20"/>
                <w:szCs w:val="20"/>
              </w:rPr>
              <w:t>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lastRenderedPageBreak/>
        <w:t>GetReferral</w:t>
      </w:r>
      <w:bookmarkEnd w:id="63"/>
      <w:r w:rsidR="0051739C">
        <w:rPr>
          <w:spacing w:val="1"/>
        </w:rPr>
        <w:t>Outcome</w:t>
      </w:r>
      <w:proofErr w:type="spellEnd"/>
      <w:r w:rsidRPr="00907C9B">
        <w:br/>
      </w:r>
    </w:p>
    <w:p w14:paraId="645307FB" w14:textId="4AA0F60F"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w:t>
      </w:r>
      <w:r w:rsidR="0051739C">
        <w:rPr>
          <w:rFonts w:ascii="Times New Roman" w:eastAsia="Times New Roman" w:hAnsi="Times New Roman"/>
          <w:spacing w:val="-1"/>
          <w:sz w:val="24"/>
          <w:szCs w:val="24"/>
        </w:rPr>
        <w:t>Outcome</w:t>
      </w:r>
      <w:proofErr w:type="spellEnd"/>
      <w:r w:rsidRPr="00907C9B">
        <w:rPr>
          <w:rFonts w:ascii="Times New Roman" w:eastAsia="Times New Roman" w:hAnsi="Times New Roman"/>
          <w:spacing w:val="-1"/>
          <w:sz w:val="24"/>
          <w:szCs w:val="24"/>
        </w:rPr>
        <w:t xml:space="preserve"> returnerar svar på en konsultationsremiss</w:t>
      </w:r>
      <w:r w:rsidR="00527535">
        <w:rPr>
          <w:rFonts w:ascii="Times New Roman" w:eastAsia="Times New Roman" w:hAnsi="Times New Roman"/>
          <w:spacing w:val="-1"/>
          <w:sz w:val="24"/>
          <w:szCs w:val="24"/>
        </w:rPr>
        <w: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907C9B" w:rsidRPr="00907C9B" w:rsidRDefault="00907C9B" w:rsidP="0051739C">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w:t>
            </w:r>
            <w:r w:rsidR="0051739C">
              <w:rPr>
                <w:rFonts w:ascii="Times New Roman" w:eastAsia="Times New Roman" w:hAnsi="Times New Roman" w:cs="Times New Roman"/>
                <w:sz w:val="20"/>
                <w:szCs w:val="20"/>
              </w:rPr>
              <w:t>Outcome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16E53E10" w:rsidR="00907C9B" w:rsidRPr="00907C9B" w:rsidRDefault="004479C5" w:rsidP="0051739C">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00907C9B" w:rsidRPr="00907C9B">
              <w:rPr>
                <w:rFonts w:ascii="Times New Roman" w:eastAsia="Times New Roman" w:hAnsi="Times New Roman" w:cs="Times New Roman"/>
                <w:sz w:val="20"/>
                <w:szCs w:val="20"/>
              </w:rPr>
              <w:t>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Type</w:t>
            </w:r>
            <w:proofErr w:type="spellEnd"/>
            <w:r w:rsidR="00907C9B"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27D9EDE2"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907C9B" w:rsidRPr="00907C9B">
              <w:rPr>
                <w:rFonts w:ascii="Times New Roman" w:eastAsia="Times New Roman" w:hAnsi="Times New Roman" w:cs="Times New Roman"/>
                <w:sz w:val="20"/>
                <w:szCs w:val="20"/>
              </w:rPr>
              <w:t>atientSummeryHeaderType</w:t>
            </w:r>
            <w:proofErr w:type="spellEnd"/>
            <w:r w:rsidR="00907C9B"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6AF48465"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4479C5">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4479C5">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18CCD004"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w:t>
            </w:r>
            <w:r w:rsidR="00907C9B" w:rsidRPr="00907C9B">
              <w:rPr>
                <w:rFonts w:ascii="Times New Roman" w:eastAsia="Times New Roman" w:hAnsi="Times New Roman" w:cs="Times New Roman"/>
                <w:sz w:val="20"/>
                <w:szCs w:val="20"/>
              </w:rPr>
              <w:t>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483BF628"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4309086F" w:rsidR="00907C9B" w:rsidRPr="00907C9B" w:rsidRDefault="004479C5" w:rsidP="00907C9B">
            <w:pPr>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w:t>
            </w:r>
            <w:r w:rsidR="00907C9B" w:rsidRPr="00907C9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 som anger typ av tillgänglighet. Tillåtna värden är P0-00790 för Information till Patient (att information är tillgänglig till patient kan ha föregåtts av menprövning)</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907C9B" w:rsidRPr="00907C9B" w:rsidRDefault="0051739C" w:rsidP="00907C9B">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referralOutcome</w:t>
            </w:r>
            <w:r w:rsidR="00907C9B" w:rsidRPr="00907C9B">
              <w:rPr>
                <w:rFonts w:ascii="Times New Roman" w:eastAsia="Times New Roman" w:hAnsi="Times New Roman" w:cs="Times New Roman"/>
                <w:sz w:val="20"/>
                <w:szCs w:val="20"/>
              </w:rPr>
              <w:t>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19759957"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00907C9B" w:rsidRPr="00907C9B">
              <w:rPr>
                <w:rFonts w:ascii="Times New Roman" w:eastAsia="Times New Roman" w:hAnsi="Times New Roman" w:cs="Times New Roman"/>
                <w:sz w:val="20"/>
                <w:szCs w:val="20"/>
              </w:rPr>
              <w:t>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BodyType</w:t>
            </w:r>
            <w:proofErr w:type="spellEnd"/>
            <w:r w:rsidR="00907C9B"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01CD026B" w:rsidR="00907C9B" w:rsidRPr="00907C9B" w:rsidRDefault="00EF7DF9" w:rsidP="0051739C">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907C9B" w:rsidRPr="00907C9B">
              <w:rPr>
                <w:rFonts w:ascii="Times New Roman" w:eastAsia="Times New Roman" w:hAnsi="Times New Roman" w:cs="Times New Roman"/>
                <w:sz w:val="20"/>
                <w:szCs w:val="20"/>
              </w:rPr>
              <w:t>referral</w:t>
            </w:r>
            <w:r w:rsidR="0051739C">
              <w:rPr>
                <w:rFonts w:ascii="Times New Roman" w:eastAsia="Times New Roman" w:hAnsi="Times New Roman" w:cs="Times New Roman"/>
                <w:sz w:val="20"/>
                <w:szCs w:val="20"/>
              </w:rPr>
              <w:t>Outcome</w:t>
            </w:r>
            <w:r w:rsidR="00907C9B" w:rsidRPr="00907C9B">
              <w:rPr>
                <w:rFonts w:ascii="Times New Roman" w:eastAsia="Times New Roman" w:hAnsi="Times New Roman" w:cs="Times New Roman"/>
                <w:sz w:val="20"/>
                <w:szCs w:val="20"/>
              </w:rPr>
              <w: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D4A2A54" w:rsidR="00907C9B" w:rsidRPr="00907C9B" w:rsidRDefault="00EF7DF9"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51739C">
              <w:rPr>
                <w:rFonts w:ascii="Times New Roman" w:eastAsia="Times New Roman" w:hAnsi="Times New Roman" w:cs="Times New Roman"/>
                <w:sz w:val="20"/>
                <w:szCs w:val="20"/>
              </w:rPr>
              <w:t>referralOutcome</w:t>
            </w:r>
            <w:r w:rsidR="00907C9B" w:rsidRPr="00907C9B">
              <w:rPr>
                <w:rFonts w:ascii="Times New Roman" w:eastAsia="Times New Roman" w:hAnsi="Times New Roman" w:cs="Times New Roman"/>
                <w:sz w:val="20"/>
                <w:szCs w:val="20"/>
              </w:rPr>
              <w: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4479C5">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33A7972E" w:rsidR="00907C9B" w:rsidRPr="00907C9B" w:rsidRDefault="00EF7DF9"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907C9B" w:rsidRPr="00907C9B">
              <w:rPr>
                <w:rFonts w:ascii="Times New Roman" w:eastAsia="Times New Roman" w:hAnsi="Times New Roman" w:cs="Times New Roman"/>
                <w:sz w:val="20"/>
                <w:szCs w:val="20"/>
              </w:rPr>
              <w:t>clinicalInformation</w:t>
            </w:r>
            <w:proofErr w:type="spell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55CD8AF8" w:rsidR="00907C9B" w:rsidRPr="00907C9B" w:rsidRDefault="004479C5"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4DF7D168" w:rsidR="00907C9B" w:rsidRPr="00907C9B" w:rsidRDefault="00EF7DF9"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907C9B" w:rsidRPr="00907C9B">
              <w:rPr>
                <w:rFonts w:ascii="Times New Roman" w:eastAsia="Times New Roman" w:hAnsi="Times New Roman" w:cs="Times New Roman"/>
                <w:sz w:val="20"/>
                <w:szCs w:val="20"/>
              </w:rPr>
              <w:t>clinicalInformationCode</w:t>
            </w:r>
            <w:proofErr w:type="spellEnd"/>
            <w:proofErr w:type="gram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4B87D244" w:rsidR="00907C9B" w:rsidRPr="00907C9B" w:rsidRDefault="00EF7DF9"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907C9B" w:rsidRPr="00907C9B">
              <w:rPr>
                <w:rFonts w:ascii="Times New Roman" w:eastAsia="Times New Roman" w:hAnsi="Times New Roman" w:cs="Times New Roman"/>
                <w:sz w:val="20"/>
                <w:szCs w:val="20"/>
              </w:rPr>
              <w:t>.</w:t>
            </w:r>
            <w:proofErr w:type="spellStart"/>
            <w:r w:rsidR="00907C9B" w:rsidRPr="00907C9B">
              <w:rPr>
                <w:rFonts w:ascii="Times New Roman" w:eastAsia="Times New Roman" w:hAnsi="Times New Roman" w:cs="Times New Roman"/>
                <w:sz w:val="20"/>
                <w:szCs w:val="20"/>
              </w:rPr>
              <w:t>clinicalInformationText</w:t>
            </w:r>
            <w:proofErr w:type="spellEnd"/>
            <w:proofErr w:type="gram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2C3FB3AE" w:rsidR="00907C9B" w:rsidRPr="00907C9B" w:rsidRDefault="00264A01"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907C9B" w:rsidRPr="00907C9B">
              <w:rPr>
                <w:rFonts w:ascii="Times New Roman" w:eastAsia="Times New Roman" w:hAnsi="Times New Roman" w:cs="Times New Roman"/>
                <w:sz w:val="20"/>
                <w:szCs w:val="20"/>
              </w:rPr>
              <w:t>act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AEA0925" w14:textId="2A2E5CA3" w:rsidR="00907C9B" w:rsidRPr="00907C9B" w:rsidRDefault="00BB2E64" w:rsidP="00907C9B">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907C9B" w:rsidRPr="00907C9B">
              <w:rPr>
                <w:rFonts w:ascii="Times New Roman" w:eastAsia="Times New Roman" w:hAnsi="Times New Roman" w:cs="Times New Roman"/>
                <w:sz w:val="20"/>
                <w:szCs w:val="20"/>
              </w:rPr>
              <w:t>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2E4871BA" w:rsidR="00907C9B" w:rsidRPr="00EF7DF9" w:rsidRDefault="00264A01"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907C9B" w:rsidRPr="00EF7DF9">
              <w:rPr>
                <w:rFonts w:ascii="Times New Roman" w:eastAsia="Times New Roman" w:hAnsi="Times New Roman" w:cs="Times New Roman"/>
                <w:sz w:val="20"/>
                <w:szCs w:val="20"/>
              </w:rPr>
              <w:t>actID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EF7DF9"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0DF671A7" w:rsidR="00907C9B" w:rsidRPr="00907C9B" w:rsidRDefault="00264A01" w:rsidP="00907C9B">
            <w:pPr>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907C9B" w:rsidRPr="00907C9B">
              <w:rPr>
                <w:rFonts w:ascii="Times New Roman" w:eastAsia="Times New Roman" w:hAnsi="Times New Roman" w:cs="Times New Roman"/>
                <w:sz w:val="20"/>
                <w:szCs w:val="20"/>
                <w:lang w:val="en-US"/>
              </w:rPr>
              <w:t>.</w:t>
            </w:r>
            <w:proofErr w:type="spellStart"/>
            <w:r w:rsidR="00907C9B"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kodverk. Lämpliga kodverk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49C7372C" w:rsidR="00907C9B" w:rsidRPr="00907C9B" w:rsidRDefault="00264A01" w:rsidP="00907C9B">
            <w:pPr>
              <w:spacing w:line="229" w:lineRule="exact"/>
              <w:ind w:left="102"/>
              <w:rPr>
                <w:rFonts w:ascii="Times New Roman" w:eastAsia="Times New Roman" w:hAnsi="Times New Roman" w:cs="Times New Roman"/>
                <w:sz w:val="20"/>
                <w:szCs w:val="20"/>
                <w:lang w:val="en-US"/>
              </w:rPr>
            </w:pPr>
            <w:proofErr w:type="gramStart"/>
            <w:r>
              <w:rPr>
                <w:rFonts w:ascii="Times New Roman" w:eastAsia="Times New Roman" w:hAnsi="Times New Roman" w:cs="Times New Roman"/>
                <w:sz w:val="20"/>
                <w:szCs w:val="20"/>
              </w:rPr>
              <w:t>..</w:t>
            </w:r>
            <w:r w:rsidR="00907C9B" w:rsidRPr="00907C9B">
              <w:rPr>
                <w:rFonts w:ascii="Times New Roman" w:eastAsia="Times New Roman" w:hAnsi="Times New Roman" w:cs="Times New Roman"/>
                <w:sz w:val="20"/>
                <w:szCs w:val="20"/>
              </w:rPr>
              <w:t>.</w:t>
            </w:r>
            <w:proofErr w:type="spellStart"/>
            <w:r w:rsidR="00907C9B" w:rsidRPr="00907C9B">
              <w:rPr>
                <w:rFonts w:ascii="Times New Roman" w:eastAsia="Times New Roman" w:hAnsi="Times New Roman" w:cs="Times New Roman"/>
                <w:sz w:val="20"/>
                <w:szCs w:val="20"/>
                <w:lang w:val="en-US"/>
              </w:rPr>
              <w:t>actText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5D8C11E2" w:rsidR="00907C9B" w:rsidRPr="00907C9B" w:rsidRDefault="00264A01" w:rsidP="00907C9B">
            <w:pPr>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907C9B" w:rsidRPr="00907C9B">
              <w:rPr>
                <w:rFonts w:ascii="Times New Roman" w:eastAsia="Times New Roman" w:hAnsi="Times New Roman" w:cs="Times New Roman"/>
                <w:sz w:val="20"/>
                <w:szCs w:val="20"/>
                <w:lang w:val="en-US"/>
              </w:rPr>
              <w:t>.</w:t>
            </w:r>
            <w:proofErr w:type="spellStart"/>
            <w:r w:rsidR="00907C9B"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85A9ADF" w:rsidR="00907C9B" w:rsidRPr="00907C9B" w:rsidRDefault="00264A01" w:rsidP="00907C9B">
            <w:pPr>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907C9B"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24A0BBA6" w:rsidR="00907C9B" w:rsidRPr="00907C9B" w:rsidRDefault="00264A01" w:rsidP="00907C9B">
            <w:pPr>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907C9B" w:rsidRPr="00907C9B">
              <w:rPr>
                <w:rFonts w:ascii="Times New Roman" w:eastAsia="Times New Roman" w:hAnsi="Times New Roman" w:cs="Times New Roman"/>
                <w:sz w:val="20"/>
                <w:szCs w:val="20"/>
              </w:rPr>
              <w:t>..</w:t>
            </w:r>
            <w:proofErr w:type="spellStart"/>
            <w:proofErr w:type="gramEnd"/>
            <w:r w:rsidR="00907C9B"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454B8973"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00810FD4" w:rsidRPr="00907C9B">
              <w:rPr>
                <w:rFonts w:ascii="Times New Roman" w:eastAsia="Times New Roman" w:hAnsi="Times New Roman" w:cs="Times New Roman"/>
                <w:sz w:val="20"/>
                <w:szCs w:val="20"/>
              </w:rPr>
              <w:t>referral</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557EF6B2" w:rsidR="00907C9B" w:rsidRPr="00907C9B" w:rsidRDefault="00810FD4" w:rsidP="00907C9B">
            <w:pPr>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w:t>
            </w:r>
            <w:r w:rsidRPr="00907C9B">
              <w:rPr>
                <w:rFonts w:ascii="Times New Roman" w:eastAsia="Times New Roman" w:hAnsi="Times New Roman" w:cs="Times New Roman"/>
                <w:sz w:val="20"/>
                <w:szCs w:val="20"/>
              </w:rPr>
              <w:t>eferral</w:t>
            </w:r>
            <w:r w:rsidR="00907C9B" w:rsidRPr="00907C9B">
              <w:rPr>
                <w:rFonts w:ascii="Times New Roman" w:eastAsia="Times New Roman" w:hAnsi="Times New Roman" w:cs="Times New Roman"/>
                <w:sz w:val="20"/>
                <w:szCs w:val="20"/>
              </w:rPr>
              <w: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4F5EB42C" w:rsidR="00907C9B" w:rsidRPr="00907C9B" w:rsidRDefault="00264A01" w:rsidP="00907C9B">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907C9B" w:rsidRPr="00907C9B">
              <w:rPr>
                <w:rFonts w:ascii="Times New Roman" w:eastAsia="Times New Roman" w:hAnsi="Times New Roman" w:cs="Times New Roman"/>
                <w:spacing w:val="-1"/>
                <w:sz w:val="20"/>
                <w:szCs w:val="20"/>
              </w:rPr>
              <w:t>..</w:t>
            </w:r>
            <w:proofErr w:type="gramEnd"/>
            <w:r w:rsidR="00907C9B"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1E3112EE"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080560FB"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5A2600E4"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4CFC1688"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5EE1E2DD"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lang w:val="en-US"/>
              </w:rPr>
              <w: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33697204"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lang w:val="en-US"/>
              </w:rPr>
              <w: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3174A9C4"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r w:rsidRPr="00907C9B">
              <w:rPr>
                <w:rFonts w:ascii="Arial" w:hAnsi="Arial" w:cs="Arial"/>
                <w:sz w:val="20"/>
                <w:szCs w:val="20"/>
              </w:rPr>
              <w:t>.</w:t>
            </w:r>
            <w:r w:rsidR="00810FD4" w:rsidRPr="00907C9B">
              <w:rPr>
                <w:rFonts w:ascii="Times New Roman" w:eastAsia="Times New Roman" w:hAnsi="Times New Roman" w:cs="Times New Roman"/>
                <w:sz w:val="20"/>
                <w:szCs w:val="20"/>
              </w:rPr>
              <w:t xml:space="preserve"> </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OrganizationTelecom</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506BFF41"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00810FD4" w:rsidRPr="00907C9B">
              <w:rPr>
                <w:rFonts w:ascii="Times New Roman" w:eastAsia="Times New Roman" w:hAnsi="Times New Roman" w:cs="Times New Roman"/>
                <w:sz w:val="20"/>
                <w:szCs w:val="20"/>
              </w:rPr>
              <w:t>referral</w:t>
            </w:r>
            <w:r w:rsidRPr="00907C9B">
              <w:rPr>
                <w:rFonts w:ascii="Times New Roman" w:eastAsia="Times New Roman" w:hAnsi="Times New Roman" w:cs="Times New Roman"/>
                <w:sz w:val="20"/>
                <w:szCs w:val="20"/>
              </w:rPr>
              <w: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410C129E" w:rsidR="00907C9B" w:rsidRPr="00907C9B" w:rsidRDefault="00BB2E64" w:rsidP="00907C9B">
            <w:pPr>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907C9B" w:rsidRPr="00907C9B">
              <w:rPr>
                <w:rFonts w:ascii="Times New Roman" w:eastAsia="Times New Roman" w:hAnsi="Times New Roman" w:cs="Times New Roman"/>
                <w:sz w:val="20"/>
                <w:szCs w:val="20"/>
              </w:rPr>
              <w:t>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w:t>
      </w:r>
      <w:bookmarkEnd w:id="64"/>
      <w:proofErr w:type="spellEnd"/>
    </w:p>
    <w:p w14:paraId="47900702" w14:textId="77777777" w:rsidR="00527535" w:rsidRPr="00907C9B" w:rsidRDefault="00527535" w:rsidP="00527535">
      <w:pPr>
        <w:spacing w:line="239" w:lineRule="auto"/>
        <w:ind w:left="867" w:right="145"/>
        <w:rPr>
          <w:rFonts w:ascii="Times New Roman" w:eastAsia="Times New Roman" w:hAnsi="Times New Roman"/>
          <w:spacing w:val="-1"/>
          <w:sz w:val="24"/>
          <w:szCs w:val="24"/>
        </w:rPr>
      </w:pPr>
      <w:proofErr w:type="spellStart"/>
      <w:r>
        <w:rPr>
          <w:rFonts w:ascii="Times New Roman" w:eastAsia="Times New Roman" w:hAnsi="Times New Roman"/>
          <w:spacing w:val="-1"/>
          <w:sz w:val="24"/>
          <w:szCs w:val="24"/>
        </w:rPr>
        <w:t>GetCareContact</w:t>
      </w:r>
      <w:proofErr w:type="spellEnd"/>
      <w:r w:rsidRPr="002A2A8D">
        <w:rPr>
          <w:rFonts w:ascii="Times New Roman" w:eastAsia="Times New Roman" w:hAnsi="Times New Roman"/>
          <w:spacing w:val="-1"/>
          <w:sz w:val="24"/>
          <w:szCs w:val="24"/>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roofErr w:type="spellEnd"/>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roofErr w:type="spellEnd"/>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roofErr w:type="spellEnd"/>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E45BA">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EF7DF9" w:rsidRDefault="00EF7DF9" w:rsidP="0096507E">
      <w:pPr>
        <w:pStyle w:val="Kommentarer"/>
      </w:pPr>
      <w:r>
        <w:rPr>
          <w:rStyle w:val="Kommentarsreferens"/>
        </w:rPr>
        <w:annotationRef/>
      </w:r>
      <w:r w:rsidRPr="00527535">
        <w:rPr>
          <w:lang w:val="sv-SE"/>
        </w:rPr>
        <w:t xml:space="preserve">Namnbyte planeras för nästa huvudversion.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793D4" w14:textId="77777777" w:rsidR="007E7591" w:rsidRDefault="007E7591">
      <w:r>
        <w:separator/>
      </w:r>
    </w:p>
  </w:endnote>
  <w:endnote w:type="continuationSeparator" w:id="0">
    <w:p w14:paraId="46553F77" w14:textId="77777777" w:rsidR="007E7591" w:rsidRDefault="007E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F03DB" w14:textId="77777777" w:rsidR="007E7591" w:rsidRDefault="007E7591">
      <w:r>
        <w:separator/>
      </w:r>
    </w:p>
  </w:footnote>
  <w:footnote w:type="continuationSeparator" w:id="0">
    <w:p w14:paraId="52AF545B" w14:textId="77777777" w:rsidR="007E7591" w:rsidRDefault="007E7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7DF9"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F7DF9" w:rsidRDefault="00EF7DF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F7DF9" w:rsidRDefault="00EF7DF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7DF9"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F7DF9" w:rsidRDefault="00EF7DF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EF7DF9" w:rsidRDefault="00EF7DF9"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EF7DF9"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F7DF9" w:rsidRDefault="00EF7DF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F7DF9" w:rsidRDefault="00EF7DF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40039">
            <w:rPr>
              <w:noProof/>
            </w:rPr>
            <w:t>19</w:t>
          </w:r>
          <w:r>
            <w:fldChar w:fldCharType="end"/>
          </w:r>
          <w:r>
            <w:t xml:space="preserve"> (</w:t>
          </w:r>
          <w:r>
            <w:fldChar w:fldCharType="begin"/>
          </w:r>
          <w:r>
            <w:instrText xml:space="preserve"> NUMPAGES </w:instrText>
          </w:r>
          <w:r>
            <w:fldChar w:fldCharType="separate"/>
          </w:r>
          <w:r w:rsidR="00C40039">
            <w:rPr>
              <w:noProof/>
            </w:rPr>
            <w:t>30</w:t>
          </w:r>
          <w:r>
            <w:fldChar w:fldCharType="end"/>
          </w:r>
          <w:r>
            <w:t>)</w:t>
          </w:r>
        </w:p>
      </w:tc>
    </w:tr>
    <w:tr w:rsidR="00EF7DF9"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F7DF9" w:rsidRPr="00CF3BBF" w:rsidRDefault="00EF7DF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F7DF9" w:rsidRPr="00647B65" w:rsidRDefault="00EF7DF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F7DF9" w:rsidRPr="00647B65" w:rsidRDefault="00EF7DF9" w:rsidP="004E562D"/>
      </w:tc>
    </w:tr>
  </w:tbl>
  <w:p w14:paraId="1CF20CDE" w14:textId="77777777" w:rsidR="00EF7DF9" w:rsidRPr="008745C3" w:rsidRDefault="00EF7DF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7DF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F7DF9" w:rsidRDefault="00EF7DF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F7DF9" w:rsidRDefault="00EF7DF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7DF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F7DF9" w:rsidRDefault="00EF7DF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F7DF9" w:rsidRDefault="00EF7DF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F7DF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F7DF9" w:rsidRDefault="00EF7DF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F7DF9" w:rsidRDefault="00EF7DF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F7DF9" w:rsidRDefault="00EF7DF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A1BC5">
            <w:rPr>
              <w:noProof/>
            </w:rPr>
            <w:t>30</w:t>
          </w:r>
          <w:r>
            <w:fldChar w:fldCharType="end"/>
          </w:r>
          <w:r>
            <w:t xml:space="preserve"> (</w:t>
          </w:r>
          <w:r>
            <w:fldChar w:fldCharType="begin"/>
          </w:r>
          <w:r>
            <w:instrText xml:space="preserve"> NUMPAGES </w:instrText>
          </w:r>
          <w:r>
            <w:fldChar w:fldCharType="separate"/>
          </w:r>
          <w:r w:rsidR="003A1BC5">
            <w:rPr>
              <w:noProof/>
            </w:rPr>
            <w:t>30</w:t>
          </w:r>
          <w:r>
            <w:fldChar w:fldCharType="end"/>
          </w:r>
          <w:r>
            <w:t>)</w:t>
          </w:r>
        </w:p>
      </w:tc>
    </w:tr>
    <w:tr w:rsidR="00EF7DF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F7DF9" w:rsidRPr="00CF3BBF" w:rsidRDefault="00EF7DF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F7DF9" w:rsidRPr="00647B65" w:rsidRDefault="00EF7DF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F7DF9" w:rsidRPr="00647B65" w:rsidRDefault="00EF7DF9" w:rsidP="004E562D"/>
      </w:tc>
    </w:tr>
  </w:tbl>
  <w:p w14:paraId="387255B9" w14:textId="77777777" w:rsidR="00EF7DF9" w:rsidRPr="008745C3" w:rsidRDefault="00EF7DF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A7BB1"/>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06B7"/>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64A01"/>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1905"/>
    <w:rsid w:val="002E2583"/>
    <w:rsid w:val="002E45BA"/>
    <w:rsid w:val="002F3B7B"/>
    <w:rsid w:val="002F5628"/>
    <w:rsid w:val="00305B68"/>
    <w:rsid w:val="003069FF"/>
    <w:rsid w:val="00306AB1"/>
    <w:rsid w:val="00307900"/>
    <w:rsid w:val="00313F99"/>
    <w:rsid w:val="00317F3D"/>
    <w:rsid w:val="00340279"/>
    <w:rsid w:val="00342D3B"/>
    <w:rsid w:val="00344613"/>
    <w:rsid w:val="00346ABE"/>
    <w:rsid w:val="00357703"/>
    <w:rsid w:val="00361FAF"/>
    <w:rsid w:val="00365FAE"/>
    <w:rsid w:val="00371E15"/>
    <w:rsid w:val="003724A3"/>
    <w:rsid w:val="003837DD"/>
    <w:rsid w:val="003A1BC5"/>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323A7"/>
    <w:rsid w:val="0044096C"/>
    <w:rsid w:val="00443630"/>
    <w:rsid w:val="00445A0F"/>
    <w:rsid w:val="00446E41"/>
    <w:rsid w:val="004479C5"/>
    <w:rsid w:val="00451399"/>
    <w:rsid w:val="0045695A"/>
    <w:rsid w:val="00471991"/>
    <w:rsid w:val="004742A5"/>
    <w:rsid w:val="00487B45"/>
    <w:rsid w:val="0049408B"/>
    <w:rsid w:val="004A5832"/>
    <w:rsid w:val="004C575E"/>
    <w:rsid w:val="004E562D"/>
    <w:rsid w:val="004F122C"/>
    <w:rsid w:val="00501326"/>
    <w:rsid w:val="00501D8F"/>
    <w:rsid w:val="0051739C"/>
    <w:rsid w:val="00527535"/>
    <w:rsid w:val="005328D2"/>
    <w:rsid w:val="005405CB"/>
    <w:rsid w:val="005409DA"/>
    <w:rsid w:val="00547B4D"/>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71330"/>
    <w:rsid w:val="00673BFA"/>
    <w:rsid w:val="006814C5"/>
    <w:rsid w:val="006823E5"/>
    <w:rsid w:val="006864BE"/>
    <w:rsid w:val="006916CC"/>
    <w:rsid w:val="006962FC"/>
    <w:rsid w:val="006A2EE0"/>
    <w:rsid w:val="006A3E21"/>
    <w:rsid w:val="006E0ABB"/>
    <w:rsid w:val="00704B79"/>
    <w:rsid w:val="00724267"/>
    <w:rsid w:val="00735A85"/>
    <w:rsid w:val="00743F5C"/>
    <w:rsid w:val="00764A41"/>
    <w:rsid w:val="00773801"/>
    <w:rsid w:val="007872E0"/>
    <w:rsid w:val="0079406E"/>
    <w:rsid w:val="00797ABC"/>
    <w:rsid w:val="00797F7D"/>
    <w:rsid w:val="007A49FD"/>
    <w:rsid w:val="007A512A"/>
    <w:rsid w:val="007C21C3"/>
    <w:rsid w:val="007C3152"/>
    <w:rsid w:val="007D151F"/>
    <w:rsid w:val="007E29D8"/>
    <w:rsid w:val="007E6EBD"/>
    <w:rsid w:val="007E7591"/>
    <w:rsid w:val="007F4AD0"/>
    <w:rsid w:val="007F64D4"/>
    <w:rsid w:val="00810FD4"/>
    <w:rsid w:val="00815D5D"/>
    <w:rsid w:val="0081743E"/>
    <w:rsid w:val="0082094F"/>
    <w:rsid w:val="00825B8A"/>
    <w:rsid w:val="008341C9"/>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62E09"/>
    <w:rsid w:val="0096507E"/>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F1097"/>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1002B"/>
    <w:rsid w:val="00B110DA"/>
    <w:rsid w:val="00B22A3B"/>
    <w:rsid w:val="00B233EA"/>
    <w:rsid w:val="00B32C10"/>
    <w:rsid w:val="00B34612"/>
    <w:rsid w:val="00B40600"/>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707FD"/>
    <w:rsid w:val="00C82E53"/>
    <w:rsid w:val="00C85E9F"/>
    <w:rsid w:val="00C85EB5"/>
    <w:rsid w:val="00C8655C"/>
    <w:rsid w:val="00C87799"/>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74F5E"/>
    <w:rsid w:val="00D87757"/>
    <w:rsid w:val="00DA0D8C"/>
    <w:rsid w:val="00DA2273"/>
    <w:rsid w:val="00DD7951"/>
    <w:rsid w:val="00DE2CA0"/>
    <w:rsid w:val="00DE3410"/>
    <w:rsid w:val="00DE7818"/>
    <w:rsid w:val="00DF2847"/>
    <w:rsid w:val="00DF3C47"/>
    <w:rsid w:val="00E033E4"/>
    <w:rsid w:val="00E16DBB"/>
    <w:rsid w:val="00E17396"/>
    <w:rsid w:val="00E324A6"/>
    <w:rsid w:val="00E347F9"/>
    <w:rsid w:val="00E352A0"/>
    <w:rsid w:val="00E433A3"/>
    <w:rsid w:val="00E523B7"/>
    <w:rsid w:val="00E542EE"/>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E7BD6"/>
    <w:rsid w:val="00EF4A67"/>
    <w:rsid w:val="00EF7DF9"/>
    <w:rsid w:val="00F03593"/>
    <w:rsid w:val="00F10B0D"/>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7575"/>
    <w:rsid w:val="00FC1351"/>
    <w:rsid w:val="00FC4708"/>
    <w:rsid w:val="00FC5C68"/>
    <w:rsid w:val="00FC7091"/>
    <w:rsid w:val="00FC778B"/>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2730</TotalTime>
  <Pages>30</Pages>
  <Words>6022</Words>
  <Characters>31921</Characters>
  <Application>Microsoft Office Word</Application>
  <DocSecurity>0</DocSecurity>
  <Lines>266</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289</cp:revision>
  <cp:lastPrinted>2012-12-21T13:21:00Z</cp:lastPrinted>
  <dcterms:created xsi:type="dcterms:W3CDTF">2012-12-03T08:38:00Z</dcterms:created>
  <dcterms:modified xsi:type="dcterms:W3CDTF">2013-01-23T07:58:00Z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