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45D0DC7"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B26C15">
        <w:rPr>
          <w:rFonts w:ascii="Arial" w:hAnsi="Arial"/>
          <w:sz w:val="36"/>
        </w:rPr>
        <w:t>4</w:t>
      </w:r>
    </w:p>
    <w:p w14:paraId="087F92D2" w14:textId="073FF26D"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7716C">
        <w:rPr>
          <w:rFonts w:ascii="Arial" w:hAnsi="Arial"/>
          <w:sz w:val="36"/>
        </w:rPr>
        <w:t>02-11</w:t>
      </w:r>
      <w:bookmarkStart w:id="0" w:name="_GoBack"/>
      <w:bookmarkEnd w:id="0"/>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1190539"/>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54C13D57" w14:textId="77777777" w:rsidR="00FA580C"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A580C">
        <w:rPr>
          <w:noProof/>
        </w:rPr>
        <w:t>Innehållsförteckning</w:t>
      </w:r>
      <w:r w:rsidR="00FA580C">
        <w:rPr>
          <w:noProof/>
        </w:rPr>
        <w:tab/>
      </w:r>
      <w:r w:rsidR="00FA580C">
        <w:rPr>
          <w:noProof/>
        </w:rPr>
        <w:fldChar w:fldCharType="begin"/>
      </w:r>
      <w:r w:rsidR="00FA580C">
        <w:rPr>
          <w:noProof/>
        </w:rPr>
        <w:instrText xml:space="preserve"> PAGEREF _Toc221190539 \h </w:instrText>
      </w:r>
      <w:r w:rsidR="00FA580C">
        <w:rPr>
          <w:noProof/>
        </w:rPr>
      </w:r>
      <w:r w:rsidR="00FA580C">
        <w:rPr>
          <w:noProof/>
        </w:rPr>
        <w:fldChar w:fldCharType="separate"/>
      </w:r>
      <w:r w:rsidR="008E07C3">
        <w:rPr>
          <w:noProof/>
        </w:rPr>
        <w:t>4</w:t>
      </w:r>
      <w:r w:rsidR="00FA580C">
        <w:rPr>
          <w:noProof/>
        </w:rPr>
        <w:fldChar w:fldCharType="end"/>
      </w:r>
    </w:p>
    <w:p w14:paraId="145B2699"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_Toc221190540 \h </w:instrText>
      </w:r>
      <w:r>
        <w:rPr>
          <w:noProof/>
        </w:rPr>
      </w:r>
      <w:r>
        <w:rPr>
          <w:noProof/>
        </w:rPr>
        <w:fldChar w:fldCharType="separate"/>
      </w:r>
      <w:r w:rsidR="008E07C3">
        <w:rPr>
          <w:noProof/>
        </w:rPr>
        <w:t>5</w:t>
      </w:r>
      <w:r>
        <w:rPr>
          <w:noProof/>
        </w:rPr>
        <w:fldChar w:fldCharType="end"/>
      </w:r>
    </w:p>
    <w:p w14:paraId="07E475F4"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_Toc221190541 \h </w:instrText>
      </w:r>
      <w:r>
        <w:rPr>
          <w:noProof/>
        </w:rPr>
      </w:r>
      <w:r>
        <w:rPr>
          <w:noProof/>
        </w:rPr>
        <w:fldChar w:fldCharType="separate"/>
      </w:r>
      <w:r w:rsidR="008E07C3">
        <w:rPr>
          <w:noProof/>
        </w:rPr>
        <w:t>7</w:t>
      </w:r>
      <w:r>
        <w:rPr>
          <w:noProof/>
        </w:rPr>
        <w:fldChar w:fldCharType="end"/>
      </w:r>
    </w:p>
    <w:p w14:paraId="628DD839"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_Toc221190542 \h </w:instrText>
      </w:r>
      <w:r>
        <w:rPr>
          <w:noProof/>
        </w:rPr>
      </w:r>
      <w:r>
        <w:rPr>
          <w:noProof/>
        </w:rPr>
        <w:fldChar w:fldCharType="separate"/>
      </w:r>
      <w:r w:rsidR="008E07C3">
        <w:rPr>
          <w:noProof/>
        </w:rPr>
        <w:t>7</w:t>
      </w:r>
      <w:r>
        <w:rPr>
          <w:noProof/>
        </w:rPr>
        <w:fldChar w:fldCharType="end"/>
      </w:r>
    </w:p>
    <w:p w14:paraId="76ACE09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_Toc221190543 \h </w:instrText>
      </w:r>
      <w:r>
        <w:rPr>
          <w:noProof/>
        </w:rPr>
      </w:r>
      <w:r>
        <w:rPr>
          <w:noProof/>
        </w:rPr>
        <w:fldChar w:fldCharType="separate"/>
      </w:r>
      <w:r w:rsidR="008E07C3">
        <w:rPr>
          <w:noProof/>
        </w:rPr>
        <w:t>8</w:t>
      </w:r>
      <w:r>
        <w:rPr>
          <w:noProof/>
        </w:rPr>
        <w:fldChar w:fldCharType="end"/>
      </w:r>
    </w:p>
    <w:p w14:paraId="6130F18C"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_Toc221190544 \h </w:instrText>
      </w:r>
      <w:r>
        <w:rPr>
          <w:noProof/>
        </w:rPr>
      </w:r>
      <w:r>
        <w:rPr>
          <w:noProof/>
        </w:rPr>
        <w:fldChar w:fldCharType="separate"/>
      </w:r>
      <w:r w:rsidR="008E07C3">
        <w:rPr>
          <w:noProof/>
        </w:rPr>
        <w:t>9</w:t>
      </w:r>
      <w:r>
        <w:rPr>
          <w:noProof/>
        </w:rPr>
        <w:fldChar w:fldCharType="end"/>
      </w:r>
    </w:p>
    <w:p w14:paraId="2DAF68E5"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_Toc221190545 \h </w:instrText>
      </w:r>
      <w:r>
        <w:rPr>
          <w:noProof/>
        </w:rPr>
      </w:r>
      <w:r>
        <w:rPr>
          <w:noProof/>
        </w:rPr>
        <w:fldChar w:fldCharType="separate"/>
      </w:r>
      <w:r w:rsidR="008E07C3">
        <w:rPr>
          <w:noProof/>
        </w:rPr>
        <w:t>10</w:t>
      </w:r>
      <w:r>
        <w:rPr>
          <w:noProof/>
        </w:rPr>
        <w:fldChar w:fldCharType="end"/>
      </w:r>
    </w:p>
    <w:p w14:paraId="3D57D549"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_Toc221190546 \h </w:instrText>
      </w:r>
      <w:r>
        <w:rPr>
          <w:noProof/>
        </w:rPr>
      </w:r>
      <w:r>
        <w:rPr>
          <w:noProof/>
        </w:rPr>
        <w:fldChar w:fldCharType="separate"/>
      </w:r>
      <w:r w:rsidR="008E07C3">
        <w:rPr>
          <w:noProof/>
        </w:rPr>
        <w:t>10</w:t>
      </w:r>
      <w:r>
        <w:rPr>
          <w:noProof/>
        </w:rPr>
        <w:fldChar w:fldCharType="end"/>
      </w:r>
    </w:p>
    <w:p w14:paraId="6D9E1EEB"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_Toc221190547 \h </w:instrText>
      </w:r>
      <w:r>
        <w:rPr>
          <w:noProof/>
        </w:rPr>
      </w:r>
      <w:r>
        <w:rPr>
          <w:noProof/>
        </w:rPr>
        <w:fldChar w:fldCharType="separate"/>
      </w:r>
      <w:r w:rsidR="008E07C3">
        <w:rPr>
          <w:noProof/>
        </w:rPr>
        <w:t>11</w:t>
      </w:r>
      <w:r>
        <w:rPr>
          <w:noProof/>
        </w:rPr>
        <w:fldChar w:fldCharType="end"/>
      </w:r>
    </w:p>
    <w:p w14:paraId="66150F8F"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_Toc221190548 \h </w:instrText>
      </w:r>
      <w:r>
        <w:rPr>
          <w:noProof/>
        </w:rPr>
      </w:r>
      <w:r>
        <w:rPr>
          <w:noProof/>
        </w:rPr>
        <w:fldChar w:fldCharType="separate"/>
      </w:r>
      <w:r w:rsidR="008E07C3">
        <w:rPr>
          <w:noProof/>
        </w:rPr>
        <w:t>11</w:t>
      </w:r>
      <w:r>
        <w:rPr>
          <w:noProof/>
        </w:rPr>
        <w:fldChar w:fldCharType="end"/>
      </w:r>
    </w:p>
    <w:p w14:paraId="5102DA4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_Toc221190549 \h </w:instrText>
      </w:r>
      <w:r>
        <w:rPr>
          <w:noProof/>
        </w:rPr>
      </w:r>
      <w:r>
        <w:rPr>
          <w:noProof/>
        </w:rPr>
        <w:fldChar w:fldCharType="separate"/>
      </w:r>
      <w:r w:rsidR="008E07C3">
        <w:rPr>
          <w:noProof/>
        </w:rPr>
        <w:t>12</w:t>
      </w:r>
      <w:r>
        <w:rPr>
          <w:noProof/>
        </w:rPr>
        <w:fldChar w:fldCharType="end"/>
      </w:r>
    </w:p>
    <w:p w14:paraId="757BF2BC"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_Toc221190550 \h </w:instrText>
      </w:r>
      <w:r>
        <w:rPr>
          <w:noProof/>
        </w:rPr>
      </w:r>
      <w:r>
        <w:rPr>
          <w:noProof/>
        </w:rPr>
        <w:fldChar w:fldCharType="separate"/>
      </w:r>
      <w:r w:rsidR="008E07C3">
        <w:rPr>
          <w:noProof/>
        </w:rPr>
        <w:t>12</w:t>
      </w:r>
      <w:r>
        <w:rPr>
          <w:noProof/>
        </w:rPr>
        <w:fldChar w:fldCharType="end"/>
      </w:r>
    </w:p>
    <w:p w14:paraId="2F1C118E"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_Toc221190551 \h </w:instrText>
      </w:r>
      <w:r>
        <w:rPr>
          <w:noProof/>
        </w:rPr>
      </w:r>
      <w:r>
        <w:rPr>
          <w:noProof/>
        </w:rPr>
        <w:fldChar w:fldCharType="separate"/>
      </w:r>
      <w:r w:rsidR="008E07C3">
        <w:rPr>
          <w:noProof/>
        </w:rPr>
        <w:t>12</w:t>
      </w:r>
      <w:r>
        <w:rPr>
          <w:noProof/>
        </w:rPr>
        <w:fldChar w:fldCharType="end"/>
      </w:r>
    </w:p>
    <w:p w14:paraId="62DA46C8" w14:textId="77777777" w:rsidR="00FA580C" w:rsidRDefault="00FA580C">
      <w:pPr>
        <w:pStyle w:val="Innehll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_Toc221190552 \h </w:instrText>
      </w:r>
      <w:r>
        <w:rPr>
          <w:noProof/>
        </w:rPr>
      </w:r>
      <w:r>
        <w:rPr>
          <w:noProof/>
        </w:rPr>
        <w:fldChar w:fldCharType="separate"/>
      </w:r>
      <w:r w:rsidR="008E07C3">
        <w:rPr>
          <w:noProof/>
        </w:rPr>
        <w:t>12</w:t>
      </w:r>
      <w:r>
        <w:rPr>
          <w:noProof/>
        </w:rPr>
        <w:fldChar w:fldCharType="end"/>
      </w:r>
    </w:p>
    <w:p w14:paraId="6ADA4A75"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_Toc221190553 \h </w:instrText>
      </w:r>
      <w:r>
        <w:rPr>
          <w:noProof/>
        </w:rPr>
      </w:r>
      <w:r>
        <w:rPr>
          <w:noProof/>
        </w:rPr>
        <w:fldChar w:fldCharType="separate"/>
      </w:r>
      <w:r w:rsidR="008E07C3">
        <w:rPr>
          <w:noProof/>
        </w:rPr>
        <w:t>12</w:t>
      </w:r>
      <w:r>
        <w:rPr>
          <w:noProof/>
        </w:rPr>
        <w:fldChar w:fldCharType="end"/>
      </w:r>
    </w:p>
    <w:p w14:paraId="5367689B"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380C99">
        <w:rPr>
          <w:noProof/>
          <w:spacing w:val="1"/>
        </w:rPr>
        <w:t>Ge</w:t>
      </w:r>
      <w:r>
        <w:rPr>
          <w:noProof/>
        </w:rPr>
        <w:t>ner</w:t>
      </w:r>
      <w:r w:rsidRPr="00380C99">
        <w:rPr>
          <w:noProof/>
          <w:spacing w:val="-2"/>
        </w:rPr>
        <w:t>e</w:t>
      </w:r>
      <w:r>
        <w:rPr>
          <w:noProof/>
        </w:rPr>
        <w:t xml:space="preserve">lla </w:t>
      </w:r>
      <w:r w:rsidRPr="00380C99">
        <w:rPr>
          <w:noProof/>
          <w:spacing w:val="-2"/>
        </w:rPr>
        <w:t>r</w:t>
      </w:r>
      <w:r>
        <w:rPr>
          <w:noProof/>
        </w:rPr>
        <w:t>egler</w:t>
      </w:r>
      <w:r>
        <w:rPr>
          <w:noProof/>
        </w:rPr>
        <w:tab/>
      </w:r>
      <w:r>
        <w:rPr>
          <w:noProof/>
        </w:rPr>
        <w:fldChar w:fldCharType="begin"/>
      </w:r>
      <w:r>
        <w:rPr>
          <w:noProof/>
        </w:rPr>
        <w:instrText xml:space="preserve"> PAGEREF _Toc221190554 \h </w:instrText>
      </w:r>
      <w:r>
        <w:rPr>
          <w:noProof/>
        </w:rPr>
      </w:r>
      <w:r>
        <w:rPr>
          <w:noProof/>
        </w:rPr>
        <w:fldChar w:fldCharType="separate"/>
      </w:r>
      <w:r w:rsidR="008E07C3">
        <w:rPr>
          <w:noProof/>
        </w:rPr>
        <w:t>12</w:t>
      </w:r>
      <w:r>
        <w:rPr>
          <w:noProof/>
        </w:rPr>
        <w:fldChar w:fldCharType="end"/>
      </w:r>
    </w:p>
    <w:p w14:paraId="4124F71F"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_Toc221190555 \h </w:instrText>
      </w:r>
      <w:r>
        <w:rPr>
          <w:noProof/>
        </w:rPr>
      </w:r>
      <w:r>
        <w:rPr>
          <w:noProof/>
        </w:rPr>
        <w:fldChar w:fldCharType="separate"/>
      </w:r>
      <w:r w:rsidR="008E07C3">
        <w:rPr>
          <w:noProof/>
        </w:rPr>
        <w:t>12</w:t>
      </w:r>
      <w:r>
        <w:rPr>
          <w:noProof/>
        </w:rPr>
        <w:fldChar w:fldCharType="end"/>
      </w:r>
    </w:p>
    <w:p w14:paraId="422940EB"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_Toc221190556 \h </w:instrText>
      </w:r>
      <w:r>
        <w:rPr>
          <w:noProof/>
        </w:rPr>
      </w:r>
      <w:r>
        <w:rPr>
          <w:noProof/>
        </w:rPr>
        <w:fldChar w:fldCharType="separate"/>
      </w:r>
      <w:r w:rsidR="008E07C3">
        <w:rPr>
          <w:noProof/>
        </w:rPr>
        <w:t>15</w:t>
      </w:r>
      <w:r>
        <w:rPr>
          <w:noProof/>
        </w:rPr>
        <w:fldChar w:fldCharType="end"/>
      </w:r>
    </w:p>
    <w:p w14:paraId="43AC5D59"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_Toc221190557 \h </w:instrText>
      </w:r>
      <w:r>
        <w:rPr>
          <w:noProof/>
        </w:rPr>
      </w:r>
      <w:r>
        <w:rPr>
          <w:noProof/>
        </w:rPr>
        <w:fldChar w:fldCharType="separate"/>
      </w:r>
      <w:r w:rsidR="008E07C3">
        <w:rPr>
          <w:noProof/>
        </w:rPr>
        <w:t>15</w:t>
      </w:r>
      <w:r>
        <w:rPr>
          <w:noProof/>
        </w:rPr>
        <w:fldChar w:fldCharType="end"/>
      </w:r>
    </w:p>
    <w:p w14:paraId="4686015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_Toc221190558 \h </w:instrText>
      </w:r>
      <w:r>
        <w:rPr>
          <w:noProof/>
        </w:rPr>
      </w:r>
      <w:r>
        <w:rPr>
          <w:noProof/>
        </w:rPr>
        <w:fldChar w:fldCharType="separate"/>
      </w:r>
      <w:r w:rsidR="008E07C3">
        <w:rPr>
          <w:noProof/>
        </w:rPr>
        <w:t>16</w:t>
      </w:r>
      <w:r>
        <w:rPr>
          <w:noProof/>
        </w:rPr>
        <w:fldChar w:fldCharType="end"/>
      </w:r>
    </w:p>
    <w:p w14:paraId="1DEE30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_Toc221190559 \h </w:instrText>
      </w:r>
      <w:r>
        <w:rPr>
          <w:noProof/>
        </w:rPr>
      </w:r>
      <w:r>
        <w:rPr>
          <w:noProof/>
        </w:rPr>
        <w:fldChar w:fldCharType="separate"/>
      </w:r>
      <w:r w:rsidR="008E07C3">
        <w:rPr>
          <w:noProof/>
        </w:rPr>
        <w:t>16</w:t>
      </w:r>
      <w:r>
        <w:rPr>
          <w:noProof/>
        </w:rPr>
        <w:fldChar w:fldCharType="end"/>
      </w:r>
    </w:p>
    <w:p w14:paraId="55C9C281"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_Toc221190560 \h </w:instrText>
      </w:r>
      <w:r>
        <w:rPr>
          <w:noProof/>
        </w:rPr>
      </w:r>
      <w:r>
        <w:rPr>
          <w:noProof/>
        </w:rPr>
        <w:fldChar w:fldCharType="separate"/>
      </w:r>
      <w:r w:rsidR="008E07C3">
        <w:rPr>
          <w:noProof/>
        </w:rPr>
        <w:t>16</w:t>
      </w:r>
      <w:r>
        <w:rPr>
          <w:noProof/>
        </w:rPr>
        <w:fldChar w:fldCharType="end"/>
      </w:r>
    </w:p>
    <w:p w14:paraId="38379F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_Toc221190561 \h </w:instrText>
      </w:r>
      <w:r>
        <w:rPr>
          <w:noProof/>
        </w:rPr>
      </w:r>
      <w:r>
        <w:rPr>
          <w:noProof/>
        </w:rPr>
        <w:fldChar w:fldCharType="separate"/>
      </w:r>
      <w:r w:rsidR="008E07C3">
        <w:rPr>
          <w:noProof/>
        </w:rPr>
        <w:t>17</w:t>
      </w:r>
      <w:r>
        <w:rPr>
          <w:noProof/>
        </w:rPr>
        <w:fldChar w:fldCharType="end"/>
      </w:r>
    </w:p>
    <w:p w14:paraId="48F122D7"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_Toc221190562 \h </w:instrText>
      </w:r>
      <w:r>
        <w:rPr>
          <w:noProof/>
        </w:rPr>
      </w:r>
      <w:r>
        <w:rPr>
          <w:noProof/>
        </w:rPr>
        <w:fldChar w:fldCharType="separate"/>
      </w:r>
      <w:r w:rsidR="008E07C3">
        <w:rPr>
          <w:noProof/>
        </w:rPr>
        <w:t>17</w:t>
      </w:r>
      <w:r>
        <w:rPr>
          <w:noProof/>
        </w:rPr>
        <w:fldChar w:fldCharType="end"/>
      </w:r>
    </w:p>
    <w:p w14:paraId="65D26F8A" w14:textId="77777777" w:rsidR="00FA580C" w:rsidRDefault="00FA580C">
      <w:pPr>
        <w:pStyle w:val="Innehll1"/>
        <w:tabs>
          <w:tab w:val="left" w:pos="1228"/>
          <w:tab w:val="right" w:leader="dot" w:pos="9159"/>
        </w:tabs>
        <w:rPr>
          <w:rFonts w:asciiTheme="minorHAnsi" w:eastAsiaTheme="minorEastAsia" w:hAnsiTheme="minorHAnsi"/>
          <w:noProof/>
          <w:lang w:val="en-US" w:eastAsia="ja-JP"/>
        </w:rPr>
      </w:pPr>
      <w:r w:rsidRPr="00380C99">
        <w:rPr>
          <w:noProof/>
          <w:spacing w:val="1"/>
        </w:rPr>
        <w:t>4</w:t>
      </w:r>
      <w:r>
        <w:rPr>
          <w:rFonts w:asciiTheme="minorHAnsi" w:eastAsiaTheme="minorEastAsia" w:hAnsiTheme="minorHAnsi"/>
          <w:noProof/>
          <w:lang w:val="en-US" w:eastAsia="ja-JP"/>
        </w:rPr>
        <w:tab/>
      </w:r>
      <w:r w:rsidRPr="00380C99">
        <w:rPr>
          <w:noProof/>
          <w:spacing w:val="1"/>
        </w:rPr>
        <w:t>Gemensamma informationskomponenter</w:t>
      </w:r>
      <w:r>
        <w:rPr>
          <w:noProof/>
        </w:rPr>
        <w:tab/>
      </w:r>
      <w:r>
        <w:rPr>
          <w:noProof/>
        </w:rPr>
        <w:fldChar w:fldCharType="begin"/>
      </w:r>
      <w:r>
        <w:rPr>
          <w:noProof/>
        </w:rPr>
        <w:instrText xml:space="preserve"> PAGEREF _Toc221190563 \h </w:instrText>
      </w:r>
      <w:r>
        <w:rPr>
          <w:noProof/>
        </w:rPr>
      </w:r>
      <w:r>
        <w:rPr>
          <w:noProof/>
        </w:rPr>
        <w:fldChar w:fldCharType="separate"/>
      </w:r>
      <w:r w:rsidR="008E07C3">
        <w:rPr>
          <w:noProof/>
        </w:rPr>
        <w:t>17</w:t>
      </w:r>
      <w:r>
        <w:rPr>
          <w:noProof/>
        </w:rPr>
        <w:fldChar w:fldCharType="end"/>
      </w:r>
    </w:p>
    <w:p w14:paraId="550DEE61"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380C99">
        <w:rPr>
          <w:noProof/>
          <w:spacing w:val="1"/>
        </w:rPr>
        <w:t>GetCareDocumentation (Vård- och omsorgsdokument)</w:t>
      </w:r>
      <w:r>
        <w:rPr>
          <w:noProof/>
        </w:rPr>
        <w:tab/>
      </w:r>
      <w:r>
        <w:rPr>
          <w:noProof/>
        </w:rPr>
        <w:fldChar w:fldCharType="begin"/>
      </w:r>
      <w:r>
        <w:rPr>
          <w:noProof/>
        </w:rPr>
        <w:instrText xml:space="preserve"> PAGEREF _Toc221190564 \h </w:instrText>
      </w:r>
      <w:r>
        <w:rPr>
          <w:noProof/>
        </w:rPr>
      </w:r>
      <w:r>
        <w:rPr>
          <w:noProof/>
        </w:rPr>
        <w:fldChar w:fldCharType="separate"/>
      </w:r>
      <w:r w:rsidR="008E07C3">
        <w:rPr>
          <w:noProof/>
        </w:rPr>
        <w:t>20</w:t>
      </w:r>
      <w:r>
        <w:rPr>
          <w:noProof/>
        </w:rPr>
        <w:fldChar w:fldCharType="end"/>
      </w:r>
    </w:p>
    <w:p w14:paraId="127ED2A3"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_Toc221190565 \h </w:instrText>
      </w:r>
      <w:r>
        <w:rPr>
          <w:noProof/>
        </w:rPr>
      </w:r>
      <w:r>
        <w:rPr>
          <w:noProof/>
        </w:rPr>
        <w:fldChar w:fldCharType="separate"/>
      </w:r>
      <w:r w:rsidR="008E07C3">
        <w:rPr>
          <w:noProof/>
        </w:rPr>
        <w:t>20</w:t>
      </w:r>
      <w:r>
        <w:rPr>
          <w:noProof/>
        </w:rPr>
        <w:fldChar w:fldCharType="end"/>
      </w:r>
    </w:p>
    <w:p w14:paraId="2663711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_Toc221190566 \h </w:instrText>
      </w:r>
      <w:r>
        <w:rPr>
          <w:noProof/>
        </w:rPr>
      </w:r>
      <w:r>
        <w:rPr>
          <w:noProof/>
        </w:rPr>
        <w:fldChar w:fldCharType="separate"/>
      </w:r>
      <w:r w:rsidR="008E07C3">
        <w:rPr>
          <w:noProof/>
        </w:rPr>
        <w:t>20</w:t>
      </w:r>
      <w:r>
        <w:rPr>
          <w:noProof/>
        </w:rPr>
        <w:fldChar w:fldCharType="end"/>
      </w:r>
    </w:p>
    <w:p w14:paraId="4FF52EFB"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_Toc221190567 \h </w:instrText>
      </w:r>
      <w:r>
        <w:rPr>
          <w:noProof/>
        </w:rPr>
      </w:r>
      <w:r>
        <w:rPr>
          <w:noProof/>
        </w:rPr>
        <w:fldChar w:fldCharType="separate"/>
      </w:r>
      <w:r w:rsidR="008E07C3">
        <w:rPr>
          <w:noProof/>
        </w:rPr>
        <w:t>21</w:t>
      </w:r>
      <w:r>
        <w:rPr>
          <w:noProof/>
        </w:rPr>
        <w:fldChar w:fldCharType="end"/>
      </w:r>
    </w:p>
    <w:p w14:paraId="0C18278E"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_Toc221190568 \h </w:instrText>
      </w:r>
      <w:r>
        <w:rPr>
          <w:noProof/>
        </w:rPr>
      </w:r>
      <w:r>
        <w:rPr>
          <w:noProof/>
        </w:rPr>
        <w:fldChar w:fldCharType="separate"/>
      </w:r>
      <w:r w:rsidR="008E07C3">
        <w:rPr>
          <w:noProof/>
        </w:rPr>
        <w:t>22</w:t>
      </w:r>
      <w:r>
        <w:rPr>
          <w:noProof/>
        </w:rPr>
        <w:fldChar w:fldCharType="end"/>
      </w:r>
    </w:p>
    <w:p w14:paraId="15B23A4C"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380C99">
        <w:rPr>
          <w:noProof/>
          <w:spacing w:val="1"/>
        </w:rPr>
        <w:t>GetReferralOutcome</w:t>
      </w:r>
      <w:r>
        <w:rPr>
          <w:noProof/>
        </w:rPr>
        <w:tab/>
      </w:r>
      <w:r>
        <w:rPr>
          <w:noProof/>
        </w:rPr>
        <w:fldChar w:fldCharType="begin"/>
      </w:r>
      <w:r>
        <w:rPr>
          <w:noProof/>
        </w:rPr>
        <w:instrText xml:space="preserve"> PAGEREF _Toc221190569 \h </w:instrText>
      </w:r>
      <w:r>
        <w:rPr>
          <w:noProof/>
        </w:rPr>
      </w:r>
      <w:r>
        <w:rPr>
          <w:noProof/>
        </w:rPr>
        <w:fldChar w:fldCharType="separate"/>
      </w:r>
      <w:r w:rsidR="008E07C3">
        <w:rPr>
          <w:noProof/>
        </w:rPr>
        <w:t>25</w:t>
      </w:r>
      <w:r>
        <w:rPr>
          <w:noProof/>
        </w:rPr>
        <w:fldChar w:fldCharType="end"/>
      </w:r>
    </w:p>
    <w:p w14:paraId="71732290"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_Toc221190570 \h </w:instrText>
      </w:r>
      <w:r>
        <w:rPr>
          <w:noProof/>
        </w:rPr>
      </w:r>
      <w:r>
        <w:rPr>
          <w:noProof/>
        </w:rPr>
        <w:fldChar w:fldCharType="separate"/>
      </w:r>
      <w:r w:rsidR="008E07C3">
        <w:rPr>
          <w:noProof/>
        </w:rPr>
        <w:t>25</w:t>
      </w:r>
      <w:r>
        <w:rPr>
          <w:noProof/>
        </w:rPr>
        <w:fldChar w:fldCharType="end"/>
      </w:r>
    </w:p>
    <w:p w14:paraId="6901EDEA"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_Toc221190571 \h </w:instrText>
      </w:r>
      <w:r>
        <w:rPr>
          <w:noProof/>
        </w:rPr>
      </w:r>
      <w:r>
        <w:rPr>
          <w:noProof/>
        </w:rPr>
        <w:fldChar w:fldCharType="separate"/>
      </w:r>
      <w:r w:rsidR="008E07C3">
        <w:rPr>
          <w:noProof/>
        </w:rPr>
        <w:t>25</w:t>
      </w:r>
      <w:r>
        <w:rPr>
          <w:noProof/>
        </w:rPr>
        <w:fldChar w:fldCharType="end"/>
      </w:r>
    </w:p>
    <w:p w14:paraId="0A1110BD"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_Toc221190572 \h </w:instrText>
      </w:r>
      <w:r>
        <w:rPr>
          <w:noProof/>
        </w:rPr>
      </w:r>
      <w:r>
        <w:rPr>
          <w:noProof/>
        </w:rPr>
        <w:fldChar w:fldCharType="separate"/>
      </w:r>
      <w:r w:rsidR="008E07C3">
        <w:rPr>
          <w:noProof/>
        </w:rPr>
        <w:t>25</w:t>
      </w:r>
      <w:r>
        <w:rPr>
          <w:noProof/>
        </w:rPr>
        <w:fldChar w:fldCharType="end"/>
      </w:r>
    </w:p>
    <w:p w14:paraId="4BBBD74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6.4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_Toc221190573 \h </w:instrText>
      </w:r>
      <w:r>
        <w:rPr>
          <w:noProof/>
        </w:rPr>
      </w:r>
      <w:r>
        <w:rPr>
          <w:noProof/>
        </w:rPr>
        <w:fldChar w:fldCharType="separate"/>
      </w:r>
      <w:r w:rsidR="008E07C3">
        <w:rPr>
          <w:noProof/>
        </w:rPr>
        <w:t>25</w:t>
      </w:r>
      <w:r>
        <w:rPr>
          <w:noProof/>
        </w:rPr>
        <w:fldChar w:fldCharType="end"/>
      </w:r>
    </w:p>
    <w:p w14:paraId="003DEC73"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380C99">
        <w:rPr>
          <w:noProof/>
          <w:spacing w:val="1"/>
        </w:rPr>
        <w:t>GetCareContact</w:t>
      </w:r>
      <w:r>
        <w:rPr>
          <w:noProof/>
        </w:rPr>
        <w:tab/>
      </w:r>
      <w:r>
        <w:rPr>
          <w:noProof/>
        </w:rPr>
        <w:fldChar w:fldCharType="begin"/>
      </w:r>
      <w:r>
        <w:rPr>
          <w:noProof/>
        </w:rPr>
        <w:instrText xml:space="preserve"> PAGEREF _Toc221190574 \h </w:instrText>
      </w:r>
      <w:r>
        <w:rPr>
          <w:noProof/>
        </w:rPr>
      </w:r>
      <w:r>
        <w:rPr>
          <w:noProof/>
        </w:rPr>
        <w:fldChar w:fldCharType="separate"/>
      </w:r>
      <w:r w:rsidR="008E07C3">
        <w:rPr>
          <w:noProof/>
        </w:rPr>
        <w:t>29</w:t>
      </w:r>
      <w:r>
        <w:rPr>
          <w:noProof/>
        </w:rPr>
        <w:fldChar w:fldCharType="end"/>
      </w:r>
    </w:p>
    <w:p w14:paraId="62A4B9B6"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_Toc221190575 \h </w:instrText>
      </w:r>
      <w:r>
        <w:rPr>
          <w:noProof/>
        </w:rPr>
      </w:r>
      <w:r>
        <w:rPr>
          <w:noProof/>
        </w:rPr>
        <w:fldChar w:fldCharType="separate"/>
      </w:r>
      <w:r w:rsidR="008E07C3">
        <w:rPr>
          <w:noProof/>
        </w:rPr>
        <w:t>29</w:t>
      </w:r>
      <w:r>
        <w:rPr>
          <w:noProof/>
        </w:rPr>
        <w:fldChar w:fldCharType="end"/>
      </w:r>
    </w:p>
    <w:p w14:paraId="64757553"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_Toc221190576 \h </w:instrText>
      </w:r>
      <w:r>
        <w:rPr>
          <w:noProof/>
        </w:rPr>
      </w:r>
      <w:r>
        <w:rPr>
          <w:noProof/>
        </w:rPr>
        <w:fldChar w:fldCharType="separate"/>
      </w:r>
      <w:r w:rsidR="008E07C3">
        <w:rPr>
          <w:noProof/>
        </w:rPr>
        <w:t>29</w:t>
      </w:r>
      <w:r>
        <w:rPr>
          <w:noProof/>
        </w:rPr>
        <w:fldChar w:fldCharType="end"/>
      </w:r>
    </w:p>
    <w:p w14:paraId="0922E332"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_Toc221190577 \h </w:instrText>
      </w:r>
      <w:r>
        <w:rPr>
          <w:noProof/>
        </w:rPr>
      </w:r>
      <w:r>
        <w:rPr>
          <w:noProof/>
        </w:rPr>
        <w:fldChar w:fldCharType="separate"/>
      </w:r>
      <w:r w:rsidR="008E07C3">
        <w:rPr>
          <w:noProof/>
        </w:rPr>
        <w:t>29</w:t>
      </w:r>
      <w:r>
        <w:rPr>
          <w:noProof/>
        </w:rPr>
        <w:fldChar w:fldCharType="end"/>
      </w:r>
    </w:p>
    <w:p w14:paraId="1A72BA2D" w14:textId="77777777" w:rsidR="00FA580C" w:rsidRDefault="00FA580C">
      <w:pPr>
        <w:pStyle w:val="Innehll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_Toc221190578 \h </w:instrText>
      </w:r>
      <w:r>
        <w:rPr>
          <w:noProof/>
        </w:rPr>
      </w:r>
      <w:r>
        <w:rPr>
          <w:noProof/>
        </w:rPr>
        <w:fldChar w:fldCharType="separate"/>
      </w:r>
      <w:r w:rsidR="008E07C3">
        <w:rPr>
          <w:noProof/>
        </w:rPr>
        <w:t>29</w:t>
      </w:r>
      <w:r>
        <w:rPr>
          <w:noProof/>
        </w:rPr>
        <w:fldChar w:fldCharType="end"/>
      </w:r>
    </w:p>
    <w:p w14:paraId="3E5D0EFD"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sidRPr="00380C99">
        <w:rPr>
          <w:rFonts w:cs="Times New Roman"/>
          <w:i/>
          <w:noProof/>
          <w:color w:val="FF0000"/>
        </w:rPr>
        <w:t>1</w:t>
      </w:r>
      <w:r>
        <w:rPr>
          <w:rFonts w:asciiTheme="minorHAnsi" w:eastAsiaTheme="minorEastAsia" w:hAnsiTheme="minorHAnsi"/>
          <w:noProof/>
          <w:lang w:val="en-US" w:eastAsia="ja-JP"/>
        </w:rPr>
        <w:tab/>
      </w:r>
      <w:r w:rsidRPr="00380C99">
        <w:rPr>
          <w:noProof/>
          <w:color w:val="FF0000"/>
        </w:rPr>
        <w:t>Regler</w:t>
      </w:r>
      <w:r>
        <w:rPr>
          <w:noProof/>
        </w:rPr>
        <w:tab/>
      </w:r>
      <w:r>
        <w:rPr>
          <w:noProof/>
        </w:rPr>
        <w:fldChar w:fldCharType="begin"/>
      </w:r>
      <w:r>
        <w:rPr>
          <w:noProof/>
        </w:rPr>
        <w:instrText xml:space="preserve"> PAGEREF _Toc221190579 \h </w:instrText>
      </w:r>
      <w:r>
        <w:rPr>
          <w:noProof/>
        </w:rPr>
      </w:r>
      <w:r>
        <w:rPr>
          <w:noProof/>
        </w:rPr>
        <w:fldChar w:fldCharType="separate"/>
      </w:r>
      <w:r w:rsidR="008E07C3">
        <w:rPr>
          <w:noProof/>
        </w:rPr>
        <w:t>32</w:t>
      </w:r>
      <w:r>
        <w:rPr>
          <w:noProof/>
        </w:rPr>
        <w:fldChar w:fldCharType="end"/>
      </w:r>
    </w:p>
    <w:p w14:paraId="1314D40F" w14:textId="77777777" w:rsidR="00FA580C" w:rsidRDefault="00FA580C">
      <w:pPr>
        <w:pStyle w:val="Innehll1"/>
        <w:tabs>
          <w:tab w:val="left" w:pos="1227"/>
          <w:tab w:val="right" w:leader="dot" w:pos="9159"/>
        </w:tabs>
        <w:rPr>
          <w:rFonts w:asciiTheme="minorHAnsi" w:eastAsiaTheme="minorEastAsia" w:hAnsiTheme="minorHAnsi"/>
          <w:noProof/>
          <w:lang w:val="en-US" w:eastAsia="ja-JP"/>
        </w:rPr>
      </w:pPr>
      <w:r w:rsidRPr="00380C99">
        <w:rPr>
          <w:noProof/>
          <w:color w:val="FF0000"/>
        </w:rPr>
        <w:t>2</w:t>
      </w:r>
      <w:r>
        <w:rPr>
          <w:rFonts w:asciiTheme="minorHAnsi" w:eastAsiaTheme="minorEastAsia" w:hAnsiTheme="minorHAnsi"/>
          <w:noProof/>
          <w:lang w:val="en-US" w:eastAsia="ja-JP"/>
        </w:rPr>
        <w:tab/>
      </w:r>
      <w:r w:rsidRPr="00380C99">
        <w:rPr>
          <w:noProof/>
          <w:color w:val="FF0000"/>
        </w:rPr>
        <w:t>Tjänsteinteraktion</w:t>
      </w:r>
      <w:r>
        <w:rPr>
          <w:noProof/>
        </w:rPr>
        <w:tab/>
      </w:r>
      <w:r>
        <w:rPr>
          <w:noProof/>
        </w:rPr>
        <w:fldChar w:fldCharType="begin"/>
      </w:r>
      <w:r>
        <w:rPr>
          <w:noProof/>
        </w:rPr>
        <w:instrText xml:space="preserve"> PAGEREF _Toc221190580 \h </w:instrText>
      </w:r>
      <w:r>
        <w:rPr>
          <w:noProof/>
        </w:rPr>
      </w:r>
      <w:r>
        <w:rPr>
          <w:noProof/>
        </w:rPr>
        <w:fldChar w:fldCharType="separate"/>
      </w:r>
      <w:r w:rsidR="008E07C3">
        <w:rPr>
          <w:noProof/>
        </w:rPr>
        <w:t>32</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1190540"/>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1190541"/>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1190542"/>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1190543"/>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1190544"/>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1190545"/>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1190546"/>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1190547"/>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1190548"/>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1190549"/>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1190550"/>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1190551"/>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1190552"/>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1190553"/>
      <w:r w:rsidRPr="00BC5B0B">
        <w:t>Tjänstekontraktens desi</w:t>
      </w:r>
      <w:bookmarkEnd w:id="28"/>
      <w:r w:rsidR="00344606">
        <w:t>gn</w:t>
      </w:r>
      <w:bookmarkEnd w:id="29"/>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 xml:space="preserve">Varje dokument består av en </w:t>
        </w:r>
        <w:proofErr w:type="spellStart"/>
        <w:r>
          <w:t>header</w:t>
        </w:r>
      </w:ins>
      <w:proofErr w:type="spellEnd"/>
      <w:ins w:id="39" w:author="Fredrik Ström" w:date="2013-01-28T09:26:00Z">
        <w:r>
          <w:t xml:space="preserve">, </w:t>
        </w:r>
        <w:proofErr w:type="spellStart"/>
        <w:r>
          <w:t>PatientSummaryHeader</w:t>
        </w:r>
        <w:proofErr w:type="spellEnd"/>
        <w:r>
          <w:t xml:space="preserve">, som är gemensam för alla </w:t>
        </w:r>
      </w:ins>
      <w:ins w:id="40" w:author="Fredrik Ström" w:date="2013-01-28T09:32:00Z">
        <w:r>
          <w:t>tjänster</w:t>
        </w:r>
      </w:ins>
      <w:ins w:id="41"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119055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1190555"/>
      <w:r>
        <w:t>Uppdatering av engagemangsindex</w:t>
      </w:r>
      <w:bookmarkEnd w:id="46"/>
      <w:bookmarkEnd w:id="47"/>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proofErr w:type="spellStart"/>
            <w:r>
              <w:t>Logical</w:t>
            </w:r>
            <w:proofErr w:type="spellEnd"/>
            <w:r>
              <w:t xml:space="preserve"> </w:t>
            </w:r>
            <w:proofErr w:type="spellStart"/>
            <w:r>
              <w:t>address</w:t>
            </w:r>
            <w:proofErr w:type="spellEnd"/>
            <w:r>
              <w:t>*</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w:t>
            </w:r>
            <w:proofErr w:type="spellStart"/>
            <w:r w:rsidRPr="009D1585">
              <w:rPr>
                <w:highlight w:val="yellow"/>
              </w:rPr>
              <w:t>verksamhets-adresserade</w:t>
            </w:r>
            <w:proofErr w:type="spellEnd"/>
            <w:r w:rsidRPr="009D1585">
              <w:rPr>
                <w:highlight w:val="yellow"/>
              </w:rPr>
              <w:t xml:space="preserv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9" w:name="_Toc219337777"/>
      <w:bookmarkStart w:id="50" w:name="_Toc221190556"/>
      <w:r>
        <w:t>Uppdatering av anslutningskatalog</w:t>
      </w:r>
      <w:bookmarkEnd w:id="49"/>
      <w:bookmarkEnd w:id="50"/>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1190557"/>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1190558"/>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1190559"/>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1190560"/>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1190561"/>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1190562"/>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1190563"/>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lastRenderedPageBreak/>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lastRenderedPageBreak/>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1190564"/>
      <w:proofErr w:type="spellStart"/>
      <w:r w:rsidRPr="00907C9B">
        <w:rPr>
          <w:spacing w:val="1"/>
        </w:rPr>
        <w:t>GetCareDocumentation</w:t>
      </w:r>
      <w:proofErr w:type="spellEnd"/>
      <w:r w:rsidRPr="00907C9B">
        <w:rPr>
          <w:spacing w:val="1"/>
        </w:rPr>
        <w:t xml:space="preserve"> (Vård- och omsorgsdokument</w:t>
      </w:r>
      <w:bookmarkEnd w:id="67"/>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1190565"/>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1190566"/>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1190567"/>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1190568"/>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proofErr w:type="gramStart"/>
            <w:r>
              <w:rPr>
                <w:sz w:val="20"/>
                <w:szCs w:val="20"/>
              </w:rPr>
              <w:t>...</w:t>
            </w:r>
            <w:proofErr w:type="spellStart"/>
            <w:r w:rsidR="001E69BC">
              <w:rPr>
                <w:spacing w:val="-1"/>
                <w:sz w:val="20"/>
                <w:szCs w:val="20"/>
              </w:rPr>
              <w:t>careUnit</w:t>
            </w:r>
            <w:r w:rsidR="00907C9B" w:rsidRPr="00907C9B">
              <w:rPr>
                <w:spacing w:val="-1"/>
                <w:sz w:val="20"/>
                <w:szCs w:val="20"/>
              </w:rPr>
              <w:t>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proofErr w:type="gramStart"/>
            <w:r w:rsidR="00907C9B" w:rsidRPr="00907C9B">
              <w:rPr>
                <w:sz w:val="20"/>
                <w:szCs w:val="20"/>
              </w:rPr>
              <w:t>..</w:t>
            </w:r>
            <w:proofErr w:type="gramEnd"/>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1190569"/>
      <w:proofErr w:type="spellStart"/>
      <w:r w:rsidRPr="00907C9B">
        <w:rPr>
          <w:spacing w:val="1"/>
        </w:rPr>
        <w:t>GetReferral</w:t>
      </w:r>
      <w:r w:rsidR="0051739C">
        <w:rPr>
          <w:spacing w:val="1"/>
        </w:rPr>
        <w:t>Outcome</w:t>
      </w:r>
      <w:bookmarkEnd w:id="7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8" w:name="_Toc221190570"/>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9" w:name="_Toc221190571"/>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80" w:name="_Toc221190572"/>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1" w:name="_Toc221190573"/>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proofErr w:type="gramStart"/>
            <w:r>
              <w:rPr>
                <w:sz w:val="20"/>
                <w:szCs w:val="20"/>
              </w:rPr>
              <w:t>...</w:t>
            </w:r>
            <w:proofErr w:type="spellStart"/>
            <w:r w:rsidR="00C67618">
              <w:rPr>
                <w:spacing w:val="-1"/>
                <w:sz w:val="20"/>
                <w:szCs w:val="20"/>
              </w:rPr>
              <w:t>careUnit</w:t>
            </w:r>
            <w:r w:rsidRPr="00907C9B">
              <w:rPr>
                <w:spacing w:val="-1"/>
                <w:sz w:val="20"/>
                <w:szCs w:val="20"/>
              </w:rPr>
              <w:t>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proofErr w:type="gramStart"/>
            <w:r w:rsidR="00142ECE" w:rsidRPr="00907C9B">
              <w:rPr>
                <w:sz w:val="20"/>
                <w:szCs w:val="20"/>
              </w:rPr>
              <w:t>..</w:t>
            </w:r>
            <w:proofErr w:type="gramEnd"/>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w:t>
            </w:r>
            <w:proofErr w:type="spellStart"/>
            <w:r w:rsidR="00142ECE">
              <w:rPr>
                <w:spacing w:val="-1"/>
                <w:sz w:val="20"/>
                <w:szCs w:val="20"/>
              </w:rPr>
              <w:t>kodverk</w:t>
            </w:r>
            <w:proofErr w:type="spellEnd"/>
            <w:r w:rsidR="00142ECE">
              <w:rPr>
                <w:spacing w:val="-1"/>
                <w:sz w:val="20"/>
                <w:szCs w:val="20"/>
              </w:rPr>
              <w:t xml:space="preserve"> </w:t>
            </w:r>
            <w:proofErr w:type="gramStart"/>
            <w:r w:rsidR="00142ECE">
              <w:rPr>
                <w:spacing w:val="-1"/>
                <w:sz w:val="20"/>
                <w:szCs w:val="20"/>
              </w:rPr>
              <w:t>kan  förekomma</w:t>
            </w:r>
            <w:proofErr w:type="gramEnd"/>
            <w:r w:rsidR="00142ECE">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proofErr w:type="spellStart"/>
            <w:r>
              <w:rPr>
                <w:sz w:val="20"/>
                <w:szCs w:val="20"/>
              </w:rPr>
              <w:t>Multi</w:t>
            </w:r>
            <w:r w:rsidR="00787276">
              <w:rPr>
                <w:sz w:val="20"/>
                <w:szCs w:val="20"/>
              </w:rPr>
              <w:t>m</w:t>
            </w:r>
            <w:r>
              <w:rPr>
                <w:sz w:val="20"/>
                <w:szCs w:val="20"/>
              </w:rPr>
              <w:t>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w:t>
            </w:r>
            <w:r w:rsidR="002A2A60">
              <w:rPr>
                <w:sz w:val="20"/>
                <w:szCs w:val="20"/>
              </w:rPr>
              <w:t>I</w:t>
            </w:r>
            <w:r>
              <w:rPr>
                <w:sz w:val="20"/>
                <w:szCs w:val="20"/>
              </w:rPr>
              <w:t>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1190574"/>
      <w:proofErr w:type="spellStart"/>
      <w:r w:rsidR="000927F0" w:rsidRPr="000927F0">
        <w:rPr>
          <w:spacing w:val="1"/>
        </w:rPr>
        <w:lastRenderedPageBreak/>
        <w:t>GetCareContact</w:t>
      </w:r>
      <w:bookmarkEnd w:id="8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1190575"/>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1190576"/>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1190577"/>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1190578"/>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8C6F07" w:rsidRPr="00907C9B" w:rsidRDefault="008C6F07" w:rsidP="008C6F07">
            <w:pPr>
              <w:spacing w:line="229" w:lineRule="exact"/>
              <w:ind w:left="102"/>
              <w:rPr>
                <w:sz w:val="20"/>
                <w:szCs w:val="20"/>
              </w:rPr>
            </w:pPr>
            <w:proofErr w:type="gramStart"/>
            <w:r>
              <w:rPr>
                <w:sz w:val="20"/>
                <w:szCs w:val="20"/>
              </w:rPr>
              <w:t>...</w:t>
            </w:r>
            <w:proofErr w:type="spellStart"/>
            <w:r w:rsidR="005F1C09">
              <w:rPr>
                <w:spacing w:val="-1"/>
                <w:sz w:val="20"/>
                <w:szCs w:val="20"/>
              </w:rPr>
              <w:t>careUnit</w:t>
            </w:r>
            <w:r w:rsidRPr="00907C9B">
              <w:rPr>
                <w:spacing w:val="-1"/>
                <w:sz w:val="20"/>
                <w:szCs w:val="20"/>
              </w:rPr>
              <w:t>Address</w:t>
            </w:r>
            <w:proofErr w:type="spellEnd"/>
            <w:proofErr w:type="gramEnd"/>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proofErr w:type="spellStart"/>
            <w:r w:rsidRPr="0035083B">
              <w:rPr>
                <w:sz w:val="20"/>
                <w:szCs w:val="20"/>
              </w:rPr>
              <w:t>HSAIDType</w:t>
            </w:r>
            <w:proofErr w:type="spellEnd"/>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8C6F07" w:rsidRPr="00965345" w:rsidRDefault="00F7361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195EF83" w:rsidR="008C6F07" w:rsidRPr="0017140E" w:rsidRDefault="00F54C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careContacti</w:t>
            </w:r>
            <w:r w:rsidR="008C6F07">
              <w:rPr>
                <w:rFonts w:ascii="Times New Roman" w:eastAsia="Times New Roman" w:hAnsi="Times New Roman" w:cs="Times New Roman"/>
                <w:sz w:val="20"/>
                <w:szCs w:val="20"/>
              </w:rPr>
              <w:t>d</w:t>
            </w:r>
            <w:proofErr w:type="spellEnd"/>
            <w:proofErr w:type="gramEnd"/>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8C6F07" w:rsidRDefault="00F54CBF"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8C6F07">
              <w:rPr>
                <w:rFonts w:ascii="Times New Roman" w:eastAsia="Times New Roman" w:hAnsi="Times New Roman" w:cs="Times New Roman"/>
                <w:spacing w:val="-1"/>
                <w:sz w:val="20"/>
                <w:szCs w:val="20"/>
              </w:rPr>
              <w:t>dType</w:t>
            </w:r>
            <w:proofErr w:type="spellEnd"/>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0FDF4EFC"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w:t>
            </w:r>
            <w:r w:rsidR="005F1C09">
              <w:rPr>
                <w:rFonts w:ascii="Times New Roman" w:eastAsia="Times New Roman" w:hAnsi="Times New Roman" w:cs="Times New Roman"/>
                <w:sz w:val="20"/>
                <w:szCs w:val="20"/>
              </w:rPr>
              <w:t>e</w:t>
            </w:r>
            <w:proofErr w:type="spellEnd"/>
            <w:proofErr w:type="gramEnd"/>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1775A2D"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r w:rsidR="00150696">
              <w:rPr>
                <w:rFonts w:ascii="Times New Roman" w:eastAsia="Times New Roman" w:hAnsi="Times New Roman" w:cs="Times New Roman"/>
                <w:sz w:val="20"/>
                <w:szCs w:val="20"/>
              </w:rPr>
              <w:t>ess</w:t>
            </w:r>
            <w:proofErr w:type="spellEnd"/>
            <w:proofErr w:type="gramEnd"/>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8C6F07" w:rsidRDefault="0016732F"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ind w:left="360"/>
      </w:pPr>
      <w:proofErr w:type="spellStart"/>
      <w:r w:rsidRPr="000927F0">
        <w:rPr>
          <w:spacing w:val="1"/>
        </w:rPr>
        <w:lastRenderedPageBreak/>
        <w:t>Get</w:t>
      </w:r>
      <w:r>
        <w:rPr>
          <w:spacing w:val="1"/>
        </w:rPr>
        <w:t>Diagnosis</w:t>
      </w:r>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763101">
      <w:pPr>
        <w:pStyle w:val="Rubrik1"/>
        <w:numPr>
          <w:ilvl w:val="1"/>
          <w:numId w:val="1"/>
        </w:numPr>
        <w:tabs>
          <w:tab w:val="left" w:pos="1299"/>
        </w:tabs>
        <w:rPr>
          <w:color w:val="000000" w:themeColor="text1"/>
        </w:rPr>
      </w:pPr>
      <w:r w:rsidRPr="002E1905">
        <w:rPr>
          <w:color w:val="000000" w:themeColor="text1"/>
        </w:rPr>
        <w:t>Frivillighet</w:t>
      </w:r>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763101">
      <w:pPr>
        <w:pStyle w:val="Rubrik1"/>
        <w:numPr>
          <w:ilvl w:val="1"/>
          <w:numId w:val="1"/>
        </w:numPr>
        <w:tabs>
          <w:tab w:val="left" w:pos="1299"/>
        </w:tabs>
        <w:rPr>
          <w:color w:val="000000" w:themeColor="text1"/>
        </w:rPr>
      </w:pPr>
      <w:r w:rsidRPr="00866C77">
        <w:rPr>
          <w:color w:val="000000" w:themeColor="text1"/>
        </w:rPr>
        <w:t>Version</w:t>
      </w:r>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763101">
      <w:pPr>
        <w:pStyle w:val="Rubrik1"/>
        <w:numPr>
          <w:ilvl w:val="1"/>
          <w:numId w:val="1"/>
        </w:numPr>
        <w:tabs>
          <w:tab w:val="left" w:pos="1299"/>
        </w:tabs>
        <w:rPr>
          <w:color w:val="000000" w:themeColor="text1"/>
        </w:rPr>
      </w:pPr>
      <w:r w:rsidRPr="001C06B7">
        <w:rPr>
          <w:color w:val="000000" w:themeColor="text1"/>
        </w:rPr>
        <w:t>SLA-krav</w:t>
      </w:r>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154629">
      <w:pPr>
        <w:pStyle w:val="Rubrik1"/>
        <w:numPr>
          <w:ilvl w:val="1"/>
          <w:numId w:val="1"/>
        </w:numPr>
        <w:tabs>
          <w:tab w:val="left" w:pos="1299"/>
        </w:tabs>
        <w:rPr>
          <w:sz w:val="20"/>
          <w:szCs w:val="20"/>
        </w:rPr>
      </w:pPr>
      <w:r w:rsidRPr="002A2A8D">
        <w:rPr>
          <w:color w:val="000000" w:themeColor="text1"/>
        </w:rPr>
        <w:t>Fältregler</w:t>
      </w:r>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87"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bookmarkStart w:id="88" w:name="_Toc221190579"/>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63101"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77777777" w:rsidR="00763101" w:rsidRPr="00907C9B" w:rsidRDefault="00763101"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22FC4EFA" w:rsidR="00763101" w:rsidRPr="00907C9B" w:rsidRDefault="00F54CBF" w:rsidP="00154629">
            <w:pPr>
              <w:spacing w:line="226" w:lineRule="exact"/>
              <w:ind w:left="102"/>
              <w:rPr>
                <w:spacing w:val="-1"/>
                <w:sz w:val="20"/>
                <w:szCs w:val="20"/>
              </w:rPr>
            </w:pPr>
            <w:proofErr w:type="spellStart"/>
            <w:r>
              <w:rPr>
                <w:spacing w:val="-1"/>
                <w:sz w:val="20"/>
                <w:szCs w:val="20"/>
              </w:rPr>
              <w:t>HSAid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77777777" w:rsidR="00763101" w:rsidRPr="00907C9B" w:rsidRDefault="00763101"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01C4BAF" w14:textId="77777777" w:rsidR="00763101" w:rsidRPr="00907C9B" w:rsidRDefault="00763101" w:rsidP="001546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63101" w:rsidRPr="00907C9B" w:rsidRDefault="00763101" w:rsidP="00154629">
            <w:pPr>
              <w:ind w:left="102"/>
              <w:rPr>
                <w:sz w:val="20"/>
                <w:szCs w:val="20"/>
              </w:rPr>
            </w:pPr>
          </w:p>
        </w:tc>
      </w:tr>
      <w:tr w:rsidR="00763101"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4021AA4B" w:rsidR="00763101" w:rsidRPr="00907C9B" w:rsidRDefault="00763101" w:rsidP="00154629">
            <w:pPr>
              <w:spacing w:line="226" w:lineRule="exact"/>
              <w:ind w:left="102"/>
              <w:rPr>
                <w:spacing w:val="-1"/>
                <w:sz w:val="20"/>
                <w:szCs w:val="20"/>
              </w:rPr>
            </w:pPr>
            <w:r w:rsidRPr="00907C9B">
              <w:rPr>
                <w:sz w:val="20"/>
                <w:szCs w:val="20"/>
              </w:rPr>
              <w:t>patient</w:t>
            </w:r>
            <w:r w:rsidR="00F54CBF">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991D13" w14:textId="72804FBA" w:rsidR="00763101" w:rsidRPr="00907C9B" w:rsidRDefault="00F54CBF" w:rsidP="00154629">
            <w:pPr>
              <w:spacing w:line="226" w:lineRule="exact"/>
              <w:ind w:left="102"/>
              <w:rPr>
                <w:spacing w:val="-1"/>
                <w:sz w:val="20"/>
                <w:szCs w:val="20"/>
              </w:rPr>
            </w:pPr>
            <w:proofErr w:type="spellStart"/>
            <w:r>
              <w:rPr>
                <w:spacing w:val="-1"/>
                <w:sz w:val="20"/>
                <w:szCs w:val="20"/>
              </w:rPr>
              <w:t>Patientid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77777777" w:rsidR="00763101" w:rsidRPr="00A63DCF" w:rsidRDefault="00763101"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7777777" w:rsidR="00763101" w:rsidRPr="00907C9B" w:rsidRDefault="00763101"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7777777" w:rsidR="00763101" w:rsidRPr="00907C9B" w:rsidRDefault="00763101"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671AD0B" w14:textId="77777777" w:rsidR="00763101" w:rsidRPr="00A63DCF" w:rsidRDefault="00763101" w:rsidP="00154629">
            <w:pPr>
              <w:spacing w:line="226" w:lineRule="exact"/>
              <w:ind w:left="102"/>
              <w:rPr>
                <w:spacing w:val="-1"/>
                <w:sz w:val="20"/>
                <w:szCs w:val="20"/>
              </w:rPr>
            </w:pPr>
            <w:r w:rsidRPr="00A63DCF">
              <w:rPr>
                <w:spacing w:val="-1"/>
                <w:sz w:val="20"/>
                <w:szCs w:val="20"/>
              </w:rPr>
              <w:t xml:space="preserve">Begränsning av sökningen i tid, baserat på kliniskt </w:t>
            </w:r>
          </w:p>
          <w:p w14:paraId="72083B89" w14:textId="77777777" w:rsidR="00763101" w:rsidRPr="00A63DCF" w:rsidRDefault="00763101" w:rsidP="0015462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Pr>
                <w:spacing w:val="-1"/>
                <w:sz w:val="20"/>
                <w:szCs w:val="20"/>
              </w:rPr>
              <w:t>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0E0EDFB" w14:textId="77777777"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63101" w:rsidRPr="00907C9B" w14:paraId="1C7EA6F0" w14:textId="77777777" w:rsidTr="00154629">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4C94885E" w14:textId="77777777" w:rsidR="00763101" w:rsidRPr="00907C9B" w:rsidRDefault="00763101" w:rsidP="00154629">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9406805"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E37AE8" w14:textId="77777777" w:rsidR="00763101" w:rsidRPr="00A63DCF" w:rsidRDefault="00763101" w:rsidP="00154629">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FEEF01F"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15F8B26" w14:textId="77777777" w:rsidTr="00154629">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41D6F837" w14:textId="77777777" w:rsidR="00763101" w:rsidRPr="00907C9B" w:rsidRDefault="00763101" w:rsidP="00154629">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EFD2434"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77777777" w:rsidR="00763101" w:rsidRPr="00A63DCF" w:rsidRDefault="00763101" w:rsidP="00154629">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9F905C7"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77777777" w:rsidR="00763101" w:rsidRPr="00D12DAD" w:rsidRDefault="00763101" w:rsidP="00154629">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763101" w:rsidRDefault="00763101"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763101" w:rsidRPr="00907C9B" w:rsidRDefault="00763101" w:rsidP="00154629">
            <w:pPr>
              <w:spacing w:line="226" w:lineRule="exact"/>
              <w:ind w:left="102"/>
              <w:rPr>
                <w:spacing w:val="-1"/>
                <w:sz w:val="20"/>
                <w:szCs w:val="20"/>
              </w:rPr>
            </w:pPr>
          </w:p>
          <w:p w14:paraId="1267C13B"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763101" w:rsidRPr="006B1876" w:rsidRDefault="00763101" w:rsidP="00154629">
            <w:pPr>
              <w:spacing w:line="229" w:lineRule="exact"/>
              <w:ind w:left="102"/>
              <w:rPr>
                <w:sz w:val="20"/>
                <w:szCs w:val="20"/>
              </w:rPr>
            </w:pPr>
            <w:r w:rsidRPr="006B1876">
              <w:rPr>
                <w:sz w:val="20"/>
                <w:szCs w:val="20"/>
              </w:rPr>
              <w:t>HSA-id för PDL-enhet</w:t>
            </w:r>
          </w:p>
          <w:p w14:paraId="344C5AF5" w14:textId="77777777" w:rsidR="00763101" w:rsidRPr="006B1876" w:rsidRDefault="00763101" w:rsidP="00154629">
            <w:pPr>
              <w:spacing w:line="229" w:lineRule="exact"/>
              <w:ind w:left="102"/>
              <w:rPr>
                <w:sz w:val="20"/>
                <w:szCs w:val="20"/>
              </w:rPr>
            </w:pPr>
          </w:p>
          <w:p w14:paraId="704A484F"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763101" w:rsidRPr="00907C9B" w:rsidRDefault="00763101" w:rsidP="00154629">
            <w:pPr>
              <w:spacing w:line="229" w:lineRule="exact"/>
              <w:ind w:left="102"/>
              <w:rPr>
                <w:sz w:val="20"/>
                <w:szCs w:val="20"/>
              </w:rPr>
            </w:pPr>
          </w:p>
        </w:tc>
      </w:tr>
      <w:tr w:rsidR="00763101"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763101" w:rsidRPr="00907C9B" w:rsidRDefault="00763101"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763101" w:rsidRPr="00907C9B" w:rsidRDefault="00763101" w:rsidP="00154629">
            <w:pPr>
              <w:spacing w:line="226" w:lineRule="exact"/>
              <w:ind w:left="102"/>
              <w:rPr>
                <w:spacing w:val="-1"/>
                <w:sz w:val="20"/>
                <w:szCs w:val="20"/>
              </w:rPr>
            </w:pPr>
            <w:r>
              <w:rPr>
                <w:spacing w:val="-1"/>
                <w:sz w:val="20"/>
                <w:szCs w:val="20"/>
              </w:rPr>
              <w:t>string</w:t>
            </w:r>
          </w:p>
          <w:p w14:paraId="7673022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763101" w:rsidRPr="006B1876" w:rsidRDefault="00763101" w:rsidP="00154629">
            <w:pPr>
              <w:spacing w:line="229" w:lineRule="exact"/>
              <w:ind w:left="102"/>
              <w:rPr>
                <w:sz w:val="20"/>
                <w:szCs w:val="20"/>
              </w:rPr>
            </w:pPr>
            <w:r w:rsidRPr="006B1876">
              <w:rPr>
                <w:sz w:val="20"/>
                <w:szCs w:val="20"/>
              </w:rPr>
              <w:t>Namn på PDL-enhet</w:t>
            </w:r>
          </w:p>
          <w:p w14:paraId="503598A5"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763101" w:rsidRPr="00907C9B" w:rsidRDefault="00763101" w:rsidP="00154629">
            <w:pPr>
              <w:spacing w:line="226" w:lineRule="exact"/>
              <w:ind w:left="102"/>
              <w:rPr>
                <w:spacing w:val="-1"/>
                <w:sz w:val="20"/>
                <w:szCs w:val="20"/>
              </w:rPr>
            </w:pPr>
            <w:r>
              <w:rPr>
                <w:spacing w:val="-1"/>
                <w:sz w:val="20"/>
                <w:szCs w:val="20"/>
              </w:rPr>
              <w:t>string</w:t>
            </w:r>
          </w:p>
          <w:p w14:paraId="6F3E5B51"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77777777" w:rsidR="00763101" w:rsidRPr="006B1876" w:rsidRDefault="00763101" w:rsidP="00154629">
            <w:pPr>
              <w:spacing w:line="229" w:lineRule="exact"/>
              <w:ind w:left="102"/>
              <w:rPr>
                <w:sz w:val="20"/>
                <w:szCs w:val="20"/>
              </w:rPr>
            </w:pPr>
            <w:r w:rsidRPr="006B1876">
              <w:rPr>
                <w:sz w:val="20"/>
                <w:szCs w:val="20"/>
              </w:rPr>
              <w:t>Adress till PDL-enhet</w:t>
            </w:r>
          </w:p>
          <w:p w14:paraId="735E0A83"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763101" w:rsidRPr="00907C9B" w:rsidRDefault="00763101"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763101" w:rsidRPr="00907C9B" w:rsidRDefault="00763101"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763101" w:rsidRPr="00907C9B" w:rsidRDefault="00763101"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763101" w:rsidRPr="00907C9B" w:rsidRDefault="00763101"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763101" w:rsidRPr="003C17D1" w:rsidRDefault="00763101" w:rsidP="00154629">
            <w:pPr>
              <w:spacing w:line="229" w:lineRule="exact"/>
              <w:ind w:left="102"/>
              <w:rPr>
                <w:sz w:val="20"/>
                <w:szCs w:val="20"/>
              </w:rPr>
            </w:pPr>
            <w:r w:rsidRPr="003C17D1">
              <w:rPr>
                <w:sz w:val="20"/>
                <w:szCs w:val="20"/>
              </w:rPr>
              <w:t>Information om vem som signerat informationen i dokumentet.</w:t>
            </w:r>
          </w:p>
          <w:p w14:paraId="2DFE8E98" w14:textId="77777777" w:rsidR="00763101" w:rsidRPr="003C17D1"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763101" w:rsidRPr="00907C9B" w:rsidRDefault="00763101" w:rsidP="00154629">
            <w:pPr>
              <w:spacing w:line="229" w:lineRule="exact"/>
              <w:ind w:left="102"/>
              <w:rPr>
                <w:sz w:val="20"/>
                <w:szCs w:val="20"/>
                <w:lang w:val="en-US"/>
              </w:rPr>
            </w:pPr>
            <w:r w:rsidRPr="00907C9B">
              <w:rPr>
                <w:sz w:val="20"/>
                <w:szCs w:val="20"/>
                <w:lang w:val="en-US"/>
              </w:rPr>
              <w:t>0..1</w:t>
            </w:r>
          </w:p>
        </w:tc>
      </w:tr>
      <w:tr w:rsidR="00763101"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763101" w:rsidRPr="00907C9B" w:rsidRDefault="00763101"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763101" w:rsidRPr="00907C9B" w:rsidRDefault="00763101" w:rsidP="00154629">
            <w:pPr>
              <w:spacing w:line="229" w:lineRule="exact"/>
              <w:ind w:left="102"/>
              <w:rPr>
                <w:sz w:val="20"/>
                <w:szCs w:val="20"/>
              </w:rPr>
            </w:pPr>
            <w:r w:rsidRPr="00907C9B">
              <w:rPr>
                <w:sz w:val="20"/>
                <w:szCs w:val="20"/>
              </w:rPr>
              <w:t>Tidpunkt för signering</w:t>
            </w:r>
          </w:p>
          <w:p w14:paraId="2ED2C7A3"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763101" w:rsidRPr="00907C9B" w:rsidRDefault="00763101"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763101" w:rsidRPr="00907C9B" w:rsidRDefault="00763101" w:rsidP="00154629">
            <w:pPr>
              <w:spacing w:line="229" w:lineRule="exact"/>
              <w:ind w:left="102"/>
              <w:rPr>
                <w:sz w:val="20"/>
                <w:szCs w:val="20"/>
              </w:rPr>
            </w:pPr>
            <w:proofErr w:type="spellStart"/>
            <w:r w:rsidRPr="0035083B">
              <w:rPr>
                <w:sz w:val="20"/>
                <w:szCs w:val="20"/>
              </w:rPr>
              <w:t>HSAIDType</w:t>
            </w:r>
            <w:proofErr w:type="spellEnd"/>
          </w:p>
          <w:p w14:paraId="24C8690B" w14:textId="77777777" w:rsidR="00763101" w:rsidRPr="00907C9B" w:rsidRDefault="00763101"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763101" w:rsidRPr="00907C9B" w:rsidRDefault="00763101"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77777777" w:rsidR="00763101" w:rsidRPr="00907C9B" w:rsidRDefault="00763101" w:rsidP="00154629">
            <w:pPr>
              <w:spacing w:line="229" w:lineRule="exact"/>
              <w:ind w:left="102"/>
              <w:rPr>
                <w:sz w:val="20"/>
                <w:szCs w:val="20"/>
              </w:rPr>
            </w:pPr>
            <w:r>
              <w:rPr>
                <w:sz w:val="20"/>
                <w:szCs w:val="20"/>
              </w:rPr>
              <w:t>1</w:t>
            </w:r>
            <w:proofErr w:type="gramStart"/>
            <w:r w:rsidRPr="00907C9B">
              <w:rPr>
                <w:sz w:val="20"/>
                <w:szCs w:val="20"/>
              </w:rPr>
              <w:t>..</w:t>
            </w:r>
            <w:proofErr w:type="gramEnd"/>
            <w:r w:rsidRPr="00907C9B">
              <w:rPr>
                <w:sz w:val="20"/>
                <w:szCs w:val="20"/>
              </w:rPr>
              <w:t>1</w:t>
            </w:r>
          </w:p>
        </w:tc>
      </w:tr>
      <w:tr w:rsidR="00763101"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763101" w:rsidRPr="00E74D83" w:rsidRDefault="00763101"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763101" w:rsidRDefault="00763101"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763101" w:rsidRPr="0083546F" w:rsidRDefault="00763101"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763101" w:rsidRPr="00907C9B" w:rsidRDefault="00763101"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63101"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763101" w:rsidRPr="00907C9B" w:rsidRDefault="00763101" w:rsidP="00154629">
            <w:pPr>
              <w:spacing w:line="229" w:lineRule="exact"/>
              <w:ind w:left="102"/>
              <w:rPr>
                <w:sz w:val="20"/>
                <w:szCs w:val="20"/>
              </w:rPr>
            </w:pPr>
            <w:r w:rsidRPr="00907C9B">
              <w:rPr>
                <w:sz w:val="20"/>
                <w:szCs w:val="20"/>
              </w:rPr>
              <w:t>.</w:t>
            </w:r>
            <w:proofErr w:type="spellStart"/>
            <w:r w:rsidR="007F53D9"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763101" w:rsidRPr="00907C9B" w:rsidRDefault="007F53D9"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00763101"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F53D9"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7F53D9" w:rsidRPr="00907C9B" w:rsidRDefault="007F53D9"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7F53D9" w:rsidRPr="00907C9B" w:rsidRDefault="007F53D9"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7F53D9" w:rsidRPr="00907C9B" w:rsidRDefault="007F53D9"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F53D9"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7F53D9" w:rsidRDefault="007F53D9"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7F53D9" w:rsidRPr="007F53D9" w:rsidRDefault="007F53D9"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7F53D9"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6E281D" w:rsidRDefault="006E281D"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6E281D" w:rsidRDefault="006E28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6E281D" w:rsidRPr="007F53D9" w:rsidRDefault="006E28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6E281D"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6E281D"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6E281D" w:rsidRPr="006E281D" w:rsidRDefault="00931F5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6E281D" w:rsidRPr="006E281D"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6E281D"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31F5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931F5A" w:rsidRDefault="00931F5A" w:rsidP="00154629">
            <w:pPr>
              <w:spacing w:line="229" w:lineRule="exact"/>
              <w:ind w:left="102"/>
              <w:rPr>
                <w:sz w:val="20"/>
                <w:szCs w:val="20"/>
              </w:rPr>
            </w:pPr>
            <w:proofErr w:type="gramStart"/>
            <w:r>
              <w:rPr>
                <w:sz w:val="20"/>
                <w:szCs w:val="20"/>
              </w:rPr>
              <w:lastRenderedPageBreak/>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931F5A" w:rsidRP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931F5A" w:rsidRPr="00931F5A" w:rsidRDefault="00931F5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931F5A" w:rsidRPr="00931F5A" w:rsidRDefault="00931F5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931F5A"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931F5A" w:rsidRDefault="00931F5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931F5A" w:rsidRPr="00931F5A"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931F5A"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253D60" w:rsidRDefault="00253D60"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253D60" w:rsidRP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253D60" w:rsidRPr="00931F5A" w:rsidRDefault="00253D60"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253D60" w:rsidRDefault="00253D60"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931F5A" w:rsidRPr="00931F5A" w:rsidRDefault="00931F5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931F5A" w:rsidRPr="00931F5A" w:rsidRDefault="00931F5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931F5A" w:rsidRDefault="00931F5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sidR="00836554">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931F5A" w:rsidRPr="00931F5A" w:rsidRDefault="00253D60"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931F5A" w:rsidRDefault="00253D60"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253D60" w:rsidRDefault="00253D60"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253D60" w:rsidRDefault="00253D60"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253D60" w:rsidRPr="00253D60" w:rsidRDefault="00253D60"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253D60" w:rsidRDefault="006D3F42"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F854DE"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F854DE" w:rsidRPr="00253D60"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F854DE" w:rsidRPr="00253D60" w:rsidRDefault="00F854DE"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F854DE" w:rsidRPr="00253D60"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F854DE" w:rsidRPr="00F854DE" w:rsidRDefault="00F854DE"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F854DE" w:rsidRDefault="00F854DE"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F854DE" w:rsidRPr="00F854DE" w:rsidRDefault="00F854DE"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F854DE" w:rsidRDefault="00F854DE" w:rsidP="00154629">
            <w:pPr>
              <w:spacing w:line="229" w:lineRule="exact"/>
              <w:ind w:left="102"/>
              <w:rPr>
                <w:sz w:val="20"/>
                <w:szCs w:val="20"/>
              </w:rPr>
            </w:pPr>
            <w:proofErr w:type="gramStart"/>
            <w:r>
              <w:rPr>
                <w:sz w:val="20"/>
                <w:szCs w:val="20"/>
              </w:rPr>
              <w:lastRenderedPageBreak/>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F854DE" w:rsidRPr="00F854DE" w:rsidRDefault="00F854DE"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F854DE" w:rsidRPr="00F854DE" w:rsidRDefault="00F854DE"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F854DE"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854DE"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F854DE" w:rsidRPr="00F854DE" w:rsidRDefault="00F854DE"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F854DE" w:rsidRPr="00F854DE" w:rsidRDefault="00F854DE"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44541"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D44541" w:rsidRDefault="00D44541"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D44541" w:rsidRDefault="00D44541"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D44541" w:rsidRPr="00F854DE" w:rsidRDefault="00D44541"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D44541"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D026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7D026A" w:rsidRPr="00D44541"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7D026A" w:rsidRPr="00D44541" w:rsidRDefault="007D026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7D026A" w:rsidRPr="00D44541" w:rsidRDefault="007D026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7D026A" w:rsidRPr="007D026A" w:rsidRDefault="007D026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7D026A" w:rsidRDefault="003F056A" w:rsidP="00154629">
            <w:pPr>
              <w:spacing w:line="229" w:lineRule="exact"/>
              <w:ind w:left="102"/>
              <w:rPr>
                <w:sz w:val="20"/>
                <w:szCs w:val="20"/>
              </w:rPr>
            </w:pPr>
            <w:proofErr w:type="gramStart"/>
            <w:r>
              <w:rPr>
                <w:sz w:val="20"/>
                <w:szCs w:val="20"/>
              </w:rPr>
              <w:t>…</w:t>
            </w:r>
            <w:proofErr w:type="spellStart"/>
            <w:r w:rsidR="006D3F42">
              <w:rPr>
                <w:sz w:val="20"/>
                <w:szCs w:val="20"/>
              </w:rPr>
              <w:t>careContact</w:t>
            </w:r>
            <w:r w:rsidR="007D026A"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7D026A" w:rsidRPr="007D026A" w:rsidRDefault="007D026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7D026A"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r w:rsidRPr="00BC5B0B">
        <w:rPr>
          <w:color w:val="FF0000"/>
        </w:rPr>
        <w:lastRenderedPageBreak/>
        <w:t>Regler</w:t>
      </w:r>
      <w:bookmarkEnd w:id="87"/>
      <w:bookmarkEnd w:id="88"/>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89" w:name="_Toc341787036"/>
      <w:bookmarkStart w:id="90" w:name="_Toc221190580"/>
      <w:r w:rsidRPr="00BC5B0B">
        <w:rPr>
          <w:color w:val="FF0000"/>
        </w:rPr>
        <w:t>Tjänsteinteraktion</w:t>
      </w:r>
      <w:bookmarkEnd w:id="89"/>
      <w:bookmarkEnd w:id="90"/>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224224" w:rsidRDefault="00224224">
      <w:r>
        <w:separator/>
      </w:r>
    </w:p>
  </w:endnote>
  <w:endnote w:type="continuationSeparator" w:id="0">
    <w:p w14:paraId="2B47405B" w14:textId="77777777" w:rsidR="00224224" w:rsidRDefault="002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224224" w:rsidRDefault="00224224">
      <w:r>
        <w:separator/>
      </w:r>
    </w:p>
  </w:footnote>
  <w:footnote w:type="continuationSeparator" w:id="0">
    <w:p w14:paraId="7508A099" w14:textId="77777777" w:rsidR="00224224" w:rsidRDefault="00224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154629" w:rsidRDefault="00154629"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7716C">
            <w:rPr>
              <w:noProof/>
            </w:rPr>
            <w:t>1</w:t>
          </w:r>
          <w:r>
            <w:fldChar w:fldCharType="end"/>
          </w:r>
          <w:r>
            <w:t xml:space="preserve"> (</w:t>
          </w:r>
          <w:r>
            <w:fldChar w:fldCharType="begin"/>
          </w:r>
          <w:r>
            <w:instrText xml:space="preserve"> NUMPAGES </w:instrText>
          </w:r>
          <w:r>
            <w:fldChar w:fldCharType="separate"/>
          </w:r>
          <w:r w:rsidR="0027716C">
            <w:rPr>
              <w:noProof/>
            </w:rPr>
            <w:t>36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26C15">
            <w:rPr>
              <w:rFonts w:ascii="Arial" w:hAnsi="Arial" w:cs="Arial"/>
              <w:noProof/>
            </w:rPr>
            <w:t>2013-02-11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7716C">
            <w:rPr>
              <w:noProof/>
            </w:rPr>
            <w:t>32</w:t>
          </w:r>
          <w:r>
            <w:fldChar w:fldCharType="end"/>
          </w:r>
          <w:r>
            <w:t xml:space="preserve"> (</w:t>
          </w:r>
          <w:r>
            <w:fldChar w:fldCharType="begin"/>
          </w:r>
          <w:r>
            <w:instrText xml:space="preserve"> NUMPAGES </w:instrText>
          </w:r>
          <w:r>
            <w:fldChar w:fldCharType="separate"/>
          </w:r>
          <w:r w:rsidR="0027716C">
            <w:rPr>
              <w:noProof/>
            </w:rPr>
            <w:t>36</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26C15">
            <w:rPr>
              <w:rFonts w:ascii="Arial" w:hAnsi="Arial" w:cs="Arial"/>
              <w:noProof/>
            </w:rPr>
            <w:t>2013-02-11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20A25"/>
    <w:rsid w:val="00020C80"/>
    <w:rsid w:val="00026979"/>
    <w:rsid w:val="00027407"/>
    <w:rsid w:val="000332F4"/>
    <w:rsid w:val="00036529"/>
    <w:rsid w:val="00041CC6"/>
    <w:rsid w:val="00046C5C"/>
    <w:rsid w:val="00051057"/>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F42"/>
    <w:rsid w:val="006D6198"/>
    <w:rsid w:val="006E0ABB"/>
    <w:rsid w:val="006E281D"/>
    <w:rsid w:val="006E41ED"/>
    <w:rsid w:val="0070493F"/>
    <w:rsid w:val="00704B79"/>
    <w:rsid w:val="00716AD9"/>
    <w:rsid w:val="00724267"/>
    <w:rsid w:val="00735A85"/>
    <w:rsid w:val="00740EAA"/>
    <w:rsid w:val="0074173D"/>
    <w:rsid w:val="00743F5C"/>
    <w:rsid w:val="00745425"/>
    <w:rsid w:val="00756F28"/>
    <w:rsid w:val="00761DF6"/>
    <w:rsid w:val="00763101"/>
    <w:rsid w:val="00764A41"/>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3975</TotalTime>
  <Pages>36</Pages>
  <Words>7447</Words>
  <Characters>39473</Characters>
  <Application>Microsoft Office Word</Application>
  <DocSecurity>0</DocSecurity>
  <Lines>328</Lines>
  <Paragraphs>93</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445</cp:revision>
  <cp:lastPrinted>2013-02-07T13:14:00Z</cp:lastPrinted>
  <dcterms:created xsi:type="dcterms:W3CDTF">2012-12-03T08:38:00Z</dcterms:created>
  <dcterms:modified xsi:type="dcterms:W3CDTF">2013-02-11T12:03:00Z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