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13" w:type="dxa"/>
        <w:tblInd w:w="1951" w:type="dxa"/>
        <w:tblBorders>
          <w:left w:val="single" w:sz="18" w:space="0" w:color="00A9A7"/>
        </w:tblBorders>
        <w:tblLook w:val="0400" w:firstRow="0" w:lastRow="0" w:firstColumn="0" w:lastColumn="0" w:noHBand="0" w:noVBand="1"/>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rdtext"/>
            </w:pPr>
          </w:p>
        </w:tc>
        <w:tc>
          <w:tcPr>
            <w:tcW w:w="7229" w:type="dxa"/>
            <w:shd w:val="clear" w:color="auto" w:fill="auto"/>
          </w:tcPr>
          <w:p w:rsidR="00AC5707" w:rsidRPr="00AC5707" w:rsidRDefault="00DF6B75" w:rsidP="00AC5707">
            <w:pPr>
              <w:pStyle w:val="Rubrik"/>
              <w:rPr>
                <w:color w:val="008000"/>
              </w:rPr>
            </w:pPr>
            <w:r>
              <w:rPr>
                <w:color w:val="008000"/>
              </w:rPr>
              <w:t>infrastructure:directory:</w:t>
            </w:r>
            <w:r>
              <w:rPr>
                <w:color w:val="008000"/>
              </w:rPr>
              <w:br/>
            </w:r>
            <w:r w:rsidR="00DC75BA">
              <w:rPr>
                <w:color w:val="008000"/>
              </w:rPr>
              <w:t>employee</w:t>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103CAA">
              <w:rPr>
                <w:color w:val="008000"/>
                <w:sz w:val="32"/>
              </w:rPr>
              <w:t>1.0</w:t>
            </w:r>
            <w:r w:rsidR="003B3EAC">
              <w:rPr>
                <w:color w:val="008000"/>
                <w:sz w:val="32"/>
              </w:rPr>
              <w:t>_RC4</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w:t>
            </w:r>
            <w:r w:rsidR="003B3EAC">
              <w:rPr>
                <w:color w:val="008000"/>
                <w:sz w:val="28"/>
              </w:rPr>
              <w:t>09-05</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DC75BA">
        <w:trPr>
          <w:cantSplit/>
        </w:trPr>
        <w:tc>
          <w:tcPr>
            <w:tcW w:w="284" w:type="dxa"/>
            <w:shd w:val="clear" w:color="auto" w:fill="auto"/>
          </w:tcPr>
          <w:p w:rsidR="003E78D2" w:rsidRPr="004A7C1C" w:rsidRDefault="003E78D2" w:rsidP="00C15048">
            <w:pPr>
              <w:pStyle w:val="Brdtext"/>
            </w:pPr>
          </w:p>
        </w:tc>
        <w:tc>
          <w:tcPr>
            <w:tcW w:w="7229"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F6B75"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sidR="00DF6B75">
            <w:rPr>
              <w:noProof/>
            </w:rPr>
            <w:fldChar w:fldCharType="begin"/>
          </w:r>
          <w:r w:rsidR="00DF6B75">
            <w:rPr>
              <w:noProof/>
            </w:rPr>
            <w:instrText xml:space="preserve"> PAGEREF _Toc393786313 \h </w:instrText>
          </w:r>
          <w:r w:rsidR="00DF6B75">
            <w:rPr>
              <w:noProof/>
            </w:rPr>
          </w:r>
          <w:r w:rsidR="00DF6B75">
            <w:rPr>
              <w:noProof/>
            </w:rPr>
            <w:fldChar w:fldCharType="separate"/>
          </w:r>
          <w:r w:rsidR="00DF6B75">
            <w:rPr>
              <w:noProof/>
            </w:rPr>
            <w:t>4</w:t>
          </w:r>
          <w:r w:rsidR="00DF6B75">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_Toc393786314 \h </w:instrText>
          </w:r>
          <w:r>
            <w:rPr>
              <w:noProof/>
            </w:rPr>
          </w:r>
          <w:r>
            <w:rPr>
              <w:noProof/>
            </w:rPr>
            <w:fldChar w:fldCharType="separate"/>
          </w:r>
          <w:r>
            <w:rPr>
              <w:noProof/>
            </w:rPr>
            <w:t>4</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_Toc393786315 \h </w:instrText>
          </w:r>
          <w:r>
            <w:rPr>
              <w:noProof/>
            </w:rPr>
          </w:r>
          <w:r>
            <w:rPr>
              <w:noProof/>
            </w:rPr>
            <w:fldChar w:fldCharType="separate"/>
          </w:r>
          <w:r>
            <w:rPr>
              <w:noProof/>
            </w:rPr>
            <w:t>4</w:t>
          </w:r>
          <w:r>
            <w:rPr>
              <w:noProof/>
            </w:rPr>
            <w:fldChar w:fldCharType="end"/>
          </w:r>
        </w:p>
        <w:p w:rsidR="00DF6B75" w:rsidRDefault="00DF6B7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_Toc393786316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_Toc393786317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_Toc393786318 \h </w:instrText>
          </w:r>
          <w:r>
            <w:rPr>
              <w:noProof/>
            </w:rPr>
          </w:r>
          <w:r>
            <w:rPr>
              <w:noProof/>
            </w:rPr>
            <w:fldChar w:fldCharType="separate"/>
          </w:r>
          <w:r>
            <w:rPr>
              <w:noProof/>
            </w:rPr>
            <w:t>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_Toc393786319 \h </w:instrText>
          </w:r>
          <w:r>
            <w:rPr>
              <w:noProof/>
            </w:rPr>
          </w:r>
          <w:r>
            <w:rPr>
              <w:noProof/>
            </w:rPr>
            <w:fldChar w:fldCharType="separate"/>
          </w:r>
          <w:r>
            <w:rPr>
              <w:noProof/>
            </w:rPr>
            <w:t>7</w:t>
          </w:r>
          <w:r>
            <w:rPr>
              <w:noProof/>
            </w:rPr>
            <w:fldChar w:fldCharType="end"/>
          </w:r>
        </w:p>
        <w:p w:rsidR="00DF6B75" w:rsidRDefault="00DF6B75">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_Toc393786320 \h </w:instrText>
          </w:r>
          <w:r>
            <w:rPr>
              <w:noProof/>
            </w:rPr>
          </w:r>
          <w:r>
            <w:rPr>
              <w:noProof/>
            </w:rPr>
            <w:fldChar w:fldCharType="separate"/>
          </w:r>
          <w:r>
            <w:rPr>
              <w:noProof/>
            </w:rPr>
            <w:t>9</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_Toc393786321 \h </w:instrText>
          </w:r>
          <w:r>
            <w:rPr>
              <w:noProof/>
            </w:rPr>
          </w:r>
          <w:r>
            <w:rPr>
              <w:noProof/>
            </w:rPr>
            <w:fldChar w:fldCharType="separate"/>
          </w:r>
          <w:r>
            <w:rPr>
              <w:noProof/>
            </w:rPr>
            <w:t>13</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_Toc393786322 \h </w:instrText>
          </w:r>
          <w:r>
            <w:rPr>
              <w:noProof/>
            </w:rPr>
          </w:r>
          <w:r>
            <w:rPr>
              <w:noProof/>
            </w:rPr>
            <w:fldChar w:fldCharType="separate"/>
          </w:r>
          <w:r>
            <w:rPr>
              <w:noProof/>
            </w:rPr>
            <w:t>15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_Toc393786323 \h </w:instrText>
          </w:r>
          <w:r>
            <w:rPr>
              <w:noProof/>
            </w:rPr>
          </w:r>
          <w:r>
            <w:rPr>
              <w:noProof/>
            </w:rPr>
            <w:fldChar w:fldCharType="separate"/>
          </w:r>
          <w:r>
            <w:rPr>
              <w:noProof/>
            </w:rPr>
            <w:t>16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Pr>
              <w:noProof/>
            </w:rPr>
            <w:fldChar w:fldCharType="begin"/>
          </w:r>
          <w:r>
            <w:rPr>
              <w:noProof/>
            </w:rPr>
            <w:instrText xml:space="preserve"> PAGEREF _Toc393786324 \h </w:instrText>
          </w:r>
          <w:r>
            <w:rPr>
              <w:noProof/>
            </w:rPr>
          </w:r>
          <w:r>
            <w:rPr>
              <w:noProof/>
            </w:rPr>
            <w:fldChar w:fldCharType="separate"/>
          </w:r>
          <w:r>
            <w:rPr>
              <w:noProof/>
            </w:rPr>
            <w:t>18</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103CAA">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103CAA">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kopierad från tidigare arkitekturella beslut för infrastructure:directory:organization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103CAA">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Sammanslagning av tidigare tre AB:n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Borttagande av avsnitt som ej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r w:rsidRPr="002374C2">
              <w:rPr>
                <w:lang w:val="sv-SE"/>
              </w:rPr>
              <w:t xml:space="preserve">Borttag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Uppdatering efter avstämning med Ineras IT-arkitekt (Björn Skeppner)</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B3175F">
              <w:rPr>
                <w:lang w:val="sv-SE"/>
              </w:rPr>
              <w:t>, Inera AB</w:t>
            </w:r>
          </w:p>
        </w:tc>
      </w:tr>
      <w:tr w:rsidR="00DF6B75" w:rsidTr="00103CAA">
        <w:tc>
          <w:tcPr>
            <w:tcW w:w="1481" w:type="dxa"/>
          </w:tcPr>
          <w:p w:rsidR="00DF6B75" w:rsidRDefault="00103CAA" w:rsidP="003F492E">
            <w:pPr>
              <w:pStyle w:val="TableText"/>
              <w:ind w:right="0"/>
              <w:jc w:val="center"/>
              <w:rPr>
                <w:lang w:val="sv-SE"/>
              </w:rPr>
            </w:pPr>
            <w:r w:rsidRPr="00103CAA">
              <w:rPr>
                <w:lang w:val="sv-SE"/>
              </w:rPr>
              <w:lastRenderedPageBreak/>
              <w:t>1.0.0.RC_03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B3175F">
              <w:rPr>
                <w:lang w:val="sv-SE"/>
              </w:rPr>
              <w:t>, Inera AB</w:t>
            </w:r>
          </w:p>
        </w:tc>
      </w:tr>
      <w:tr w:rsidR="003B3EAC" w:rsidTr="00103CAA">
        <w:tc>
          <w:tcPr>
            <w:tcW w:w="1481" w:type="dxa"/>
          </w:tcPr>
          <w:p w:rsidR="003B3EAC" w:rsidRPr="00103CAA" w:rsidRDefault="003B3EAC" w:rsidP="003F492E">
            <w:pPr>
              <w:pStyle w:val="TableText"/>
              <w:ind w:right="0"/>
              <w:jc w:val="center"/>
              <w:rPr>
                <w:lang w:val="sv-SE"/>
              </w:rPr>
            </w:pPr>
            <w:bookmarkStart w:id="1" w:name="_GoBack" w:colFirst="0" w:colLast="3"/>
            <w:r>
              <w:rPr>
                <w:lang w:val="sv-SE"/>
              </w:rPr>
              <w:t>1.0_RC4</w:t>
            </w:r>
          </w:p>
        </w:tc>
        <w:tc>
          <w:tcPr>
            <w:tcW w:w="1462" w:type="dxa"/>
          </w:tcPr>
          <w:p w:rsidR="003B3EAC" w:rsidRDefault="003B3EAC" w:rsidP="003F492E">
            <w:pPr>
              <w:pStyle w:val="TableText"/>
              <w:ind w:right="0"/>
              <w:rPr>
                <w:lang w:val="sv-SE"/>
              </w:rPr>
            </w:pPr>
            <w:r>
              <w:rPr>
                <w:lang w:val="sv-SE"/>
              </w:rPr>
              <w:t>2014-09-05</w:t>
            </w:r>
          </w:p>
        </w:tc>
        <w:tc>
          <w:tcPr>
            <w:tcW w:w="4253" w:type="dxa"/>
          </w:tcPr>
          <w:p w:rsidR="003B3EAC" w:rsidRDefault="003B3EAC" w:rsidP="003B3EAC">
            <w:pPr>
              <w:pStyle w:val="TableText"/>
              <w:numPr>
                <w:ilvl w:val="0"/>
                <w:numId w:val="34"/>
              </w:numPr>
              <w:ind w:right="0"/>
              <w:rPr>
                <w:lang w:val="sv-SE"/>
              </w:rPr>
            </w:pPr>
            <w:r w:rsidRPr="00395F1D">
              <w:rPr>
                <w:lang w:val="sv-SE"/>
              </w:rPr>
              <w:t>Återgått till gammal benämning av versioner enligt besked från Leo Röjerås</w:t>
            </w:r>
          </w:p>
          <w:p w:rsidR="003B3EAC" w:rsidRDefault="003B3EAC" w:rsidP="003B3EAC">
            <w:pPr>
              <w:pStyle w:val="TableText"/>
              <w:numPr>
                <w:ilvl w:val="0"/>
                <w:numId w:val="34"/>
              </w:numPr>
              <w:ind w:right="0"/>
              <w:rPr>
                <w:lang w:val="sv-SE"/>
              </w:rPr>
            </w:pPr>
            <w:r>
              <w:rPr>
                <w:lang w:val="sv-SE"/>
              </w:rPr>
              <w:t>Uppdaterat datum för senaste version av TKB</w:t>
            </w:r>
          </w:p>
        </w:tc>
        <w:tc>
          <w:tcPr>
            <w:tcW w:w="1524" w:type="dxa"/>
          </w:tcPr>
          <w:p w:rsidR="003B3EAC" w:rsidRDefault="003B3EAC" w:rsidP="003F492E">
            <w:pPr>
              <w:pStyle w:val="TableText"/>
              <w:ind w:right="0"/>
              <w:rPr>
                <w:lang w:val="sv-SE"/>
              </w:rPr>
            </w:pPr>
            <w:r>
              <w:rPr>
                <w:lang w:val="sv-SE"/>
              </w:rPr>
              <w:t>Henrika Littorin, Inera AB</w:t>
            </w:r>
          </w:p>
        </w:tc>
      </w:tr>
      <w:bookmarkEnd w:id="1"/>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46757D"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Tjänstekontraktsbeskrivning infrastructure:directory:</w:t>
            </w:r>
            <w:r>
              <w:rPr>
                <w:lang w:val="sv-SE"/>
              </w:rPr>
              <w:t>organization</w:t>
            </w:r>
          </w:p>
        </w:tc>
        <w:tc>
          <w:tcPr>
            <w:tcW w:w="1559" w:type="dxa"/>
          </w:tcPr>
          <w:p w:rsidR="00DF6B75" w:rsidRPr="00E60071" w:rsidRDefault="00DF6B75" w:rsidP="003B3EAC">
            <w:pPr>
              <w:pStyle w:val="TableText"/>
              <w:ind w:right="0"/>
              <w:rPr>
                <w:lang w:val="sv-SE"/>
              </w:rPr>
            </w:pPr>
            <w:r>
              <w:rPr>
                <w:lang w:val="sv-SE"/>
              </w:rPr>
              <w:t>Version 1.0, 2014</w:t>
            </w:r>
            <w:r w:rsidRPr="00E60071">
              <w:rPr>
                <w:lang w:val="sv-SE"/>
              </w:rPr>
              <w:t>-</w:t>
            </w:r>
            <w:r w:rsidR="003B3EAC">
              <w:rPr>
                <w:lang w:val="sv-SE"/>
              </w:rPr>
              <w:t>09-05</w:t>
            </w:r>
          </w:p>
        </w:tc>
        <w:tc>
          <w:tcPr>
            <w:tcW w:w="3509" w:type="dxa"/>
          </w:tcPr>
          <w:p w:rsidR="00DF6B75" w:rsidRPr="00E60071" w:rsidRDefault="0046757D"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Pr>
                <w:lang w:val="sv-SE"/>
              </w:rPr>
              <w:t>employee</w:t>
            </w:r>
          </w:p>
        </w:tc>
        <w:tc>
          <w:tcPr>
            <w:tcW w:w="1559" w:type="dxa"/>
          </w:tcPr>
          <w:p w:rsidR="00DF6B75" w:rsidRPr="00E60071" w:rsidRDefault="00DF6B75" w:rsidP="003B3EAC">
            <w:pPr>
              <w:pStyle w:val="TableText"/>
              <w:ind w:right="0"/>
              <w:rPr>
                <w:lang w:val="sv-SE"/>
              </w:rPr>
            </w:pPr>
            <w:r>
              <w:rPr>
                <w:lang w:val="sv-SE"/>
              </w:rPr>
              <w:t>Version 1.0, 2014</w:t>
            </w:r>
            <w:r w:rsidRPr="00E60071">
              <w:rPr>
                <w:lang w:val="sv-SE"/>
              </w:rPr>
              <w:t>-</w:t>
            </w:r>
            <w:r w:rsidR="003B3EAC">
              <w:rPr>
                <w:lang w:val="sv-SE"/>
              </w:rPr>
              <w:t>09-05</w:t>
            </w:r>
          </w:p>
        </w:tc>
        <w:tc>
          <w:tcPr>
            <w:tcW w:w="3509" w:type="dxa"/>
          </w:tcPr>
          <w:p w:rsidR="00DF6B75" w:rsidRPr="00D94B1B" w:rsidRDefault="0046757D"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Tjänstekontraktsbeskrivning infrastructure:directory:</w:t>
            </w:r>
            <w:r w:rsidR="00E5307E">
              <w:rPr>
                <w:lang w:val="sv-SE"/>
              </w:rPr>
              <w:t>authorizationmanagement</w:t>
            </w:r>
          </w:p>
        </w:tc>
        <w:tc>
          <w:tcPr>
            <w:tcW w:w="1559" w:type="dxa"/>
          </w:tcPr>
          <w:p w:rsidR="00DF6B75" w:rsidRPr="00E60071" w:rsidRDefault="00DF6B75" w:rsidP="003B3EAC">
            <w:pPr>
              <w:pStyle w:val="TableText"/>
              <w:ind w:right="0"/>
              <w:rPr>
                <w:lang w:val="sv-SE"/>
              </w:rPr>
            </w:pPr>
            <w:r>
              <w:rPr>
                <w:lang w:val="sv-SE"/>
              </w:rPr>
              <w:t>Version 1.0, 2014</w:t>
            </w:r>
            <w:r w:rsidRPr="00E60071">
              <w:rPr>
                <w:lang w:val="sv-SE"/>
              </w:rPr>
              <w:t>-</w:t>
            </w:r>
            <w:r w:rsidR="003B3EAC">
              <w:rPr>
                <w:lang w:val="sv-SE"/>
              </w:rPr>
              <w:t>09-05</w:t>
            </w:r>
          </w:p>
        </w:tc>
        <w:tc>
          <w:tcPr>
            <w:tcW w:w="3509" w:type="dxa"/>
          </w:tcPr>
          <w:p w:rsidR="00DF6B75" w:rsidRPr="00D94B1B" w:rsidRDefault="0046757D" w:rsidP="003F492E">
            <w:pPr>
              <w:pStyle w:val="TableText"/>
              <w:ind w:right="0"/>
              <w:rPr>
                <w:lang w:val="sv-SE"/>
              </w:rPr>
            </w:pPr>
            <w:hyperlink r:id="rId12" w:history="1">
              <w:r w:rsidR="00DF6B75" w:rsidRPr="000A5B54">
                <w:rPr>
                  <w:rStyle w:val="Hyperlnk"/>
                </w:rPr>
                <w:t>http://rivta.se/domains/infrastructure_directory_</w:t>
              </w:r>
              <w:r w:rsidR="00E5307E">
                <w:rPr>
                  <w:rStyle w:val="Hyperlnk"/>
                </w:rPr>
                <w:t>authorizationmanagement</w:t>
              </w:r>
              <w:r w:rsidR="00DF6B75" w:rsidRPr="000A5B54">
                <w:rPr>
                  <w:rStyle w:val="Hyperl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46757D"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46757D"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r w:rsidRPr="00E60071">
              <w:t>Sambi</w:t>
            </w:r>
          </w:p>
        </w:tc>
        <w:tc>
          <w:tcPr>
            <w:tcW w:w="3465" w:type="dxa"/>
          </w:tcPr>
          <w:p w:rsidR="00DF6B75" w:rsidRPr="00E60071" w:rsidRDefault="0046757D"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r w:rsidRPr="00E60071">
              <w:t>HSA / Katalogtjänst HSA</w:t>
            </w:r>
          </w:p>
        </w:tc>
        <w:tc>
          <w:tcPr>
            <w:tcW w:w="3465" w:type="dxa"/>
          </w:tcPr>
          <w:p w:rsidR="00DF6B75" w:rsidRPr="00E60071" w:rsidRDefault="0046757D"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46757D"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Rubrik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Informationsutbytet placerades inom domänen infrastructure:directory:organisation (sedermera organization).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Det pågår också många initiativ runt just sortiment och utbud, t.ex. i det nationella e-remissprojektet, i SLL:s projekt för utbudskatalog och i SLL:s projekt för nationellt utförarregister. Därtill finns också redan t.ex. SLL:s Kontaktkortsadmin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infrastructure_directory_organization, _employee och _</w:t>
            </w:r>
            <w:r w:rsidR="00E5307E">
              <w:rPr>
                <w:rFonts w:ascii="Arial" w:hAnsi="Arial" w:cs="Arial"/>
                <w:szCs w:val="20"/>
              </w:rPr>
              <w:t>authorizationmanagement</w:t>
            </w:r>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på nationell nivå främst via HSA WebService, men även lokala WebService</w:t>
            </w:r>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Utgå från befintliga WebService-metoder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 utvalda befintliga WebService-metoder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På detta sätt kan vi på relativt kort tid, med jämförelsevis små utvecklingsinsatser, få tjänstedomänen etablerad med den första tjänsteproducenten på plats. Nuvarande WebService-metoden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WebService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engagemangsindex innebär i jämförelse med en läskopia att uppdateringar av index behöver göras endast vid tillägg och borttag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För närvarande är aggregering eller engagemangsindex ej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se  </w:t>
      </w:r>
      <w:r>
        <w:fldChar w:fldCharType="begin"/>
      </w:r>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Bild 2 – Hantering av anrop vid fler anslutna tjänsteproducenter m.h.a. index</w:t>
      </w:r>
      <w:r w:rsidRPr="00364822">
        <w:rPr>
          <w:b/>
          <w:i/>
          <w:color w:val="FF0000"/>
        </w:rPr>
        <w:t xml:space="preserve"> – OBS! Ej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Bild 3 – Hantering av anrop vid fler anslutna tjänsteproducenter m.h.a. läskopia</w:t>
      </w:r>
      <w:r w:rsidRPr="00364822">
        <w:rPr>
          <w:b/>
          <w:i/>
          <w:color w:val="FF0000"/>
        </w:rPr>
        <w:t xml:space="preserve"> – OBS! Ej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Färre antal uppdateringar behöver göras från lokala kataloger (endast vid tillägg och borttag,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Sambi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Sambi </w:t>
            </w:r>
            <w:r w:rsidRPr="00E60071">
              <w:rPr>
                <w:lang w:val="sv-SE"/>
              </w:rPr>
              <w:t xml:space="preserve">som kan hantera denna typ av komplexa frågeställningar, särskilt inte med avseende på konsekvenser för tjänsteproducenter och tjänstekonsumenter. </w:t>
            </w:r>
            <w:r>
              <w:rPr>
                <w:lang w:val="sv-SE"/>
              </w:rPr>
              <w:t>Tvärtom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1" w:name="_Toc382410814"/>
      <w:r>
        <w:br w:type="page"/>
      </w:r>
    </w:p>
    <w:p w:rsidR="00DF6B75" w:rsidRPr="00E60071" w:rsidRDefault="00DF6B75" w:rsidP="00DF6B75">
      <w:pPr>
        <w:pStyle w:val="Rubrik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3" w:name="_Toc382410815"/>
      <w:r>
        <w:br w:type="page"/>
      </w:r>
    </w:p>
    <w:p w:rsidR="00DF6B75" w:rsidRPr="00E60071" w:rsidRDefault="00DF6B75" w:rsidP="00DF6B75">
      <w:pPr>
        <w:pStyle w:val="Rubrik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Sambi</w:t>
            </w:r>
          </w:p>
          <w:p w:rsidR="00DF6B75" w:rsidRDefault="00DF6B75" w:rsidP="003F492E">
            <w:pPr>
              <w:pStyle w:val="TableText"/>
              <w:ind w:left="0"/>
              <w:rPr>
                <w:lang w:val="sv-SE"/>
              </w:rPr>
            </w:pPr>
            <w:r w:rsidRPr="00E60071">
              <w:rPr>
                <w:sz w:val="20"/>
                <w:lang w:val="sv-SE"/>
              </w:rPr>
              <w:br/>
            </w:r>
            <w:r w:rsidRPr="00E60071">
              <w:rPr>
                <w:lang w:val="sv-SE"/>
              </w:rPr>
              <w:t xml:space="preserve">Sambi är ett federationsprojekt som bedrivs av Apotekens Service AB, CeHis och .SE.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nyttja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Under våren har Sambi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Schema och värdemängder har förvaltats kontinuerligt och innehåller nu väl beprövade definitioner på både innehållsmässig och teknisk basis. HSA-informationen utbyts idag mellan tjänsteproducenter och tjänstekonsumenter via ett WebService-gränssnitt,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hsa i inledningen av LDAP-namnet, men i vissa fall har attributen döpts om till ett mer neutralt namn. Endast de attribut som berör tjänstekontrakten i domänen ges </w:t>
            </w:r>
            <w:r>
              <w:rPr>
                <w:lang w:val="sv-SE"/>
              </w:rPr>
              <w:t xml:space="preserve">nya </w:t>
            </w:r>
            <w:r w:rsidRPr="00E60071">
              <w:rPr>
                <w:lang w:val="sv-SE"/>
              </w:rPr>
              <w:t>namn och listas i tjänstekontraktsbeskrivningen. Samma attributnamn har föreslagits även för Sambi.</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Rubrik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En patients rätt att få veta vem som utfört vård eller tittat i den egna journalen är lagreglerat.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En tjänsteproducent som verkar inom ramen för tjänstedomänen infrastructure:directory:</w:t>
            </w:r>
            <w:r>
              <w:rPr>
                <w:rFonts w:ascii="Arial" w:hAnsi="Arial"/>
                <w:szCs w:val="20"/>
                <w:lang w:eastAsia="ar-SA"/>
              </w:rPr>
              <w:t xml:space="preserve">employee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1"/>
      <w:headerReference w:type="default" r:id="rId22"/>
      <w:footerReference w:type="default" r:id="rId23"/>
      <w:headerReference w:type="first" r:id="rId24"/>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57D" w:rsidRDefault="0046757D" w:rsidP="00C15048">
      <w:r>
        <w:separator/>
      </w:r>
    </w:p>
    <w:p w:rsidR="0046757D" w:rsidRDefault="0046757D" w:rsidP="00C15048"/>
    <w:p w:rsidR="0046757D" w:rsidRDefault="0046757D" w:rsidP="00C15048"/>
  </w:endnote>
  <w:endnote w:type="continuationSeparator" w:id="0">
    <w:p w:rsidR="0046757D" w:rsidRDefault="0046757D" w:rsidP="00C15048">
      <w:r>
        <w:continuationSeparator/>
      </w:r>
    </w:p>
    <w:p w:rsidR="0046757D" w:rsidRDefault="0046757D" w:rsidP="00C15048"/>
    <w:p w:rsidR="0046757D" w:rsidRDefault="0046757D"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3636EF">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3636EF">
            <w:rPr>
              <w:rStyle w:val="Sidnummer"/>
              <w:noProof/>
            </w:rPr>
            <w:t>19</w:t>
          </w:r>
          <w:r w:rsidRPr="004A7C1C">
            <w:rPr>
              <w:rStyle w:val="Sidnumm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57D" w:rsidRDefault="0046757D" w:rsidP="00C15048">
      <w:r>
        <w:separator/>
      </w:r>
    </w:p>
    <w:p w:rsidR="0046757D" w:rsidRDefault="0046757D" w:rsidP="00C15048"/>
    <w:p w:rsidR="0046757D" w:rsidRDefault="0046757D" w:rsidP="00C15048"/>
  </w:footnote>
  <w:footnote w:type="continuationSeparator" w:id="0">
    <w:p w:rsidR="0046757D" w:rsidRDefault="0046757D" w:rsidP="00C15048">
      <w:r>
        <w:continuationSeparator/>
      </w:r>
    </w:p>
    <w:p w:rsidR="0046757D" w:rsidRDefault="0046757D" w:rsidP="00C15048"/>
    <w:p w:rsidR="0046757D" w:rsidRDefault="0046757D"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46757D" w:rsidP="00DC75BA">
          <w:pPr>
            <w:pStyle w:val="Sidfot"/>
          </w:pPr>
          <w:r>
            <w:fldChar w:fldCharType="begin"/>
          </w:r>
          <w:r>
            <w:instrText xml:space="preserve"> FILENAME   \* MERGEFORMAT </w:instrText>
          </w:r>
          <w:r>
            <w:fldChar w:fldCharType="separate"/>
          </w:r>
          <w:r w:rsidR="00DC75BA">
            <w:rPr>
              <w:noProof/>
            </w:rPr>
            <w:t>Arkitekturella_beslut_infrastructure_directory_employee</w:t>
          </w:r>
          <w:r>
            <w:rPr>
              <w:noProof/>
            </w:rPr>
            <w:fldChar w:fldCharType="end"/>
          </w:r>
          <w:r w:rsidR="00D31AA7">
            <w:rPr>
              <w:noProof/>
            </w:rPr>
            <w:t xml:space="preserve"> </w:t>
          </w:r>
          <w:r w:rsidR="00D31AA7">
            <w:rPr>
              <w:noProof/>
            </w:rPr>
            <w:br/>
          </w:r>
          <w:r w:rsidR="00DC75BA">
            <w:t xml:space="preserve">Version </w:t>
          </w:r>
          <w:r w:rsidR="00103CAA" w:rsidRPr="00103CAA">
            <w:t>1.0.0.RC_03</w:t>
          </w:r>
          <w:r w:rsidR="00D31AA7">
            <w:br/>
          </w:r>
        </w:p>
      </w:tc>
      <w:tc>
        <w:tcPr>
          <w:tcW w:w="3118" w:type="dxa"/>
          <w:tcBorders>
            <w:top w:val="nil"/>
            <w:bottom w:val="nil"/>
          </w:tcBorders>
        </w:tcPr>
        <w:p w:rsidR="00D31AA7" w:rsidRPr="00E6091D" w:rsidRDefault="00DC75BA" w:rsidP="00E6091D">
          <w:pPr>
            <w:pStyle w:val="Sidfot"/>
          </w:pPr>
          <w:r>
            <w:t>Henrika Littorin</w:t>
          </w:r>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C75BA" w:rsidP="00DC75BA">
          <w:pPr>
            <w:pStyle w:val="Sidfot"/>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68FBF147" wp14:editId="24641D71">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Pr="00103CAA" w:rsidRDefault="00D31AA7" w:rsidP="00C15048">
    <w:pPr>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18CE7DE" wp14:editId="65A7E1D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5.1pt;height:15.3pt" o:bullet="t">
        <v:imagedata r:id="rId1" o:title="Pil-v2-Word"/>
      </v:shape>
    </w:pict>
  </w:numPicBullet>
  <w:numPicBullet w:numPicBulletId="1">
    <w:pict>
      <v:shape id="_x0000_i1057" type="#_x0000_t75" style="width:5.1pt;height:12.1pt" o:bullet="t">
        <v:imagedata r:id="rId2" o:title="Pil-v2-Word"/>
      </v:shape>
    </w:pict>
  </w:numPicBullet>
  <w:numPicBullet w:numPicBulletId="2">
    <w:pict>
      <v:shape id="_x0000_i1058" type="#_x0000_t75" style="width:5.1pt;height:10.2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3CAA"/>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36EF"/>
    <w:rsid w:val="003657D7"/>
    <w:rsid w:val="003815C5"/>
    <w:rsid w:val="00385CD7"/>
    <w:rsid w:val="00390E50"/>
    <w:rsid w:val="003B3EAC"/>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6757D"/>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4F487B"/>
    <w:rsid w:val="00504E9E"/>
    <w:rsid w:val="0050730B"/>
    <w:rsid w:val="005073A3"/>
    <w:rsid w:val="00524F0D"/>
    <w:rsid w:val="005314F5"/>
    <w:rsid w:val="005320FC"/>
    <w:rsid w:val="00535525"/>
    <w:rsid w:val="0054331B"/>
    <w:rsid w:val="00557235"/>
    <w:rsid w:val="005636F2"/>
    <w:rsid w:val="00567047"/>
    <w:rsid w:val="00570215"/>
    <w:rsid w:val="00577594"/>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3175F"/>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307E"/>
    <w:rsid w:val="00E5401A"/>
    <w:rsid w:val="00E557D1"/>
    <w:rsid w:val="00E6091D"/>
    <w:rsid w:val="00E609E9"/>
    <w:rsid w:val="00E61829"/>
    <w:rsid w:val="00E7335D"/>
    <w:rsid w:val="00E75F85"/>
    <w:rsid w:val="00E944AA"/>
    <w:rsid w:val="00EA375D"/>
    <w:rsid w:val="00EA66E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9ED00-ADB8-4FB1-997C-30600700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0</TotalTime>
  <Pages>19</Pages>
  <Words>4624</Words>
  <Characters>24508</Characters>
  <Application>Microsoft Office Word</Application>
  <DocSecurity>0</DocSecurity>
  <Lines>204</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29074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2</cp:revision>
  <cp:lastPrinted>2012-03-29T16:27:00Z</cp:lastPrinted>
  <dcterms:created xsi:type="dcterms:W3CDTF">2014-09-05T08:53:00Z</dcterms:created>
  <dcterms:modified xsi:type="dcterms:W3CDTF">2014-09-05T08:53:00Z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