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rId56.png" ContentType="image/png"/>
  <Override PartName="/word/media/rId5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42"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Start w:id="41" w:name="notes-on-website-version"/>
    <w:p>
      <w:pPr>
        <w:pStyle w:val="Heading2"/>
      </w:pPr>
      <w:r>
        <w:t xml:space="preserve">Notes on website version</w:t>
      </w:r>
    </w:p>
    <w:p>
      <w:pPr>
        <w:pStyle w:val="FirstParagraph"/>
      </w:pPr>
      <w:r>
        <w:t xml:space="preserve">This website contains my PhD dissertation in html form. In terms of content, it is practically identical to the pdf-file submitted to the graduate school - both were made with</w:t>
      </w:r>
      <w:r>
        <w:t xml:space="preserve"> </w:t>
      </w:r>
      <w:hyperlink r:id="rId39">
        <w:r>
          <w:rPr>
            <w:rStyle w:val="Hyperlink"/>
          </w:rPr>
          <w:t xml:space="preserve">Quarto®</w:t>
        </w:r>
      </w:hyperlink>
      <w:r>
        <w:t xml:space="preserve">, an open-source scientific and technical publishing system. The latest render of the pdf-file can be found</w:t>
      </w:r>
      <w:r>
        <w:t xml:space="preserve"> </w:t>
      </w:r>
      <w:hyperlink r:id="rId40">
        <w:r>
          <w:rPr>
            <w:rStyle w:val="Hyperlink"/>
          </w:rPr>
          <w:t xml:space="preserve">here</w:t>
        </w:r>
      </w:hyperlink>
      <w:r>
        <w:t xml:space="preserve">.</w:t>
      </w:r>
    </w:p>
    <w:bookmarkEnd w:id="41"/>
    <w:bookmarkEnd w:id="42"/>
    <w:bookmarkStart w:id="47" w:name="preface"/>
    <w:p>
      <w:pPr>
        <w:pStyle w:val="Heading1"/>
      </w:pPr>
      <w:r>
        <w:t xml:space="preserve">Preface</w:t>
      </w:r>
    </w:p>
    <w:bookmarkStart w:id="44"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3">
        <w:r>
          <w:rPr>
            <w:rStyle w:val="Hyperlink"/>
          </w:rPr>
          <w:t xml:space="preserve">aastedet.github.io/dissertation/</w:t>
        </w:r>
      </w:hyperlink>
      <w:r>
        <w:t xml:space="preserve">.</w:t>
      </w:r>
    </w:p>
    <w:bookmarkEnd w:id="44"/>
    <w:bookmarkStart w:id="45"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5"/>
    <w:bookmarkStart w:id="46" w:name="papers-associated-with-the-dissertation"/>
    <w:p>
      <w:pPr>
        <w:pStyle w:val="Heading2"/>
      </w:pPr>
      <w:r>
        <w:t xml:space="preserve">Papers associated with the dissertation</w:t>
      </w:r>
    </w:p>
    <w:p>
      <w:pPr>
        <w:pStyle w:val="FirstParagraph"/>
      </w:pPr>
      <w:r>
        <w:rPr>
          <w:bCs/>
          <w:b/>
        </w:rPr>
        <w:t xml:space="preserve">Coming soon</w:t>
      </w:r>
    </w:p>
    <w:bookmarkEnd w:id="46"/>
    <w:bookmarkEnd w:id="47"/>
    <w:bookmarkStart w:id="48"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8"/>
    <w:bookmarkStart w:id="94" w:name="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9"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- 9% of immigrants in Denmark were aged 66 years and above in 2019, a proportion projected to double by 2039</w:t>
      </w:r>
      <w:r>
        <w:rPr>
          <w:vertAlign w:val="superscript"/>
        </w:rPr>
        <w:t xml:space="preserve">2</w:t>
      </w:r>
      <w:r>
        <w:t xml:space="preserve">.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3</w:t>
      </w:r>
      <w:r>
        <w:t xml:space="preserve">.</w:t>
      </w:r>
    </w:p>
    <w:bookmarkEnd w:id="49"/>
    <w:bookmarkStart w:id="66" w:name="migrants-in-denmark"/>
    <w:p>
      <w:pPr>
        <w:pStyle w:val="Heading2"/>
      </w:pPr>
      <w:r>
        <w:t xml:space="preserve">1.2 Migrants in Denmark</w:t>
      </w:r>
    </w:p>
    <w:p>
      <w:pPr>
        <w:pStyle w:val="FirstParagraph"/>
      </w:pPr>
      <w:r>
        <w:t xml:space="preserve">[Describe overall proportion of migrants and migration patterns/groups/causes: Summarise https://www.dst.dk/da/Statistik/nyheder-analyser-publ/bagtal/2022/2022-08-18-fakta-om-indvandrere &amp; for 2019: https://www.dst.dk/da/Statistik/nyheder-analyser-publ/Publikationer/VisPub?cid=29446]</w:t>
      </w:r>
    </w:p>
    <w:bookmarkStart w:id="50" w:name="migration"/>
    <w:p>
      <w:pPr>
        <w:pStyle w:val="Heading3"/>
      </w:pPr>
      <w:r>
        <w:t xml:space="preserve">1.2.1 Migration</w:t>
      </w:r>
    </w:p>
    <w:p>
      <w:pPr>
        <w:pStyle w:val="FirstParagraph"/>
      </w:pPr>
      <w:r>
        <w:t xml:space="preserve">Individuals migrate between countries for various reasons, such as the pursuit of work, education and family reunification, or to seek protection. Due to different international rights, a clear legal distinction is made between</w:t>
      </w:r>
      <w:r>
        <w:t xml:space="preserve"> </w:t>
      </w:r>
      <w:r>
        <w:t xml:space="preserve">‘</w:t>
      </w:r>
      <w:r>
        <w:t xml:space="preserve">refugees</w:t>
      </w:r>
      <w:r>
        <w:t xml:space="preserve">’</w:t>
      </w:r>
      <w:r>
        <w:t xml:space="preserve"> </w:t>
      </w:r>
      <w:r>
        <w:t xml:space="preserve">and</w:t>
      </w:r>
      <w:r>
        <w:t xml:space="preserve"> </w:t>
      </w:r>
      <w:r>
        <w:t xml:space="preserve">‘</w:t>
      </w:r>
      <w:r>
        <w:t xml:space="preserve">migrants</w:t>
      </w:r>
      <w:r>
        <w:t xml:space="preserve">’</w:t>
      </w:r>
      <w:r>
        <w:t xml:space="preserve">. Refugees are defined by the United Nations High Commissioner for Refugees, and protected in accordance with international law:</w:t>
      </w:r>
    </w:p>
    <w:p>
      <w:pPr>
        <w:pStyle w:val="BlockText"/>
      </w:pPr>
      <w:r>
        <w:t xml:space="preserve">Refugees are persons who are outside their country of origin for reasons of feared persecution, conflict, generalized violence, or other circumstances that have seriously disturbed public order and, as a result, require international protection.</w:t>
      </w:r>
      <w:r>
        <w:rPr>
          <w:vertAlign w:val="superscript"/>
        </w:rPr>
        <w:t xml:space="preserve">4</w:t>
      </w:r>
    </w:p>
    <w:p>
      <w:pPr>
        <w:pStyle w:val="FirstParagraph"/>
      </w:pPr>
      <w:r>
        <w:t xml:space="preserve">By contrast, there is no formal legal definition of an international migrant, although anyone changing country of usual residence, irrespective of the reason for migration or legal status, is generally considered a migrant.</w:t>
      </w:r>
      <w:r>
        <w:rPr>
          <w:vertAlign w:val="superscript"/>
        </w:rPr>
        <w:t xml:space="preserve">4</w:t>
      </w:r>
    </w:p>
    <w:p>
      <w:pPr>
        <w:pStyle w:val="BodyText"/>
      </w:pPr>
      <w:r>
        <w:t xml:space="preserve">In Denmark, migrants seeking protection are processed by authorities to determine if they quality for refugee status, and whether they have previously applied for asylum elsewhere in the European Union per the Dublin Regulation.</w:t>
      </w:r>
      <w:r>
        <w:rPr>
          <w:vertAlign w:val="superscript"/>
        </w:rPr>
        <w:t xml:space="preserve">5</w:t>
      </w:r>
      <w:r>
        <w:t xml:space="preserve"> </w:t>
      </w:r>
      <w:r>
        <w:t xml:space="preserve">Individuals qualifying for refugee status are granted asylum and receive residence permits. Conversely, individuals with immediate family members holding Danish citizenship (or with residence permit granted for reasons other than refugee status) can apply for a residence permit on grounds of family reunification before entering the country,</w:t>
      </w:r>
      <w:r>
        <w:rPr>
          <w:vertAlign w:val="superscript"/>
        </w:rPr>
        <w:t xml:space="preserve">6</w:t>
      </w:r>
      <w:r>
        <w:t xml:space="preserve"> </w:t>
      </w:r>
      <w:r>
        <w:t xml:space="preserve">and residence permits can also be granted to citizens of the European Union, as well as individuals with work or study obligations in Denmark.</w:t>
      </w:r>
      <w:r>
        <w:rPr>
          <w:vertAlign w:val="superscript"/>
        </w:rPr>
        <w:t xml:space="preserve">7,8</w:t>
      </w:r>
      <w:r>
        <w:t xml:space="preserve"> </w:t>
      </w:r>
      <w:r>
        <w:t xml:space="preserve">Citizens of Finland, Iceland, Norway and Sweden are free to enter, reside and work in Denmark.</w:t>
      </w:r>
      <w:r>
        <w:rPr>
          <w:vertAlign w:val="superscript"/>
        </w:rPr>
        <w:t xml:space="preserve">9</w:t>
      </w:r>
    </w:p>
    <w:p>
      <w:pPr>
        <w:pStyle w:val="BodyText"/>
      </w:pPr>
      <w:r>
        <w:t xml:space="preserve">Once residence has been granted, regardless of the reason, these individuals have access to the same public healthcare services as Danish citizens.</w:t>
      </w:r>
    </w:p>
    <w:bookmarkEnd w:id="50"/>
    <w:bookmarkStart w:id="51" w:name="X63dd53a9bbfd300a6b8d448a1cd47ca00b60a6f"/>
    <w:p>
      <w:pPr>
        <w:pStyle w:val="Heading3"/>
      </w:pPr>
      <w:r>
        <w:t xml:space="preserve">1.2.2 Migrants in the Danish data infrastructure</w:t>
      </w:r>
    </w:p>
    <w:p>
      <w:pPr>
        <w:pStyle w:val="FirstParagraph"/>
      </w:pPr>
      <w:r>
        <w:t xml:space="preserve">In the context of Danish registers and this PhD project, both refugees and immigrants are referred to as migrants after obtaining residence. In contrast to the automated collection of data on events occurring in Denmark, migrants and their past pose a challenge to register data collection.</w:t>
      </w:r>
    </w:p>
    <w:p>
      <w:pPr>
        <w:pStyle w:val="BodyText"/>
      </w:pPr>
      <w:r>
        <w:t xml:space="preserve">Basic civil registration data on migrants is collected during processing of residence applications. Generally, registrations pertaining to events that occurred in another country prior to immigration require technical evidence (e.g. clinical imaging to determine age and verify date of birth) or legal proof from the issuing authority of the country where the event occurred. However, in cases where such documentation is unavailable, registrations may be supported by undocumented information provided by the migrant.</w:t>
      </w:r>
      <w:r>
        <w:rPr>
          <w:vertAlign w:val="superscript"/>
        </w:rPr>
        <w:t xml:space="preserve">10</w:t>
      </w:r>
      <w:r>
        <w:t xml:space="preserve"> </w:t>
      </w:r>
      <w:r>
        <w:t xml:space="preserve">In cases where information was not systematically collected at the time of migration, e.g. an individual’s level of education attained before migration, surveys have been used to collect this data retrospectively, or it may be imputed based on available data.</w:t>
      </w:r>
      <w:r>
        <w:rPr>
          <w:vertAlign w:val="superscript"/>
        </w:rPr>
        <w:t xml:space="preserve">11</w:t>
      </w:r>
    </w:p>
    <w:bookmarkEnd w:id="51"/>
    <w:bookmarkStart w:id="64" w:name="migrant-groups-in-denmark"/>
    <w:p>
      <w:pPr>
        <w:pStyle w:val="Heading3"/>
      </w:pPr>
      <w:r>
        <w:t xml:space="preserve">1.2.3 Migrant groups in Denmark</w:t>
      </w:r>
    </w:p>
    <w:p>
      <w:pPr>
        <w:pStyle w:val="FirstParagraph"/>
      </w:pPr>
      <w:r>
        <w:t xml:space="preserve">In Danish civil register data, a migrant’s country of origin is defined by Statistics Denmark according to the following rules (paraphrased):</w:t>
      </w:r>
    </w:p>
    <w:p>
      <w:pPr>
        <w:pStyle w:val="BlockText"/>
      </w:pPr>
      <w:r>
        <w:t xml:space="preserve">An immigrant is a person born abroad to non-Danish citizens. If Danish civil records contain data on a migrant’s mother, country of origin is defined by the mother’s country of birth. Otherwise the father’s country of birth is used, or - if no data is available - country of origin is defined by the country of birth of the immigrant themselves.</w:t>
      </w:r>
      <w:r>
        <w:rPr>
          <w:vertAlign w:val="superscript"/>
        </w:rPr>
        <w:t xml:space="preserve">12</w:t>
      </w:r>
    </w:p>
    <w:p>
      <w:pPr>
        <w:pStyle w:val="FirstParagraph"/>
      </w:pPr>
      <w:r>
        <w:t xml:space="preserve">Migrants from more than 200 different countries of origin reside in Denmark, making the migrant group very heterogenous with respect to geographic and cultural background.</w:t>
      </w:r>
      <w:r>
        <w:rPr>
          <w:vertAlign w:val="superscript"/>
        </w:rPr>
        <w:t xml:space="preserve">12</w:t>
      </w:r>
      <w:r>
        <w:t xml:space="preserve"> </w:t>
      </w:r>
      <w:r>
        <w:t xml:space="preserve">Furthermore, the context for migration differs greatly between migrants of different origins. For example, the vast majority of migrants from Turkey were granted residence due to work and family reunification, and almost all migrants from Bosnia-Herzegovina were refugees and given asylum, while migrants from other European countries reside in Denmark mainly for work, education or other reasons.</w:t>
      </w:r>
      <w:r>
        <w:t xml:space="preserve"> </w:t>
      </w:r>
      <w:hyperlink w:anchor="fig-reason-migration">
        <w:r>
          <w:rPr>
            <w:rStyle w:val="Hyperlink"/>
          </w:rPr>
          <w:t xml:space="preserve">Figure 1.1</w:t>
        </w:r>
      </w:hyperlink>
      <w:r>
        <w:t xml:space="preserve"> </w:t>
      </w:r>
      <w:r>
        <w:t xml:space="preserve">shows the primary reason for migration among the largest migrant origin groups residing in Denmark in 2022.</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55" w:name="fig-reason-western"/>
                <w:p>
                  <w:pPr>
                    <w:pStyle w:val="Figure"/>
                    <w:jc w:val="center"/>
                    <w:jc w:val="center"/>
                  </w:pPr>
                  <w:r>
                    <w:drawing>
                      <wp:inline>
                        <wp:extent cx="5334000" cy="3330786"/>
                        <wp:effectExtent b="0" l="0" r="0" t="0"/>
                        <wp:docPr descr="" title="" id="53" name="Picture"/>
                        <a:graphic>
                          <a:graphicData uri="http://schemas.openxmlformats.org/drawingml/2006/picture">
                            <pic:pic>
                              <pic:nvPicPr>
                                <pic:cNvPr descr="./figures/reason_migration_origin_west_2022.png" id="54" name="Picture"/>
                                <pic:cNvPicPr>
                                  <a:picLocks noChangeArrowheads="1" noChangeAspect="1"/>
                                </pic:cNvPicPr>
                              </pic:nvPicPr>
                              <pic:blipFill>
                                <a:blip r:embed="rId52"/>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Reason for migration: Western countries</w:t>
                  </w:r>
                </w:p>
                <w:bookmarkEnd w:id="55"/>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59" w:name="fig-reason-nonwestern"/>
                <w:p>
                  <w:pPr>
                    <w:pStyle w:val="Figure"/>
                    <w:jc w:val="center"/>
                    <w:jc w:val="center"/>
                  </w:pPr>
                  <w:r>
                    <w:drawing>
                      <wp:inline>
                        <wp:extent cx="5334000" cy="3330786"/>
                        <wp:effectExtent b="0" l="0" r="0" t="0"/>
                        <wp:docPr descr="" title="" id="57" name="Picture"/>
                        <a:graphic>
                          <a:graphicData uri="http://schemas.openxmlformats.org/drawingml/2006/picture">
                            <pic:pic>
                              <pic:nvPicPr>
                                <pic:cNvPr descr="./figures/reason_migration_origin_nonwest_2022.png" id="58" name="Picture"/>
                                <pic:cNvPicPr>
                                  <a:picLocks noChangeArrowheads="1" noChangeAspect="1"/>
                                </pic:cNvPicPr>
                              </pic:nvPicPr>
                              <pic:blipFill>
                                <a:blip r:embed="rId56"/>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Reason for migration: Non-western countries</w:t>
                  </w:r>
                </w:p>
                <w:bookmarkEnd w:id="59"/>
              </w:tc>
            </w:tr>
          </w:tbl>
          <w:p/>
        </w:tc>
      </w:tr>
    </w:tbl>
    <w:p>
      <w:pPr>
        <w:pStyle w:val="BodyText"/>
      </w:pPr>
      <w:pPr>
        <w:spacing w:before="200"/>
        <w:pStyle w:val="ImageCaption"/>
      </w:pPr>
      <w:r>
        <w:t xml:space="preserve">Figure 1.1: Primary reason for migration among the 10 largest migrant groups in Denmark from Western (a) and Non-western countries (b). Adapted from Statistics Denmark.</w:t>
      </w:r>
      <w:r>
        <w:rPr>
          <w:vertAlign w:val="superscript"/>
        </w:rPr>
        <w:t xml:space="preserve">13</w:t>
      </w:r>
    </w:p>
    <w:p>
      <w:pPr>
        <w:pStyle w:val="BodyText"/>
      </w:pPr>
      <w:r>
        <w:t xml:space="preserve">The context also differs greatly between each country of origin in terms of when the migration took place, as illustrated in</w:t>
      </w:r>
      <w:r>
        <w:t xml:space="preserve"> </w:t>
      </w:r>
      <w:hyperlink w:anchor="fig-time-migration">
        <w:r>
          <w:rPr>
            <w:rStyle w:val="Hyperlink"/>
          </w:rPr>
          <w:t xml:space="preserve">Figure 1.2</w:t>
        </w:r>
      </w:hyperlink>
      <w:r>
        <w:t xml:space="preserve">.</w:t>
      </w:r>
    </w:p>
    <w:tbl>
      <w:tblPr>
        <w:tblStyle w:val="Table"/>
        <w:tblW w:type="pct" w:w="5000"/>
        <w:tblLook w:firstRow="0" w:lastRow="0" w:firstColumn="0" w:lastColumn="0" w:noHBand="0" w:noVBand="0" w:val="0000"/>
      </w:tblPr>
      <w:tblGrid>
        <w:gridCol w:w="7920"/>
      </w:tblGrid>
      <w:tr>
        <w:tc>
          <w:tcPr/>
          <w:bookmarkStart w:id="63" w:name="fig-time-migration"/>
          <w:p>
            <w:pPr>
              <w:jc w:val="center"/>
            </w:pPr>
            <w:r>
              <w:drawing>
                <wp:inline>
                  <wp:extent cx="5334000" cy="8739878"/>
                  <wp:effectExtent b="0" l="0" r="0" t="0"/>
                  <wp:docPr descr="" title="" id="61" name="Picture"/>
                  <a:graphic>
                    <a:graphicData uri="http://schemas.openxmlformats.org/drawingml/2006/picture">
                      <pic:pic>
                        <pic:nvPicPr>
                          <pic:cNvPr descr="./figures/time_migration.png" id="62" name="Picture"/>
                          <pic:cNvPicPr>
                            <a:picLocks noChangeArrowheads="1" noChangeAspect="1"/>
                          </pic:cNvPicPr>
                        </pic:nvPicPr>
                        <pic:blipFill>
                          <a:blip r:embed="rId60"/>
                          <a:stretch>
                            <a:fillRect/>
                          </a:stretch>
                        </pic:blipFill>
                        <pic:spPr bwMode="auto">
                          <a:xfrm>
                            <a:off x="0" y="0"/>
                            <a:ext cx="5334000" cy="87398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Calendar year of first immigration among the 12 largest migrant groups residing in Denmark in 2019. Adapted from Statistics Denmark.</w:t>
            </w:r>
            <w:r>
              <w:rPr>
                <w:vertAlign w:val="superscript"/>
              </w:rPr>
              <w:t xml:space="preserve">12</w:t>
            </w:r>
          </w:p>
          <w:bookmarkEnd w:id="63"/>
        </w:tc>
      </w:tr>
    </w:tbl>
    <w:p>
      <w:pPr>
        <w:pStyle w:val="BodyText"/>
      </w:pPr>
      <w:r>
        <w:t xml:space="preserve">The limited size of each ethnic minority and the strongly contrasting characteristics between them poses a challenge to statistical processing. Researchers must strike a balance between aggregation to achieve adequate sample sizes while preserving clinically meaningful minority groups, and avoid introducing biases due to aggregation of dissimilar groups.</w:t>
      </w:r>
      <w:r>
        <w:rPr>
          <w:vertAlign w:val="superscript"/>
        </w:rPr>
        <w:t xml:space="preserve">14</w:t>
      </w:r>
      <w:r>
        <w:t xml:space="preserve"> </w:t>
      </w:r>
      <w:r>
        <w:t xml:space="preserve">For statistical purposes, different geoschemes have been used by different institutions depending on the context and purpose. The Statistical Division of the United Nations developed the</w:t>
      </w:r>
      <w:r>
        <w:t xml:space="preserve"> </w:t>
      </w:r>
      <w:r>
        <w:rPr>
          <w:iCs/>
          <w:i/>
        </w:rPr>
        <w:t xml:space="preserve">M49 Standard Country or Area Codes for Statistical Use,</w:t>
      </w:r>
      <w:r>
        <w:rPr>
          <w:vertAlign w:val="superscript"/>
          <w:iCs/>
          <w:i/>
        </w:rPr>
        <w:t xml:space="preserve">15</w:t>
      </w:r>
      <w:r>
        <w:t xml:space="preserve"> </w:t>
      </w:r>
      <w:r>
        <w:t xml:space="preserve">while Statistics Denmark aggregate migrants based on origin in Western and Non-western countries, respectively, which somewhat resembles United Nations classification of developed and developing countries.</w:t>
      </w:r>
      <w:r>
        <w:rPr>
          <w:vertAlign w:val="superscript"/>
        </w:rPr>
        <w:t xml:space="preserve">16</w:t>
      </w:r>
    </w:p>
    <w:bookmarkEnd w:id="64"/>
    <w:bookmarkStart w:id="65" w:name="descendants"/>
    <w:p>
      <w:pPr>
        <w:pStyle w:val="Heading3"/>
      </w:pPr>
      <w:r>
        <w:t xml:space="preserve">1.2.4 Descendants</w:t>
      </w:r>
    </w:p>
    <w:p>
      <w:pPr>
        <w:pStyle w:val="FirstParagraph"/>
      </w:pPr>
      <w:r>
        <w:t xml:space="preserve">Descendants of migrants pose another challenge, whetA potential third dimension</w:t>
      </w:r>
    </w:p>
    <w:p>
      <w:pPr>
        <w:numPr>
          <w:ilvl w:val="0"/>
          <w:numId w:val="1001"/>
        </w:numPr>
      </w:pPr>
      <w:r>
        <w:t xml:space="preserve">Very specific categories - rarely used, and not in a population-wide study of this size?</w:t>
      </w:r>
    </w:p>
    <w:p>
      <w:pPr>
        <w:numPr>
          <w:ilvl w:val="0"/>
          <w:numId w:val="1001"/>
        </w:numPr>
      </w:pPr>
      <w:r>
        <w:t xml:space="preserve">Migrants vs. descendants:</w:t>
      </w:r>
    </w:p>
    <w:p>
      <w:pPr>
        <w:numPr>
          <w:ilvl w:val="1"/>
          <w:numId w:val="1002"/>
        </w:numPr>
      </w:pPr>
      <w:r>
        <w:t xml:space="preserve">diff. ages: fig. 1.4</w:t>
      </w:r>
    </w:p>
    <w:p>
      <w:pPr>
        <w:numPr>
          <w:ilvl w:val="1"/>
          <w:numId w:val="1002"/>
        </w:numPr>
      </w:pPr>
      <w:r>
        <w:t xml:space="preserve">Indications of different diabetes risk (Bennet)</w:t>
      </w:r>
    </w:p>
    <w:p>
      <w:pPr>
        <w:numPr>
          <w:ilvl w:val="0"/>
          <w:numId w:val="1001"/>
        </w:numPr>
      </w:pPr>
      <w:r>
        <w:t xml:space="preserve">Context of each migrant category.</w:t>
      </w:r>
    </w:p>
    <w:bookmarkEnd w:id="65"/>
    <w:bookmarkEnd w:id="66"/>
    <w:bookmarkStart w:id="78" w:name="type-2-diabetes-care"/>
    <w:p>
      <w:pPr>
        <w:pStyle w:val="Heading2"/>
      </w:pPr>
      <w:r>
        <w:t xml:space="preserve">1.3 Type 2 diabetes care</w:t>
      </w:r>
    </w:p>
    <w:bookmarkStart w:id="70" w:name="complications-and-risk-factors"/>
    <w:p>
      <w:pPr>
        <w:pStyle w:val="Heading3"/>
      </w:pPr>
      <w:r>
        <w:t xml:space="preserve">1.3.1 Complications and risk factors</w:t>
      </w:r>
    </w:p>
    <w:bookmarkStart w:id="67"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67"/>
    <w:bookmarkStart w:id="69"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68">
        <w:r>
          <w:rPr>
            <w:rStyle w:val="Hyperlink"/>
          </w:rPr>
          <w:t xml:space="preserve">refs</w:t>
        </w:r>
      </w:hyperlink>
      <w:r>
        <w:t xml:space="preserve">]</w:t>
      </w:r>
    </w:p>
    <w:bookmarkEnd w:id="69"/>
    <w:bookmarkEnd w:id="70"/>
    <w:bookmarkStart w:id="73" w:name="pharmacological-treatment"/>
    <w:p>
      <w:pPr>
        <w:pStyle w:val="Heading3"/>
      </w:pPr>
      <w:r>
        <w:t xml:space="preserve">1.3.2 Pharmacological treatment</w:t>
      </w:r>
    </w:p>
    <w:bookmarkStart w:id="71"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17,18</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71"/>
    <w:bookmarkStart w:id="72"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72"/>
    <w:bookmarkEnd w:id="73"/>
    <w:bookmarkStart w:id="77" w:name="monitoring"/>
    <w:p>
      <w:pPr>
        <w:pStyle w:val="Heading3"/>
      </w:pPr>
      <w:r>
        <w:t xml:space="preserve">1.3.3 Monitoring</w:t>
      </w:r>
    </w:p>
    <w:bookmarkStart w:id="75"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74">
        <w:r>
          <w:rPr>
            <w:rStyle w:val="Hyperlink"/>
          </w:rPr>
          <w:t xml:space="preserve">7-12</w:t>
        </w:r>
      </w:hyperlink>
      <w:r>
        <w:t xml:space="preserve">, e.g. https://doi.org/10.1093/intqhc/mzl023, , evt. DVDD rapport]*</w:t>
      </w:r>
    </w:p>
    <w:bookmarkEnd w:id="75"/>
    <w:bookmarkStart w:id="76"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76"/>
    <w:bookmarkEnd w:id="77"/>
    <w:bookmarkEnd w:id="78"/>
    <w:bookmarkStart w:id="87" w:name="Xc97c9dbd1e56f09b035b591f0a2f5a7c2b90c7a"/>
    <w:p>
      <w:pPr>
        <w:pStyle w:val="Heading2"/>
      </w:pPr>
      <w:r>
        <w:t xml:space="preserve">1.4 Clinical guidelines for type 2 diabetes care</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The guidelines are continuously updated as new evidence emerges. In this PhD project, T2D care was studied in the time period covered by the 2012</w:t>
      </w:r>
      <w:r>
        <w:rPr>
          <w:vertAlign w:val="superscript"/>
        </w:rPr>
        <w:t xml:space="preserve">19</w:t>
      </w:r>
      <w:r>
        <w:t xml:space="preserve"> </w:t>
      </w:r>
      <w:r>
        <w:t xml:space="preserve">and 2019</w:t>
      </w:r>
      <w:r>
        <w:rPr>
          <w:vertAlign w:val="superscript"/>
        </w:rPr>
        <w:t xml:space="preserve">20</w:t>
      </w:r>
      <w:r>
        <w:t xml:space="preserve"> </w:t>
      </w:r>
      <w:r>
        <w:t xml:space="preserve">revisions (only minor changes were made between the two revisions). These guidelines advise that monitoring intervals, biomarker goals and treatment intensity are adapted to fit the individual patient, but specify recommendations that may be used as indicators of care quality.</w:t>
      </w:r>
    </w:p>
    <w:p>
      <w:pPr>
        <w:pStyle w:val="BodyText"/>
      </w:pPr>
      <w:r>
        <w:t xml:space="preserve">Danish guidelines provide virtually no specific recommendations on T2D care in migrants, and migrants are not addressed in the appendix on pharmacological treatment of special groups. Guideline recommendations relevant to this PhD study are described below.</w:t>
      </w:r>
    </w:p>
    <w:bookmarkStart w:id="79" w:name="diagnosis"/>
    <w:p>
      <w:pPr>
        <w:pStyle w:val="Heading3"/>
      </w:pPr>
      <w:r>
        <w:t xml:space="preserve">1.4.1 Diagnosis</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type 2 diabetes, but diagnosis must be confirmed with a repeated sample on a different day. Once diagnosed, patients with T2D should be considered permanently affected by the disease, and the associated risk factors for complications should be treated regardless of subsequent normalization of HbA1c.</w:t>
      </w:r>
    </w:p>
    <w:p>
      <w:pPr>
        <w:pStyle w:val="BodyText"/>
      </w:pPr>
      <w:r>
        <w:t xml:space="preserve">Migrant origin is mentioned as a risk factor of T2D, and guidelines recommend increased HbA1c screening in certain migrant groups.</w:t>
      </w:r>
    </w:p>
    <w:bookmarkEnd w:id="79"/>
    <w:bookmarkStart w:id="80" w:name="monitoring-1"/>
    <w:p>
      <w:pPr>
        <w:pStyle w:val="Heading3"/>
      </w:pPr>
      <w:r>
        <w:t xml:space="preserve">1.4.2 Monitoring</w:t>
      </w:r>
    </w:p>
    <w:p>
      <w:pPr>
        <w:pStyle w:val="FirstParagraph"/>
      </w:pPr>
      <w:r>
        <w:t xml:space="preserve">The risk biomarkers HbA1c and LDL-C should be measured yearly,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and screening for diabetic foot disease by a podiatrist every year. At the initial diagnosis of T2D, a baseline-screening of all five types of monitoring is recommended.</w:t>
      </w:r>
    </w:p>
    <w:p>
      <w:pPr>
        <w:pStyle w:val="BodyText"/>
      </w:pPr>
      <w:r>
        <w:t xml:space="preserve">Guidelines provide no specific recommendations on monitoring in migrants.</w:t>
      </w:r>
    </w:p>
    <w:bookmarkEnd w:id="80"/>
    <w:bookmarkStart w:id="81" w:name="biomarker-levels"/>
    <w:p>
      <w:pPr>
        <w:pStyle w:val="Heading3"/>
      </w:pPr>
      <w:r>
        <w:t xml:space="preserve">1.4.3 Biomarker levels</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p>
      <w:pPr>
        <w:pStyle w:val="BodyText"/>
      </w:pPr>
      <w:r>
        <w:t xml:space="preserve">Guidelines provide no specific recommendations on HbA1c or LDL-C targets in migrants.</w:t>
      </w:r>
    </w:p>
    <w:bookmarkEnd w:id="81"/>
    <w:bookmarkStart w:id="86" w:name="pharmacological-treatment-1"/>
    <w:p>
      <w:pPr>
        <w:pStyle w:val="Heading3"/>
      </w:pPr>
      <w:r>
        <w:t xml:space="preserve">1.4.4 Pharmacological treatment</w:t>
      </w:r>
    </w:p>
    <w:bookmarkStart w:id="82"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 (note that, although not in effect during the time period studied in this PhD project, the recommendations for SGLT2i and GLP1RA were expanded in the 2022 revision to include all T2D patients with CVD, multiple risk factors for CVD, or chronic kidney disease, irrespective of HbA1c level).</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82"/>
    <w:bookmarkStart w:id="83"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83"/>
    <w:bookmarkStart w:id="84"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84"/>
    <w:bookmarkStart w:id="85"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 (this recommendation was expanded in the 2022 revision to also include individuals with kidney failure and concurrent microalbuminuria).</w:t>
      </w:r>
    </w:p>
    <w:p>
      <w:pPr>
        <w:pStyle w:val="BodyText"/>
      </w:pPr>
      <w:r>
        <w:t xml:space="preserve">Guidelines provide no specific recommendations on any aspect of pharmacological treatment in migrants.</w:t>
      </w:r>
    </w:p>
    <w:bookmarkEnd w:id="85"/>
    <w:bookmarkEnd w:id="86"/>
    <w:bookmarkEnd w:id="87"/>
    <w:bookmarkStart w:id="92" w:name="Xf7badec02c2ad1ff37b02ca9df251f621eb0df1"/>
    <w:p>
      <w:pPr>
        <w:pStyle w:val="Heading2"/>
      </w:pPr>
      <w:r>
        <w:t xml:space="preserve">1.5 Identification of type 2 diabetes cases in healthcare registers</w:t>
      </w:r>
    </w:p>
    <w:bookmarkStart w:id="88" w:name="danish-register-data-infrastructure"/>
    <w:p>
      <w:pPr>
        <w:pStyle w:val="Heading3"/>
      </w:pPr>
      <w:r>
        <w:t xml:space="preserve">1.5.1 Danish register data infrastructure</w:t>
      </w:r>
    </w:p>
    <w:p>
      <w:pPr>
        <w:pStyle w:val="FirstParagraph"/>
      </w:pPr>
      <w:r>
        <w:t xml:space="preserve">What is collected on whom, and how?</w:t>
      </w:r>
    </w:p>
    <w:p>
      <w:pPr>
        <w:pStyle w:val="BodyText"/>
      </w:pPr>
      <w:r>
        <w:t xml:space="preserve">How is the data structured and stored, who can get access - to what, and how?</w:t>
      </w:r>
    </w:p>
    <w:p>
      <w:pPr>
        <w:pStyle w:val="BodyText"/>
      </w:pPr>
      <w:r>
        <w:t xml:space="preserve">Researchers get access to the same raw data, stored in the same structure (unless a data manager on the recipient end edits the raw data during the access data transfer process)</w:t>
      </w:r>
    </w:p>
    <w:p>
      <w:pPr>
        <w:pStyle w:val="BodyText"/>
      </w:pPr>
      <w:r>
        <w:t xml:space="preserve">Enables potentially reproducible research, if code is shared publicly (which it is not).</w:t>
      </w:r>
    </w:p>
    <w:bookmarkEnd w:id="88"/>
    <w:bookmarkStart w:id="89" w:name="benefits"/>
    <w:p>
      <w:pPr>
        <w:pStyle w:val="Heading3"/>
      </w:pPr>
      <w:r>
        <w:t xml:space="preserve">1.5.2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89"/>
    <w:bookmarkStart w:id="90" w:name="challenges"/>
    <w:p>
      <w:pPr>
        <w:pStyle w:val="Heading3"/>
      </w:pPr>
      <w:r>
        <w:t xml:space="preserve">1.5.3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90"/>
    <w:bookmarkStart w:id="91" w:name="register-based-diabetes-classifiers"/>
    <w:p>
      <w:pPr>
        <w:pStyle w:val="Heading3"/>
      </w:pPr>
      <w:r>
        <w:t xml:space="preserve">1.5.4 Register-based diabetes classifiers</w:t>
      </w:r>
    </w:p>
    <w:p>
      <w:pPr>
        <w:pStyle w:val="FirstParagraph"/>
      </w:pPr>
      <w:r>
        <w:t xml:space="preserve">In Denmark, the first resource readily available to researchers to identify diabetes cases using register data was the National Diabetes Register, established in 2006. The National Diabetes Register was discontinued in 2012, and a later validation study questioned its validity and called for future registers to adopt inclusion based on elevated HbA1c levels.</w:t>
      </w:r>
    </w:p>
    <w:p>
      <w:pPr>
        <w:pStyle w:val="BodyText"/>
      </w:pPr>
      <w:r>
        <w:t xml:space="preserve">Currently, the Register of Selected Chronic Diseases (RSCD) is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p>
    <w:bookmarkEnd w:id="91"/>
    <w:bookmarkEnd w:id="92"/>
    <w:bookmarkStart w:id="93" w:name="introduction-at-a-glance"/>
    <w:p>
      <w:pPr>
        <w:pStyle w:val="Heading2"/>
      </w:pPr>
      <w:r>
        <w:t xml:space="preserve">1.6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93"/>
    <w:bookmarkEnd w:id="94"/>
    <w:bookmarkStart w:id="98" w:name="aims"/>
    <w:p>
      <w:pPr>
        <w:pStyle w:val="Heading1"/>
      </w:pPr>
      <w:r>
        <w:t xml:space="preserve">2. Aims</w:t>
      </w:r>
    </w:p>
    <w:bookmarkStart w:id="95"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95"/>
    <w:bookmarkStart w:id="96" w:name="specific-aims"/>
    <w:p>
      <w:pPr>
        <w:pStyle w:val="Heading2"/>
      </w:pPr>
      <w:r>
        <w:t xml:space="preserve">2.2 Specific aims</w:t>
      </w:r>
    </w:p>
    <w:p>
      <w:pPr>
        <w:numPr>
          <w:ilvl w:val="0"/>
          <w:numId w:val="1003"/>
        </w:numPr>
      </w:pPr>
      <w:r>
        <w:t xml:space="preserve">Develop a register-based classification of type 1 and type 2 diabetes and make it available to other researchers.</w:t>
      </w:r>
    </w:p>
    <w:p>
      <w:pPr>
        <w:numPr>
          <w:ilvl w:val="0"/>
          <w:numId w:val="1003"/>
        </w:numPr>
      </w:pPr>
      <w:r>
        <w:t xml:space="preserve">Validate register-based diabetes classifiers available to researchers in Denmark.</w:t>
      </w:r>
    </w:p>
    <w:p>
      <w:pPr>
        <w:numPr>
          <w:ilvl w:val="0"/>
          <w:numId w:val="1003"/>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3"/>
        </w:numPr>
      </w:pPr>
      <w:r>
        <w:t xml:space="preserve">Evaluate disparities in the quality of glucose-lowering pharmacological treatment between migrants and native Danes in terms of combination therapy and drug types.</w:t>
      </w:r>
    </w:p>
    <w:bookmarkEnd w:id="96"/>
    <w:bookmarkStart w:id="97" w:name="outputs"/>
    <w:p>
      <w:pPr>
        <w:pStyle w:val="Heading2"/>
      </w:pPr>
      <w:r>
        <w:t xml:space="preserve">2.3 Outputs</w:t>
      </w:r>
    </w:p>
    <w:p>
      <w:pPr>
        <w:pStyle w:val="FirstParagraph"/>
      </w:pPr>
      <w:r>
        <w:t xml:space="preserve">Aims II, III, and IV were pursued in the respective papers I, II, and III associated with this dissertation, while aim I was pursued in the creation of the open-source R package</w:t>
      </w:r>
      <w:r>
        <w:t xml:space="preserve"> </w:t>
      </w:r>
      <w:r>
        <w:rPr>
          <w:iCs/>
          <w:i/>
        </w:rPr>
        <w:t xml:space="preserve">osdc</w:t>
      </w:r>
      <w:r>
        <w:t xml:space="preserve">.</w:t>
      </w:r>
    </w:p>
    <w:bookmarkEnd w:id="97"/>
    <w:bookmarkEnd w:id="98"/>
    <w:bookmarkStart w:id="130" w:name="material-and-methods"/>
    <w:p>
      <w:pPr>
        <w:pStyle w:val="Heading1"/>
      </w:pPr>
      <w:r>
        <w:t xml:space="preserve">3. Material and methods</w:t>
      </w:r>
    </w:p>
    <w:bookmarkStart w:id="100" w:name="setting"/>
    <w:p>
      <w:pPr>
        <w:pStyle w:val="Heading2"/>
      </w:pPr>
      <w:r>
        <w:t xml:space="preserve">3.1 Setting</w:t>
      </w:r>
    </w:p>
    <w:bookmarkStart w:id="99" w:name="the-danish-healthcare-system"/>
    <w:p>
      <w:pPr>
        <w:pStyle w:val="Heading3"/>
      </w:pPr>
      <w:r>
        <w:t xml:space="preserve">3.1.1 The Danish healthcare system</w:t>
      </w:r>
    </w:p>
    <w:p>
      <w:pPr>
        <w:pStyle w:val="FirstParagraph"/>
      </w:pPr>
      <w:r>
        <w:rPr>
          <w:iCs/>
          <w:i/>
        </w:rPr>
        <w:t xml:space="preserve">[Describe the danish public healthcare system: sectors, actors, reimbursement and patient-incurred costs.]</w:t>
      </w:r>
    </w:p>
    <w:p>
      <w:pPr>
        <w:pStyle w:val="BodyText"/>
      </w:pPr>
      <w:r>
        <w:t xml:space="preserve">Denmark has a population of approximately 5.8 million residents (2019 numbers), of whom 600.000 (10%) are migrants, and 1 million (18%) are aged 66 years and older.</w:t>
      </w:r>
      <w:r>
        <w:rPr>
          <w:vertAlign w:val="superscript"/>
        </w:rPr>
        <w:t xml:space="preserve">2</w:t>
      </w:r>
      <w:r>
        <w:t xml:space="preserve"> </w:t>
      </w:r>
      <w:r>
        <w:t xml:space="preserve">The country is divided into 5 administrative regions that are responsible for providing public healthcare services to their residents through public hospitals and contract agreements with private actors in the primary care sector. Private actors include GPs and other specialist practices (e.g. ophthalmologists), as well as other healthcare professionals (e.g. podiatrists). In the tax-funded Danish public healthcare system, services are provided to citizens and migrants with residence permits free of charge, although T2D patients incur some out-of-pocket copayments for podiatrist care and prescription drug purchases at pharmacies. Patients with T2D are primarily treated at the GP, which native Danes and migrants with residence permits have free access to.</w:t>
      </w:r>
    </w:p>
    <w:p>
      <w:pPr>
        <w:pStyle w:val="BodyText"/>
      </w:pPr>
      <w:r>
        <w:t xml:space="preserve">Contrast age migrants and native Danes (pyramid-site)</w:t>
      </w:r>
    </w:p>
    <w:bookmarkEnd w:id="99"/>
    <w:bookmarkEnd w:id="100"/>
    <w:bookmarkStart w:id="107" w:name="data-sources"/>
    <w:p>
      <w:pPr>
        <w:pStyle w:val="Heading2"/>
      </w:pPr>
      <w:r>
        <w:t xml:space="preserve">3.2 Data sources</w:t>
      </w:r>
    </w:p>
    <w:p>
      <w:pPr>
        <w:pStyle w:val="FirstParagraph"/>
      </w:pPr>
      <w:r>
        <w:t xml:space="preserve">Describe the overall CPR number system and acquisition and how it related to civil registration, healthcare contacts and prescription drug use, and how it allows linkage of the data sources.</w:t>
      </w:r>
    </w:p>
    <w:bookmarkStart w:id="101" w:name="the-danish-civil-registration-system"/>
    <w:p>
      <w:pPr>
        <w:pStyle w:val="Heading3"/>
      </w:pPr>
      <w:r>
        <w:t xml:space="preserve">3.2.1 The Danish Civil Registration System</w:t>
      </w:r>
    </w:p>
    <w:p>
      <w:pPr>
        <w:pStyle w:val="FirstParagraph"/>
      </w:pPr>
      <w:r>
        <w:t xml:space="preserve">CRS ref</w:t>
      </w:r>
    </w:p>
    <w:bookmarkEnd w:id="101"/>
    <w:bookmarkStart w:id="102" w:name="the-danish-national-patient-register"/>
    <w:p>
      <w:pPr>
        <w:pStyle w:val="Heading3"/>
      </w:pPr>
      <w:r>
        <w:t xml:space="preserve">3.2.2 The Danish National Patient Register</w:t>
      </w:r>
    </w:p>
    <w:p>
      <w:pPr>
        <w:pStyle w:val="FirstParagraph"/>
      </w:pPr>
      <w:r>
        <w:t xml:space="preserve">NPR ref Validation refs e.g. for CVD goes in discussion chapter 5.</w:t>
      </w:r>
    </w:p>
    <w:bookmarkEnd w:id="102"/>
    <w:bookmarkStart w:id="103" w:name="X3af9b7ed1d5e0ff0cd6d4bfe5d0d681376b15e6"/>
    <w:p>
      <w:pPr>
        <w:pStyle w:val="Heading3"/>
      </w:pPr>
      <w:r>
        <w:t xml:space="preserve">3.2.3 The Danish National Health Service Register</w:t>
      </w:r>
    </w:p>
    <w:p>
      <w:pPr>
        <w:pStyle w:val="FirstParagraph"/>
      </w:pPr>
      <w:r>
        <w:t xml:space="preserve">NHSR ref</w:t>
      </w:r>
    </w:p>
    <w:bookmarkEnd w:id="103"/>
    <w:bookmarkStart w:id="104" w:name="Xf0a2e503b1a86ac13ab9589644b273bc93749c8"/>
    <w:p>
      <w:pPr>
        <w:pStyle w:val="Heading3"/>
      </w:pPr>
      <w:r>
        <w:t xml:space="preserve">3.2.4 The Danish National Prescription Registry</w:t>
      </w:r>
    </w:p>
    <w:p>
      <w:pPr>
        <w:pStyle w:val="FirstParagraph"/>
      </w:pPr>
      <w:r>
        <w:t xml:space="preserve">NPrR ref</w:t>
      </w:r>
    </w:p>
    <w:bookmarkEnd w:id="104"/>
    <w:bookmarkStart w:id="105" w:name="Xbd90143be8b826e1d39cd221e327df87aac3651"/>
    <w:p>
      <w:pPr>
        <w:pStyle w:val="Heading3"/>
      </w:pPr>
      <w:r>
        <w:t xml:space="preserve">3.2.5 The Danish Register of Laboratory Results for Research</w:t>
      </w:r>
    </w:p>
    <w:p>
      <w:pPr>
        <w:pStyle w:val="FirstParagraph"/>
      </w:pPr>
      <w:r>
        <w:t xml:space="preserve">RLRR ref? RLRR covers all of Denmark…</w:t>
      </w:r>
    </w:p>
    <w:bookmarkEnd w:id="105"/>
    <w:bookmarkStart w:id="106" w:name="X9b84d3ade3efe8dcf8580299688c755121c2c6e"/>
    <w:p>
      <w:pPr>
        <w:pStyle w:val="Heading3"/>
      </w:pPr>
      <w:r>
        <w:t xml:space="preserve">3.2.6 The Clinical Laboratory Information System of Central Denmark Region</w:t>
      </w:r>
    </w:p>
    <w:p>
      <w:pPr>
        <w:pStyle w:val="FirstParagraph"/>
      </w:pPr>
      <w:r>
        <w:t xml:space="preserve">At the time of data acquisition, RLRR did not yet cover the Central Denmark Region, and laboratory results from this part of the the population was extracted from the CLIS/LABKA ref</w:t>
      </w:r>
    </w:p>
    <w:bookmarkEnd w:id="106"/>
    <w:bookmarkEnd w:id="107"/>
    <w:bookmarkStart w:id="110" w:name="diabetes-classification-algorithms"/>
    <w:p>
      <w:pPr>
        <w:pStyle w:val="Heading2"/>
      </w:pPr>
      <w:r>
        <w:t xml:space="preserve">3.3 Diabetes classification algorithms</w:t>
      </w:r>
    </w:p>
    <w:p>
      <w:pPr>
        <w:pStyle w:val="FirstParagraph"/>
      </w:pPr>
      <w:r>
        <w:rPr>
          <w:iCs/>
          <w:i/>
        </w:rPr>
        <w:t xml:space="preserve">[A short intro on why we decided to develop a novel algorithm to classify diabetes instead of just validating the existing classifier].</w:t>
      </w:r>
      <w:r>
        <w:t xml:space="preserve"> </w:t>
      </w:r>
      <w:r>
        <w:t xml:space="preserve">Introduce OSDC and RSCD abbreviations</w:t>
      </w:r>
    </w:p>
    <w:p>
      <w:pPr>
        <w:pStyle w:val="BodyText"/>
      </w:pPr>
      <w:r>
        <w:t xml:space="preserve">As a point of reference in validation, we developed an implementation of the algorithms of the RSCD diabetes classifier (version 1.0, August 2016) according to official documentation.</w:t>
      </w:r>
      <w:r>
        <w:rPr>
          <w:vertAlign w:val="superscript"/>
        </w:rPr>
        <w:t xml:space="preserve">27</w:t>
      </w:r>
    </w:p>
    <w:p>
      <w:pPr>
        <w:pStyle w:val="BodyText"/>
      </w:pPr>
      <w:r>
        <w:t xml:space="preserve">The following sections describe the algorithms behind each diabetes classifier.</w:t>
      </w:r>
    </w:p>
    <w:p>
      <w:pPr>
        <w:pStyle w:val="BodyText"/>
      </w:pPr>
      <w:r>
        <w:rPr>
          <w:iCs/>
          <w:i/>
        </w:rPr>
        <w:t xml:space="preserve">[detailed discussion of choices in OSDC, e.g. on obstetric coding, and pros/cons of RSCD goes in chapter 5]</w:t>
      </w:r>
    </w:p>
    <w:bookmarkStart w:id="108" w:name="the-open-source-diabetes-classifier"/>
    <w:p>
      <w:pPr>
        <w:pStyle w:val="Heading3"/>
      </w:pPr>
      <w:r>
        <w:t xml:space="preserve">3.3.1 The Open-Source Diabetes Classifier</w:t>
      </w:r>
    </w:p>
    <w:p>
      <w:pPr>
        <w:pStyle w:val="FirstParagraph"/>
      </w:pPr>
      <w:r>
        <w:rPr>
          <w:iCs/>
          <w:i/>
        </w:rPr>
        <w:t xml:space="preserve">[CP from validation paper]</w:t>
      </w:r>
    </w:p>
    <w:bookmarkEnd w:id="108"/>
    <w:bookmarkStart w:id="109" w:name="Xc96988680c3534542edd8acf317c72c79dc613c"/>
    <w:p>
      <w:pPr>
        <w:pStyle w:val="Heading3"/>
      </w:pPr>
      <w:r>
        <w:t xml:space="preserve">3.3.2 The Register of Selected Chronic Diseases</w:t>
      </w:r>
    </w:p>
    <w:p>
      <w:pPr>
        <w:pStyle w:val="FirstParagraph"/>
      </w:pPr>
      <w:r>
        <w:rPr>
          <w:iCs/>
          <w:i/>
        </w:rPr>
        <w:t xml:space="preserve">[CP from validation paper]</w:t>
      </w:r>
    </w:p>
    <w:bookmarkEnd w:id="109"/>
    <w:bookmarkEnd w:id="110"/>
    <w:bookmarkStart w:id="113" w:name="validation-questionnaire-data"/>
    <w:p>
      <w:pPr>
        <w:pStyle w:val="Heading2"/>
      </w:pPr>
      <w:r>
        <w:t xml:space="preserve">3.4 Validation Questionnaire data</w:t>
      </w:r>
    </w:p>
    <w:bookmarkStart w:id="111" w:name="the-health-in-central-denmark-survey"/>
    <w:p>
      <w:pPr>
        <w:pStyle w:val="Heading3"/>
      </w:pPr>
      <w:r>
        <w:t xml:space="preserve">3.4.1 The Health In Central Denmark survey</w:t>
      </w:r>
    </w:p>
    <w:p>
      <w:pPr>
        <w:pStyle w:val="FirstParagraph"/>
      </w:pPr>
      <w:r>
        <w:t xml:space="preserve">Describe population, inclusion, responses etc. HICD ref</w:t>
      </w:r>
    </w:p>
    <w:bookmarkEnd w:id="111"/>
    <w:bookmarkStart w:id="112" w:name="the-national-health-survey"/>
    <w:p>
      <w:pPr>
        <w:pStyle w:val="Heading3"/>
      </w:pPr>
      <w:r>
        <w:t xml:space="preserve">3.4.2 The National Health Survey</w:t>
      </w:r>
    </w:p>
    <w:p>
      <w:pPr>
        <w:pStyle w:val="FirstParagraph"/>
      </w:pPr>
      <w:r>
        <w:t xml:space="preserve">Describe population, inclusion, responses etc. NHS ref. This survey was only used for supplementary validation analyses.</w:t>
      </w:r>
    </w:p>
    <w:bookmarkEnd w:id="112"/>
    <w:bookmarkEnd w:id="113"/>
    <w:bookmarkStart w:id="125" w:name="study-design-and-population"/>
    <w:p>
      <w:pPr>
        <w:pStyle w:val="Heading2"/>
      </w:pPr>
      <w:r>
        <w:t xml:space="preserve">3.5 Study design and population</w:t>
      </w:r>
    </w:p>
    <w:p>
      <w:pPr>
        <w:pStyle w:val="FirstParagraph"/>
      </w:pPr>
      <w:r>
        <w:t xml:space="preserve">Study I was designed to examine the validity of register-based definitions of T1D and T2D, the latter of which was used to identify the population-wide study populations in studies II and III.</w:t>
      </w:r>
    </w:p>
    <w:p>
      <w:pPr>
        <w:pStyle w:val="BodyText"/>
      </w:pPr>
      <w:r>
        <w:rPr>
          <w:iCs/>
          <w:i/>
        </w:rPr>
        <w:t xml:space="preserve">[Overview table of the three studies]</w:t>
      </w:r>
    </w:p>
    <w:bookmarkStart w:id="117" w:name="study-populations"/>
    <w:p>
      <w:pPr>
        <w:pStyle w:val="Heading3"/>
      </w:pPr>
      <w:r>
        <w:t xml:space="preserve">3.5.1 Study populations</w:t>
      </w:r>
    </w:p>
    <w:bookmarkStart w:id="114" w:name="study-i"/>
    <w:p>
      <w:pPr>
        <w:pStyle w:val="Heading4"/>
      </w:pPr>
      <w:r>
        <w:t xml:space="preserve">Study I</w:t>
      </w:r>
    </w:p>
    <w:p>
      <w:pPr>
        <w:pStyle w:val="FirstParagraph"/>
      </w:pPr>
      <w:r>
        <w:t xml:space="preserve">From nationwide healthcare registers, data covering the Central Denmark Region was used to identify diabetes populations using the OSDC and RSCD classifiers.</w:t>
      </w:r>
    </w:p>
    <w:bookmarkEnd w:id="114"/>
    <w:bookmarkStart w:id="115" w:name="study-ii"/>
    <w:p>
      <w:pPr>
        <w:pStyle w:val="Heading4"/>
      </w:pPr>
      <w:r>
        <w:t xml:space="preserve">Study II</w:t>
      </w:r>
    </w:p>
    <w:p>
      <w:pPr>
        <w:pStyle w:val="FirstParagraph"/>
      </w:pPr>
      <w:r>
        <w:rPr>
          <w:iCs/>
          <w:i/>
        </w:rPr>
        <w:t xml:space="preserve">[Describe the different study populations in the analyses of study II,</w:t>
      </w:r>
      <w:r>
        <w:rPr>
          <w:iCs/>
          <w:i/>
        </w:rPr>
        <w:t xml:space="preserve"> </w:t>
      </w:r>
      <w:r>
        <w:rPr>
          <w:iCs/>
          <w:i/>
        </w:rPr>
        <w:t xml:space="preserve">“</w:t>
      </w:r>
      <w:r>
        <w:rPr>
          <w:iCs/>
          <w:i/>
        </w:rPr>
        <w:t xml:space="preserve">indication for treatment</w:t>
      </w:r>
      <w:r>
        <w:rPr>
          <w:iCs/>
          <w:i/>
        </w:rPr>
        <w:t xml:space="preserve">”</w:t>
      </w:r>
      <w:r>
        <w:rPr>
          <w:iCs/>
          <w:i/>
        </w:rPr>
        <w:t xml:space="preserve">, and the reason for exclusions]</w:t>
      </w:r>
    </w:p>
    <w:bookmarkEnd w:id="115"/>
    <w:bookmarkStart w:id="116" w:name="study-iii"/>
    <w:p>
      <w:pPr>
        <w:pStyle w:val="Heading4"/>
      </w:pPr>
      <w:r>
        <w:t xml:space="preserve">Study III</w:t>
      </w:r>
    </w:p>
    <w:p>
      <w:pPr>
        <w:pStyle w:val="FirstParagraph"/>
      </w:pPr>
      <w:r>
        <w:rPr>
          <w:iCs/>
          <w:i/>
        </w:rPr>
        <w:t xml:space="preserve">[Describe the study populations in study III]</w:t>
      </w:r>
    </w:p>
    <w:bookmarkEnd w:id="116"/>
    <w:bookmarkEnd w:id="117"/>
    <w:bookmarkStart w:id="122" w:name="outcomes"/>
    <w:p>
      <w:pPr>
        <w:pStyle w:val="Heading3"/>
      </w:pPr>
      <w:r>
        <w:t xml:space="preserve">3.5.2 Outcomes</w:t>
      </w:r>
    </w:p>
    <w:bookmarkStart w:id="118" w:name="study-i-1"/>
    <w:p>
      <w:pPr>
        <w:pStyle w:val="Heading4"/>
      </w:pPr>
      <w:r>
        <w:t xml:space="preserve">Study I</w:t>
      </w:r>
    </w:p>
    <w:p>
      <w:pPr>
        <w:pStyle w:val="FirstParagraph"/>
      </w:pPr>
      <w:r>
        <w:t xml:space="preserve">The validation outcomes</w:t>
      </w:r>
    </w:p>
    <w:bookmarkEnd w:id="118"/>
    <w:bookmarkStart w:id="119" w:name="study-ii-1"/>
    <w:p>
      <w:pPr>
        <w:pStyle w:val="Heading4"/>
      </w:pPr>
      <w:r>
        <w:t xml:space="preserve">Study II</w:t>
      </w:r>
    </w:p>
    <w:p>
      <w:pPr>
        <w:pStyle w:val="FirstParagraph"/>
      </w:pPr>
      <w:r>
        <w:t xml:space="preserve">Prevalence and the indicators of care quality</w:t>
      </w:r>
    </w:p>
    <w:bookmarkEnd w:id="119"/>
    <w:bookmarkStart w:id="120" w:name="study-iii-1"/>
    <w:p>
      <w:pPr>
        <w:pStyle w:val="Heading4"/>
      </w:pPr>
      <w:r>
        <w:t xml:space="preserve">Study III</w:t>
      </w:r>
    </w:p>
    <w:p>
      <w:pPr>
        <w:pStyle w:val="FirstParagraph"/>
      </w:pPr>
      <w:r>
        <w:rPr>
          <w:iCs/>
          <w:i/>
        </w:rPr>
        <w:t xml:space="preserve">Combinations therapy and individual drug types</w:t>
      </w:r>
    </w:p>
    <w:bookmarkEnd w:id="120"/>
    <w:bookmarkStart w:id="121" w:name="X0ac363f81297f25f6784c1716c992f920436232"/>
    <w:p>
      <w:pPr>
        <w:pStyle w:val="Heading4"/>
      </w:pPr>
      <w:r>
        <w:t xml:space="preserve">Timeline of all outcomes across the three studies</w:t>
      </w:r>
    </w:p>
    <w:p>
      <w:pPr>
        <w:pStyle w:val="FirstParagraph"/>
      </w:pPr>
      <w:r>
        <w:t xml:space="preserve">Make a figure.</w:t>
      </w:r>
    </w:p>
    <w:bookmarkEnd w:id="121"/>
    <w:bookmarkEnd w:id="122"/>
    <w:bookmarkStart w:id="123" w:name="Xc2981d17aee31a72614fb65c3ca405dc4137d16"/>
    <w:p>
      <w:pPr>
        <w:pStyle w:val="Heading3"/>
      </w:pPr>
      <w:r>
        <w:t xml:space="preserve">3.5.3 Primary variable of interest: migrant status</w:t>
      </w:r>
    </w:p>
    <w:p>
      <w:pPr>
        <w:pStyle w:val="FirstParagraph"/>
      </w:pPr>
      <w:r>
        <w:rPr>
          <w:iCs/>
          <w:i/>
        </w:rPr>
        <w:t xml:space="preserve">[CP from papers]</w:t>
      </w:r>
    </w:p>
    <w:bookmarkEnd w:id="123"/>
    <w:bookmarkStart w:id="124" w:name="other-explanatory-variables"/>
    <w:p>
      <w:pPr>
        <w:pStyle w:val="Heading3"/>
      </w:pPr>
      <w:r>
        <w:t xml:space="preserve">3.5.4 Other explanatory variables</w:t>
      </w:r>
    </w:p>
    <w:p>
      <w:pPr>
        <w:pStyle w:val="FirstParagraph"/>
      </w:pPr>
      <w:r>
        <w:rPr>
          <w:iCs/>
          <w:i/>
        </w:rPr>
        <w:t xml:space="preserve">[CP from papers]</w:t>
      </w:r>
    </w:p>
    <w:bookmarkEnd w:id="124"/>
    <w:bookmarkEnd w:id="125"/>
    <w:bookmarkStart w:id="128" w:name="statistical-analysis"/>
    <w:p>
      <w:pPr>
        <w:pStyle w:val="Heading2"/>
      </w:pPr>
      <w:r>
        <w:t xml:space="preserve">3.6 Statistical analysis</w:t>
      </w:r>
    </w:p>
    <w:bookmarkStart w:id="126" w:name="study-i-2"/>
    <w:p>
      <w:pPr>
        <w:pStyle w:val="Heading4"/>
      </w:pPr>
      <w:r>
        <w:t xml:space="preserve">Study I</w:t>
      </w:r>
    </w:p>
    <w:p>
      <w:pPr>
        <w:pStyle w:val="FirstParagraph"/>
      </w:pPr>
      <w:r>
        <w:t xml:space="preserve">Validation: Introduce sensitivity, PPV and other validation metrics.</w:t>
      </w:r>
    </w:p>
    <w:bookmarkEnd w:id="126"/>
    <w:bookmarkStart w:id="127" w:name="study-ii-iii"/>
    <w:p>
      <w:pPr>
        <w:pStyle w:val="Heading4"/>
      </w:pPr>
      <w:r>
        <w:t xml:space="preserve">Study II &amp; III</w:t>
      </w:r>
    </w:p>
    <w:p>
      <w:pPr>
        <w:pStyle w:val="FirstParagraph"/>
      </w:pPr>
      <w:r>
        <w:t xml:space="preserve">Robust poisson regression. Why we chose the models that we did.</w:t>
      </w:r>
    </w:p>
    <w:bookmarkEnd w:id="127"/>
    <w:bookmarkEnd w:id="128"/>
    <w:bookmarkStart w:id="129" w:name="ethics-and-approval"/>
    <w:p>
      <w:pPr>
        <w:pStyle w:val="Heading2"/>
      </w:pPr>
      <w:r>
        <w:t xml:space="preserve">3.7 Ethics and approval</w:t>
      </w:r>
    </w:p>
    <w:bookmarkEnd w:id="129"/>
    <w:bookmarkEnd w:id="130"/>
    <w:bookmarkStart w:id="143" w:name="results-in-summary"/>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33" w:name="study-i-3"/>
    <w:p>
      <w:pPr>
        <w:pStyle w:val="Heading2"/>
      </w:pPr>
      <w:r>
        <w:t xml:space="preserve">4.1 Study I</w:t>
      </w:r>
    </w:p>
    <w:p>
      <w:pPr>
        <w:pStyle w:val="FirstParagraph"/>
      </w:pPr>
      <w:r>
        <w:t xml:space="preserve">In this study, we identified… Number of participants, diabetes cases etc.</w:t>
      </w:r>
    </w:p>
    <w:bookmarkStart w:id="131" w:name="X2c4e00cb79465be4bd897971c25c5940539d1ce"/>
    <w:p>
      <w:pPr>
        <w:pStyle w:val="Heading3"/>
      </w:pPr>
      <w:r>
        <w:t xml:space="preserve">4.1.1 Register-based classification of type 1 diabetes</w:t>
      </w:r>
    </w:p>
    <w:p>
      <w:pPr>
        <w:pStyle w:val="FirstParagraph"/>
      </w:pPr>
      <w:r>
        <w:t xml:space="preserve">metrics</w:t>
      </w:r>
    </w:p>
    <w:bookmarkEnd w:id="131"/>
    <w:bookmarkStart w:id="132" w:name="Xcc3df92730082084de86bcf0131099cbf46b566"/>
    <w:p>
      <w:pPr>
        <w:pStyle w:val="Heading3"/>
      </w:pPr>
      <w:r>
        <w:t xml:space="preserve">4.1.2 Register-based classification of type 2 diabetes</w:t>
      </w:r>
    </w:p>
    <w:p>
      <w:pPr>
        <w:pStyle w:val="FirstParagraph"/>
      </w:pPr>
      <w:r>
        <w:t xml:space="preserve">metrics</w:t>
      </w:r>
    </w:p>
    <w:bookmarkEnd w:id="132"/>
    <w:bookmarkEnd w:id="133"/>
    <w:bookmarkStart w:id="139" w:name="study-ii-2"/>
    <w:p>
      <w:pPr>
        <w:pStyle w:val="Heading2"/>
      </w:pPr>
      <w:r>
        <w:t xml:space="preserve">4.2 Study II</w:t>
      </w:r>
    </w:p>
    <w:p>
      <w:pPr>
        <w:pStyle w:val="FirstParagraph"/>
      </w:pPr>
      <w:r>
        <w:t xml:space="preserve">[Maybe for each outcome?] In this study, we identified… Number of participants, diabetes cases etc.</w:t>
      </w:r>
    </w:p>
    <w:bookmarkStart w:id="134" w:name="prevalence"/>
    <w:p>
      <w:pPr>
        <w:pStyle w:val="Heading3"/>
      </w:pPr>
      <w:r>
        <w:t xml:space="preserve">4.2.1 Prevalence</w:t>
      </w:r>
    </w:p>
    <w:bookmarkEnd w:id="134"/>
    <w:bookmarkStart w:id="135" w:name="monitoring-2"/>
    <w:p>
      <w:pPr>
        <w:pStyle w:val="Heading3"/>
      </w:pPr>
      <w:r>
        <w:t xml:space="preserve">4.2.2 Monitoring</w:t>
      </w:r>
    </w:p>
    <w:bookmarkEnd w:id="135"/>
    <w:bookmarkStart w:id="136" w:name="biomarker-control"/>
    <w:p>
      <w:pPr>
        <w:pStyle w:val="Heading3"/>
      </w:pPr>
      <w:r>
        <w:t xml:space="preserve">4.2.3 Biomarker control</w:t>
      </w:r>
    </w:p>
    <w:bookmarkEnd w:id="136"/>
    <w:bookmarkStart w:id="137" w:name="pharmacological-treatment-2"/>
    <w:p>
      <w:pPr>
        <w:pStyle w:val="Heading3"/>
      </w:pPr>
      <w:r>
        <w:t xml:space="preserve">4.2.4 Pharmacological treatment</w:t>
      </w:r>
    </w:p>
    <w:bookmarkEnd w:id="137"/>
    <w:bookmarkStart w:id="138" w:name="section"/>
    <w:p>
      <w:pPr>
        <w:pStyle w:val="Heading3"/>
      </w:pPr>
      <w:r>
        <w:t xml:space="preserve">4.2.5</w:t>
      </w:r>
      <w:r>
        <w:t xml:space="preserve"> </w:t>
      </w:r>
    </w:p>
    <w:bookmarkEnd w:id="138"/>
    <w:bookmarkEnd w:id="139"/>
    <w:bookmarkStart w:id="142" w:name="study-iii-2"/>
    <w:p>
      <w:pPr>
        <w:pStyle w:val="Heading2"/>
      </w:pPr>
      <w:r>
        <w:t xml:space="preserve">4.3 Study III</w:t>
      </w:r>
    </w:p>
    <w:p>
      <w:pPr>
        <w:pStyle w:val="FirstParagraph"/>
      </w:pPr>
      <w:r>
        <w:t xml:space="preserve">In this study, we identified… Number of participants, diabetes cases etc.</w:t>
      </w:r>
    </w:p>
    <w:bookmarkStart w:id="140" w:name="combination-therapy"/>
    <w:p>
      <w:pPr>
        <w:pStyle w:val="Heading3"/>
      </w:pPr>
      <w:r>
        <w:t xml:space="preserve">4.3.1 Combination therapy</w:t>
      </w:r>
    </w:p>
    <w:bookmarkEnd w:id="140"/>
    <w:bookmarkStart w:id="141" w:name="drug-types"/>
    <w:p>
      <w:pPr>
        <w:pStyle w:val="Heading3"/>
      </w:pPr>
      <w:r>
        <w:t xml:space="preserve">4.3.2 Drug types</w:t>
      </w:r>
    </w:p>
    <w:bookmarkEnd w:id="141"/>
    <w:bookmarkEnd w:id="142"/>
    <w:bookmarkEnd w:id="143"/>
    <w:bookmarkStart w:id="152" w:name="discussion-of-methods"/>
    <w:p>
      <w:pPr>
        <w:pStyle w:val="Heading1"/>
      </w:pPr>
      <w:r>
        <w:t xml:space="preserve">5. Discussion of methods</w:t>
      </w:r>
    </w:p>
    <w:bookmarkStart w:id="144" w:name="study-designs"/>
    <w:p>
      <w:pPr>
        <w:pStyle w:val="Heading2"/>
      </w:pPr>
      <w:r>
        <w:t xml:space="preserve">5.1 Study designs</w:t>
      </w:r>
    </w:p>
    <w:bookmarkEnd w:id="144"/>
    <w:bookmarkStart w:id="148" w:name="internal-validity"/>
    <w:p>
      <w:pPr>
        <w:pStyle w:val="Heading2"/>
      </w:pPr>
      <w:r>
        <w:t xml:space="preserve">5.2 Internal validity</w:t>
      </w:r>
    </w:p>
    <w:bookmarkStart w:id="145" w:name="selection-bias"/>
    <w:p>
      <w:pPr>
        <w:pStyle w:val="Heading3"/>
      </w:pPr>
      <w:r>
        <w:t xml:space="preserve">5.2.1 Selection bias</w:t>
      </w:r>
    </w:p>
    <w:bookmarkEnd w:id="145"/>
    <w:bookmarkStart w:id="146" w:name="information-bias"/>
    <w:p>
      <w:pPr>
        <w:pStyle w:val="Heading3"/>
      </w:pPr>
      <w:r>
        <w:t xml:space="preserve">5.2.2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bookmarkEnd w:id="146"/>
    <w:bookmarkStart w:id="147" w:name="confounding"/>
    <w:p>
      <w:pPr>
        <w:pStyle w:val="Heading3"/>
      </w:pPr>
      <w:r>
        <w:t xml:space="preserve">5.2.3 Confounding</w:t>
      </w:r>
    </w:p>
    <w:p>
      <w:pPr>
        <w:pStyle w:val="FirstParagraph"/>
      </w:pPr>
      <w:r>
        <w:t xml:space="preserve">Studies II and III mapped risks, not causal associations</w:t>
      </w:r>
    </w:p>
    <w:bookmarkEnd w:id="147"/>
    <w:bookmarkEnd w:id="148"/>
    <w:bookmarkStart w:id="150" w:name="external-validity"/>
    <w:p>
      <w:pPr>
        <w:pStyle w:val="Heading2"/>
      </w:pPr>
      <w:r>
        <w:t xml:space="preserve">5.3 External validity</w:t>
      </w:r>
    </w:p>
    <w:bookmarkStart w:id="149" w:name="generalizability"/>
    <w:p>
      <w:pPr>
        <w:pStyle w:val="Heading3"/>
      </w:pPr>
      <w:r>
        <w:t xml:space="preserve">5.3.1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bookmarkEnd w:id="149"/>
    <w:bookmarkEnd w:id="150"/>
    <w:bookmarkStart w:id="151" w:name="analyses"/>
    <w:p>
      <w:pPr>
        <w:pStyle w:val="Heading2"/>
      </w:pPr>
      <w:r>
        <w:t xml:space="preserve">5.4 Analyses</w:t>
      </w:r>
    </w:p>
    <w:p>
      <w:pPr>
        <w:pStyle w:val="FirstParagraph"/>
      </w:pPr>
      <w:r>
        <w:t xml:space="preserve">Robust poisson regression provides more intuitive estimates of relative risk than logistic regression in studies where the outcome of interest is not rare.</w:t>
      </w:r>
    </w:p>
    <w:bookmarkEnd w:id="151"/>
    <w:bookmarkEnd w:id="152"/>
    <w:bookmarkStart w:id="157" w:name="discussion-of-results"/>
    <w:p>
      <w:pPr>
        <w:pStyle w:val="Heading1"/>
      </w:pPr>
      <w:r>
        <w:t xml:space="preserve">6. Discussion of results</w:t>
      </w:r>
    </w:p>
    <w:bookmarkStart w:id="156"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53" w:name="study-i-4"/>
    <w:p>
      <w:pPr>
        <w:pStyle w:val="Heading3"/>
      </w:pPr>
      <w:r>
        <w:t xml:space="preserve">6.1.1 Study I</w:t>
      </w:r>
    </w:p>
    <w:p>
      <w:pPr>
        <w:pStyle w:val="FirstParagraph"/>
      </w:pPr>
      <w:r>
        <w:rPr>
          <w:iCs/>
          <w:i/>
        </w:rPr>
        <w:t xml:space="preserve">[probably mostly CP from paper?]</w:t>
      </w:r>
    </w:p>
    <w:bookmarkEnd w:id="153"/>
    <w:bookmarkStart w:id="154" w:name="study-ii-3"/>
    <w:p>
      <w:pPr>
        <w:pStyle w:val="Heading3"/>
      </w:pPr>
      <w:r>
        <w:t xml:space="preserve">6.1.2 Study II</w:t>
      </w:r>
    </w:p>
    <w:p>
      <w:pPr>
        <w:pStyle w:val="FirstParagraph"/>
      </w:pPr>
      <w:r>
        <w:rPr>
          <w:iCs/>
          <w:i/>
        </w:rPr>
        <w:t xml:space="preserve">[probably mostly CP from paper?]</w:t>
      </w:r>
    </w:p>
    <w:bookmarkEnd w:id="154"/>
    <w:bookmarkStart w:id="155" w:name="study-iii-3"/>
    <w:p>
      <w:pPr>
        <w:pStyle w:val="Heading3"/>
      </w:pPr>
      <w:r>
        <w:t xml:space="preserve">6.1.3 Study III</w:t>
      </w:r>
    </w:p>
    <w:p>
      <w:pPr>
        <w:pStyle w:val="FirstParagraph"/>
      </w:pPr>
      <w:r>
        <w:rPr>
          <w:iCs/>
          <w:i/>
        </w:rPr>
        <w:t xml:space="preserve">[probably mostly CP from paper?]</w:t>
      </w:r>
    </w:p>
    <w:bookmarkEnd w:id="155"/>
    <w:bookmarkEnd w:id="156"/>
    <w:bookmarkEnd w:id="157"/>
    <w:bookmarkStart w:id="160" w:name="conclusions-and-implications"/>
    <w:p>
      <w:pPr>
        <w:pStyle w:val="Heading1"/>
      </w:pPr>
      <w:r>
        <w:t xml:space="preserve">7. Conclusions and implications</w:t>
      </w:r>
    </w:p>
    <w:bookmarkStart w:id="158" w:name="main-conclusions"/>
    <w:p>
      <w:pPr>
        <w:pStyle w:val="Heading2"/>
      </w:pPr>
      <w:r>
        <w:t xml:space="preserve">7.1 Main conclusions</w:t>
      </w:r>
    </w:p>
    <w:p>
      <w:pPr>
        <w:pStyle w:val="FirstParagraph"/>
      </w:pPr>
      <w:r>
        <w:rPr>
          <w:iCs/>
          <w:i/>
        </w:rPr>
        <w:t xml:space="preserve">[probably mostly CP from papers]</w:t>
      </w:r>
    </w:p>
    <w:bookmarkEnd w:id="158"/>
    <w:bookmarkStart w:id="159"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59"/>
    <w:bookmarkEnd w:id="160"/>
    <w:bookmarkStart w:id="163" w:name="perspectives-and-future-research"/>
    <w:p>
      <w:pPr>
        <w:pStyle w:val="Heading1"/>
      </w:pPr>
      <w:r>
        <w:t xml:space="preserve">8. Perspectives and future research</w:t>
      </w:r>
    </w:p>
    <w:bookmarkStart w:id="161"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61"/>
    <w:bookmarkStart w:id="162"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bookmarkEnd w:id="162"/>
    <w:bookmarkEnd w:id="163"/>
    <w:bookmarkStart w:id="204" w:name="references"/>
    <w:p>
      <w:pPr>
        <w:pStyle w:val="Heading1"/>
      </w:pPr>
      <w:r>
        <w:t xml:space="preserve">References</w:t>
      </w:r>
    </w:p>
    <w:bookmarkStart w:id="203" w:name="refs"/>
    <w:bookmarkStart w:id="165"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64">
        <w:r>
          <w:rPr>
            <w:rStyle w:val="Hyperlink"/>
          </w:rPr>
          <w:t xml:space="preserve">https://www.sciencedirect.com/science/article/pii/S0168822721004782</w:t>
        </w:r>
      </w:hyperlink>
    </w:p>
    <w:bookmarkEnd w:id="165"/>
    <w:bookmarkStart w:id="167" w:name="ref-befpyramide"/>
    <w:p>
      <w:pPr>
        <w:pStyle w:val="Bibliography"/>
      </w:pPr>
      <w:r>
        <w:t xml:space="preserve">2.</w:t>
      </w:r>
      <w:r>
        <w:t xml:space="preserve"> </w:t>
      </w:r>
      <w:r>
        <w:t xml:space="preserve">	</w:t>
      </w:r>
      <w:r>
        <w:t xml:space="preserve">Danmarks Statistik [Statistics Denmark].</w:t>
      </w:r>
      <w:r>
        <w:t xml:space="preserve"> </w:t>
      </w:r>
      <w:r>
        <w:t xml:space="preserve">Befolkningsfremskrivning: Indvandrere og efterkommere [English: Population projection: Immigrants and descendants]</w:t>
      </w:r>
      <w:r>
        <w:t xml:space="preserve"> </w:t>
      </w:r>
      <w:r>
        <w:t xml:space="preserve">[Internet]. {2019-2039; last accessed on 7 Feb 2023};Available from:</w:t>
      </w:r>
      <w:r>
        <w:t xml:space="preserve"> </w:t>
      </w:r>
      <w:hyperlink r:id="rId166">
        <w:r>
          <w:rPr>
            <w:rStyle w:val="Hyperlink"/>
          </w:rPr>
          <w:t xml:space="preserve">https://extranet.dst.dk/pyramide/pyramide.htm#!y=2039&amp;o=2019&amp;c=4</w:t>
        </w:r>
      </w:hyperlink>
    </w:p>
    <w:bookmarkEnd w:id="167"/>
    <w:bookmarkStart w:id="169" w:name="ref-erayil2021raceethnicity"/>
    <w:p>
      <w:pPr>
        <w:pStyle w:val="Bibliography"/>
      </w:pPr>
      <w:r>
        <w:t xml:space="preserve">3.</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68">
        <w:r>
          <w:rPr>
            <w:rStyle w:val="Hyperlink"/>
          </w:rPr>
          <w:t xml:space="preserve">https://www.ajtmh.org/view/journals/tpmd/105/6/article-p1453.xml</w:t>
        </w:r>
      </w:hyperlink>
    </w:p>
    <w:bookmarkEnd w:id="169"/>
    <w:bookmarkStart w:id="171" w:name="ref-unhcrfaq"/>
    <w:p>
      <w:pPr>
        <w:pStyle w:val="Bibliography"/>
      </w:pPr>
      <w:r>
        <w:t xml:space="preserve">4.</w:t>
      </w:r>
      <w:r>
        <w:t xml:space="preserve"> </w:t>
      </w:r>
      <w:r>
        <w:t xml:space="preserve">	</w:t>
      </w:r>
      <w:r>
        <w:t xml:space="preserve">UNHCR.</w:t>
      </w:r>
      <w:r>
        <w:t xml:space="preserve"> </w:t>
      </w:r>
      <w:r>
        <w:t xml:space="preserve">“Refugees”</w:t>
      </w:r>
      <w:r>
        <w:t xml:space="preserve"> </w:t>
      </w:r>
      <w:r>
        <w:t xml:space="preserve">and</w:t>
      </w:r>
      <w:r>
        <w:t xml:space="preserve"> </w:t>
      </w:r>
      <w:r>
        <w:t xml:space="preserve">“Migrants”</w:t>
      </w:r>
      <w:r>
        <w:t xml:space="preserve"> </w:t>
      </w:r>
      <w:r>
        <w:t xml:space="preserve">– Frequently Asked Questions (FAQs)</w:t>
      </w:r>
      <w:r>
        <w:t xml:space="preserve"> </w:t>
      </w:r>
      <w:r>
        <w:t xml:space="preserve">[Internet]. {2016; last accessed on 7 Feb 2023};Available from:</w:t>
      </w:r>
      <w:r>
        <w:t xml:space="preserve"> </w:t>
      </w:r>
      <w:hyperlink r:id="rId170">
        <w:r>
          <w:rPr>
            <w:rStyle w:val="Hyperlink"/>
          </w:rPr>
          <w:t xml:space="preserve">https://www.unhcr.org/en-us/news/latest/2016/3/56e95c676/refugees-migrants-frequently-asked-questions-faqs.html</w:t>
        </w:r>
      </w:hyperlink>
    </w:p>
    <w:bookmarkEnd w:id="171"/>
    <w:bookmarkStart w:id="173" w:name="ref-dublinregulation"/>
    <w:p>
      <w:pPr>
        <w:pStyle w:val="Bibliography"/>
      </w:pPr>
      <w:r>
        <w:t xml:space="preserve">5.</w:t>
      </w:r>
      <w:r>
        <w:t xml:space="preserve"> </w:t>
      </w:r>
      <w:r>
        <w:t xml:space="preserve">	</w:t>
      </w:r>
      <w:r>
        <w:t xml:space="preserve">European Commission, Migration and Home Affairs.</w:t>
      </w:r>
      <w:r>
        <w:t xml:space="preserve"> </w:t>
      </w:r>
      <w:r>
        <w:t xml:space="preserve">Country responsible for asylum application (Dublin Regulation)</w:t>
      </w:r>
      <w:r>
        <w:t xml:space="preserve"> </w:t>
      </w:r>
      <w:r>
        <w:t xml:space="preserve">[Internet]. {last accessed on 7 Feb 2023};Available from:</w:t>
      </w:r>
      <w:r>
        <w:t xml:space="preserve"> </w:t>
      </w:r>
      <w:hyperlink r:id="rId172">
        <w:r>
          <w:rPr>
            <w:rStyle w:val="Hyperlink"/>
          </w:rPr>
          <w:t xml:space="preserve">https://home-affairs.ec.europa.eu/policies/migration-and-asylum/common-european-asylum-system/country-responsible-asylum-application-dublin-regulation_en</w:t>
        </w:r>
      </w:hyperlink>
    </w:p>
    <w:bookmarkEnd w:id="173"/>
    <w:bookmarkStart w:id="175" w:name="ref-familyreunion"/>
    <w:p>
      <w:pPr>
        <w:pStyle w:val="Bibliography"/>
      </w:pPr>
      <w:r>
        <w:t xml:space="preserve">6.</w:t>
      </w:r>
      <w:r>
        <w:t xml:space="preserve"> </w:t>
      </w:r>
      <w:r>
        <w:t xml:space="preserve">	</w:t>
      </w:r>
      <w:r>
        <w:t xml:space="preserve">The Danish Immigration Service.</w:t>
      </w:r>
      <w:r>
        <w:t xml:space="preserve"> </w:t>
      </w:r>
      <w:r>
        <w:t xml:space="preserve">New to Denmark: You want to apply as a family member</w:t>
      </w:r>
      <w:r>
        <w:t xml:space="preserve"> </w:t>
      </w:r>
      <w:r>
        <w:t xml:space="preserve">[Internet]. {last accessed on 7 Feb 2023};Available from:</w:t>
      </w:r>
      <w:r>
        <w:t xml:space="preserve"> </w:t>
      </w:r>
      <w:hyperlink r:id="rId174">
        <w:r>
          <w:rPr>
            <w:rStyle w:val="Hyperlink"/>
          </w:rPr>
          <w:t xml:space="preserve">https://nyidanmark.dk/uk-UA/You-want-to-apply/Family</w:t>
        </w:r>
      </w:hyperlink>
    </w:p>
    <w:bookmarkEnd w:id="175"/>
    <w:bookmarkStart w:id="177" w:name="ref-residencework"/>
    <w:p>
      <w:pPr>
        <w:pStyle w:val="Bibliography"/>
      </w:pPr>
      <w:r>
        <w:t xml:space="preserve">7.</w:t>
      </w:r>
      <w:r>
        <w:t xml:space="preserve"> </w:t>
      </w:r>
      <w:r>
        <w:t xml:space="preserve">	</w:t>
      </w:r>
      <w:r>
        <w:t xml:space="preserve">The Danish Immigration Service.</w:t>
      </w:r>
      <w:r>
        <w:t xml:space="preserve"> </w:t>
      </w:r>
      <w:r>
        <w:t xml:space="preserve">New to Denmark: You want to apply for a work permit</w:t>
      </w:r>
      <w:r>
        <w:t xml:space="preserve"> </w:t>
      </w:r>
      <w:r>
        <w:t xml:space="preserve">[Internet]. {last accessed on 7 Feb 2023};Available from:</w:t>
      </w:r>
      <w:r>
        <w:t xml:space="preserve"> </w:t>
      </w:r>
      <w:hyperlink r:id="rId176">
        <w:r>
          <w:rPr>
            <w:rStyle w:val="Hyperlink"/>
          </w:rPr>
          <w:t xml:space="preserve">https://nyidanmark.dk/uk-UA/You-want-to-apply/Work</w:t>
        </w:r>
      </w:hyperlink>
    </w:p>
    <w:bookmarkEnd w:id="177"/>
    <w:bookmarkStart w:id="179" w:name="ref-residencestudy"/>
    <w:p>
      <w:pPr>
        <w:pStyle w:val="Bibliography"/>
      </w:pPr>
      <w:r>
        <w:t xml:space="preserve">8.</w:t>
      </w:r>
      <w:r>
        <w:t xml:space="preserve"> </w:t>
      </w:r>
      <w:r>
        <w:t xml:space="preserve">	</w:t>
      </w:r>
      <w:r>
        <w:t xml:space="preserve">The Danish Immigration Service.</w:t>
      </w:r>
      <w:r>
        <w:t xml:space="preserve"> </w:t>
      </w:r>
      <w:r>
        <w:t xml:space="preserve">New to Denmark: You want to apply for a residence and work permit as a student</w:t>
      </w:r>
      <w:r>
        <w:t xml:space="preserve"> </w:t>
      </w:r>
      <w:r>
        <w:t xml:space="preserve">[Internet]. {last accessed on 7 Feb 2023};Available from:</w:t>
      </w:r>
      <w:r>
        <w:t xml:space="preserve"> </w:t>
      </w:r>
      <w:hyperlink r:id="rId178">
        <w:r>
          <w:rPr>
            <w:rStyle w:val="Hyperlink"/>
          </w:rPr>
          <w:t xml:space="preserve">https://nyidanmark.dk/uk-UA/You-want-to-apply/Study</w:t>
        </w:r>
      </w:hyperlink>
    </w:p>
    <w:bookmarkEnd w:id="179"/>
    <w:bookmarkStart w:id="181" w:name="ref-residencenordic"/>
    <w:p>
      <w:pPr>
        <w:pStyle w:val="Bibliography"/>
      </w:pPr>
      <w:r>
        <w:t xml:space="preserve">9.</w:t>
      </w:r>
      <w:r>
        <w:t xml:space="preserve"> </w:t>
      </w:r>
      <w:r>
        <w:t xml:space="preserve">	</w:t>
      </w:r>
      <w:r>
        <w:t xml:space="preserve">The Danish Immigration Service.</w:t>
      </w:r>
      <w:r>
        <w:t xml:space="preserve"> </w:t>
      </w:r>
      <w:r>
        <w:t xml:space="preserve">New to Denmark: Nordic citizens</w:t>
      </w:r>
      <w:r>
        <w:t xml:space="preserve"> </w:t>
      </w:r>
      <w:r>
        <w:t xml:space="preserve">[Internet]. {last accessed on 7 Feb 2023};Available from:</w:t>
      </w:r>
      <w:r>
        <w:t xml:space="preserve"> </w:t>
      </w:r>
      <w:hyperlink r:id="rId180">
        <w:r>
          <w:rPr>
            <w:rStyle w:val="Hyperlink"/>
          </w:rPr>
          <w:t xml:space="preserve">https://nyidanmark.dk/uk-UA/You-want-to-apply/Residence-as-a-Nordic-citizen-or-EU-or-EEA-citizen/Nordic-citizens</w:t>
        </w:r>
      </w:hyperlink>
    </w:p>
    <w:bookmarkEnd w:id="181"/>
    <w:bookmarkStart w:id="183" w:name="ref-eventsabroad"/>
    <w:p>
      <w:pPr>
        <w:pStyle w:val="Bibliography"/>
      </w:pPr>
      <w:r>
        <w:t xml:space="preserve">10.</w:t>
      </w:r>
      <w:r>
        <w:t xml:space="preserve"> </w:t>
      </w:r>
      <w:r>
        <w:t xml:space="preserve">	</w:t>
      </w:r>
      <w:r>
        <w:t xml:space="preserve">Indenrigs- og Boligministeriet [English: Ministry of the Interior and Housing].</w:t>
      </w:r>
      <w:r>
        <w:t xml:space="preserve"> </w:t>
      </w:r>
      <w:r>
        <w:t xml:space="preserve">Vejledning om folkeregistrering, bilag 1: Registrering af hændelser i udlandet [English: Civil registration guidelines, appendix 1: Registration of events abroad]</w:t>
      </w:r>
      <w:r>
        <w:t xml:space="preserve"> </w:t>
      </w:r>
      <w:r>
        <w:t xml:space="preserve">[Internet]. {2013; last accessed on 7 Feb 2023};Available from:</w:t>
      </w:r>
      <w:r>
        <w:t xml:space="preserve"> </w:t>
      </w:r>
      <w:hyperlink r:id="rId182">
        <w:r>
          <w:rPr>
            <w:rStyle w:val="Hyperlink"/>
          </w:rPr>
          <w:t xml:space="preserve">https://www.retsinformation.dk/eli/retsinfo/2013/9273#Bil1</w:t>
        </w:r>
      </w:hyperlink>
    </w:p>
    <w:bookmarkEnd w:id="183"/>
    <w:bookmarkStart w:id="185" w:name="ref-educationmigrants"/>
    <w:p>
      <w:pPr>
        <w:pStyle w:val="Bibliography"/>
      </w:pPr>
      <w:r>
        <w:t xml:space="preserve">11.</w:t>
      </w:r>
      <w:r>
        <w:t xml:space="preserve"> </w:t>
      </w:r>
      <w:r>
        <w:t xml:space="preserve">	</w:t>
      </w:r>
      <w:r>
        <w:t xml:space="preserve">Danmarks Statistik [English: Statistics Denmark].</w:t>
      </w:r>
      <w:r>
        <w:t xml:space="preserve"> </w:t>
      </w:r>
      <w:r>
        <w:t xml:space="preserve">Indvandrernes medbragte uddannelse [English: Education carried by immigrants]</w:t>
      </w:r>
      <w:r>
        <w:t xml:space="preserve"> </w:t>
      </w:r>
      <w:r>
        <w:t xml:space="preserve">[Internet]. {2020; last accessed on 7 Feb 2023};Available from:</w:t>
      </w:r>
      <w:r>
        <w:t xml:space="preserve"> </w:t>
      </w:r>
      <w:hyperlink r:id="rId184">
        <w:r>
          <w:rPr>
            <w:rStyle w:val="Hyperlink"/>
          </w:rPr>
          <w:t xml:space="preserve">https://www.dst.dk/Site/Dst/SingleFiles/GetArchiveFile.aspx?fi=formid&amp;fo=medbragt-udd--pdf</w:t>
        </w:r>
      </w:hyperlink>
    </w:p>
    <w:bookmarkEnd w:id="185"/>
    <w:bookmarkStart w:id="187" w:name="ref-migrantsdenmark2019"/>
    <w:p>
      <w:pPr>
        <w:pStyle w:val="Bibliography"/>
      </w:pPr>
      <w:r>
        <w:t xml:space="preserve">12.</w:t>
      </w:r>
      <w:r>
        <w:t xml:space="preserve"> </w:t>
      </w:r>
      <w:r>
        <w:t xml:space="preserve">	</w:t>
      </w:r>
      <w:r>
        <w:t xml:space="preserve">Danmarks Statistik [English: Statistics Denmark].</w:t>
      </w:r>
      <w:r>
        <w:t xml:space="preserve"> </w:t>
      </w:r>
      <w:r>
        <w:t xml:space="preserve">Indvandrere i Danmark 2019 [English: Immigrants in Denmark 2019]</w:t>
      </w:r>
      <w:r>
        <w:t xml:space="preserve"> </w:t>
      </w:r>
      <w:r>
        <w:t xml:space="preserve">[Internet]. {2019; last accessed on 7 Feb 2023};Available from:</w:t>
      </w:r>
      <w:r>
        <w:t xml:space="preserve"> </w:t>
      </w:r>
      <w:hyperlink r:id="rId186">
        <w:r>
          <w:rPr>
            <w:rStyle w:val="Hyperlink"/>
          </w:rPr>
          <w:t xml:space="preserve">https://www.dst.dk/Site/Dst/Udgivelser/GetPubFile.aspx?id=29446&amp;sid=indv2019</w:t>
        </w:r>
      </w:hyperlink>
    </w:p>
    <w:bookmarkEnd w:id="187"/>
    <w:bookmarkStart w:id="189" w:name="ref-dst2022migrants"/>
    <w:p>
      <w:pPr>
        <w:pStyle w:val="Bibliography"/>
      </w:pPr>
      <w:r>
        <w:t xml:space="preserve">13.</w:t>
      </w:r>
      <w:r>
        <w:t xml:space="preserve"> </w:t>
      </w:r>
      <w:r>
        <w:t xml:space="preserve">	</w:t>
      </w:r>
      <w:r>
        <w:t xml:space="preserve">Danmarks Statistik [English: Statistics Denmark].</w:t>
      </w:r>
      <w:r>
        <w:t xml:space="preserve"> </w:t>
      </w:r>
      <w:r>
        <w:t xml:space="preserve">Fakta om indvandrere og efterkommere i Danmark [English: Facts on immigrants and descendants in Denmark]</w:t>
      </w:r>
      <w:r>
        <w:t xml:space="preserve"> </w:t>
      </w:r>
      <w:r>
        <w:t xml:space="preserve">[Internet]. {2022; last accessed on 7 Feb 2023};Available from:</w:t>
      </w:r>
      <w:r>
        <w:t xml:space="preserve"> </w:t>
      </w:r>
      <w:hyperlink r:id="rId188">
        <w:r>
          <w:rPr>
            <w:rStyle w:val="Hyperlink"/>
          </w:rPr>
          <w:t xml:space="preserve">https://www.dst.dk/da/Statistik/nyheder-analyser-publ/bagtal/2022/2022-08-18-fakta-om-indvandrere</w:t>
        </w:r>
      </w:hyperlink>
    </w:p>
    <w:bookmarkEnd w:id="189"/>
    <w:bookmarkStart w:id="190" w:name="ref-challengesdatamultiethnic"/>
    <w:p>
      <w:pPr>
        <w:pStyle w:val="Bibliography"/>
      </w:pPr>
      <w:r>
        <w:t xml:space="preserve">14.</w:t>
      </w:r>
      <w:r>
        <w:t xml:space="preserve"> </w:t>
      </w:r>
      <w:r>
        <w:t xml:space="preserve">	</w:t>
      </w:r>
      <w:r>
        <w:t xml:space="preserve">Kaneshiro B, Geling O, Gellert K, Millar L. The challenges of collecting data on race and ethnicity in a diverse, multiethnic state. Hawaii Med J 2011;70(8):168–71.</w:t>
      </w:r>
      <w:r>
        <w:t xml:space="preserve"> </w:t>
      </w:r>
    </w:p>
    <w:bookmarkEnd w:id="190"/>
    <w:bookmarkStart w:id="192" w:name="ref-m49"/>
    <w:p>
      <w:pPr>
        <w:pStyle w:val="Bibliography"/>
      </w:pPr>
      <w:r>
        <w:t xml:space="preserve">15.</w:t>
      </w:r>
      <w:r>
        <w:t xml:space="preserve"> </w:t>
      </w:r>
      <w:r>
        <w:t xml:space="preserve">	</w:t>
      </w:r>
      <w:r>
        <w:t xml:space="preserve">United Nations Statistics Division.</w:t>
      </w:r>
      <w:r>
        <w:t xml:space="preserve"> </w:t>
      </w:r>
      <w:r>
        <w:t xml:space="preserve">Standard country or area codes for statistical use (M49)</w:t>
      </w:r>
      <w:r>
        <w:t xml:space="preserve"> </w:t>
      </w:r>
      <w:r>
        <w:t xml:space="preserve">[Internet]. {2022; last accessed on 7 Feb 2023};Available from:</w:t>
      </w:r>
      <w:r>
        <w:t xml:space="preserve"> </w:t>
      </w:r>
      <w:hyperlink r:id="rId191">
        <w:r>
          <w:rPr>
            <w:rStyle w:val="Hyperlink"/>
          </w:rPr>
          <w:t xml:space="preserve">https://unstats.un.org/unsd/methodology/m49/</w:t>
        </w:r>
      </w:hyperlink>
    </w:p>
    <w:bookmarkEnd w:id="192"/>
    <w:bookmarkStart w:id="194" w:name="ref-docmigrants"/>
    <w:p>
      <w:pPr>
        <w:pStyle w:val="Bibliography"/>
      </w:pPr>
      <w:r>
        <w:t xml:space="preserve">16.</w:t>
      </w:r>
      <w:r>
        <w:t xml:space="preserve"> </w:t>
      </w:r>
      <w:r>
        <w:t xml:space="preserve">	</w:t>
      </w:r>
      <w:r>
        <w:t xml:space="preserve">Statistics Denmark.</w:t>
      </w:r>
      <w:r>
        <w:t xml:space="preserve"> </w:t>
      </w:r>
      <w:r>
        <w:t xml:space="preserve">Documentation of statistics for Population Projections 2019</w:t>
      </w:r>
      <w:r>
        <w:t xml:space="preserve"> </w:t>
      </w:r>
      <w:r>
        <w:t xml:space="preserve">[Internet]. {2019; last accessed on 7 Feb 2023};Available from:</w:t>
      </w:r>
      <w:r>
        <w:t xml:space="preserve"> </w:t>
      </w:r>
      <w:hyperlink r:id="rId193">
        <w:r>
          <w:rPr>
            <w:rStyle w:val="Hyperlink"/>
          </w:rPr>
          <w:t xml:space="preserve">https://www.dst.dk/Site/Dst/SingleFiles/GetArchiveFile.aspx?fi=49459100303&amp;fo=0&amp;ext=kvaldel</w:t>
        </w:r>
      </w:hyperlink>
    </w:p>
    <w:bookmarkEnd w:id="194"/>
    <w:bookmarkStart w:id="196" w:name="ref-haller2011arb"/>
    <w:p>
      <w:pPr>
        <w:pStyle w:val="Bibliography"/>
      </w:pPr>
      <w:r>
        <w:t xml:space="preserve">17.</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195">
        <w:r>
          <w:rPr>
            <w:rStyle w:val="Hyperlink"/>
          </w:rPr>
          <w:t xml:space="preserve">https://doi.org/10.1056/NEJMoa1007994</w:t>
        </w:r>
      </w:hyperlink>
    </w:p>
    <w:bookmarkEnd w:id="196"/>
    <w:bookmarkStart w:id="198" w:name="ref-zoungas2011advance"/>
    <w:p>
      <w:pPr>
        <w:pStyle w:val="Bibliography"/>
      </w:pPr>
      <w:r>
        <w:t xml:space="preserve">18.</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197">
        <w:r>
          <w:rPr>
            <w:rStyle w:val="Hyperlink"/>
          </w:rPr>
          <w:t xml:space="preserve">https://doi.org/10.2337/dc09-0959</w:t>
        </w:r>
      </w:hyperlink>
    </w:p>
    <w:bookmarkEnd w:id="198"/>
    <w:bookmarkStart w:id="200" w:name="ref-dsam2012"/>
    <w:p>
      <w:pPr>
        <w:pStyle w:val="Bibliography"/>
      </w:pPr>
      <w:r>
        <w:t xml:space="preserve">19.</w:t>
      </w:r>
      <w:r>
        <w:t xml:space="preserve"> </w:t>
      </w:r>
      <w:r>
        <w:t xml:space="preserve">	</w:t>
      </w:r>
      <w:r>
        <w:t xml:space="preserve">The Danish College of General Practitioners [Dansk Selskab for Almen Medicin].</w:t>
      </w:r>
      <w:r>
        <w:t xml:space="preserve"> </w:t>
      </w:r>
      <w:r>
        <w:t xml:space="preserve">Type 2-diabetes - et metabolisk syndrom [English: Type 2 diabetes - a metabolic syndrome]</w:t>
      </w:r>
      <w:r>
        <w:t xml:space="preserve"> </w:t>
      </w:r>
      <w:r>
        <w:t xml:space="preserve">[Internet]. {2012; last accessed on 7 Feb 2023};Available from:</w:t>
      </w:r>
      <w:r>
        <w:t xml:space="preserve"> </w:t>
      </w:r>
      <w:hyperlink r:id="rId199">
        <w:r>
          <w:rPr>
            <w:rStyle w:val="Hyperlink"/>
          </w:rPr>
          <w:t xml:space="preserve">https://vejledninger.dsam.dk/media/files/20/type-2-diabetes-2012-med-links.pdf</w:t>
        </w:r>
      </w:hyperlink>
    </w:p>
    <w:bookmarkEnd w:id="200"/>
    <w:bookmarkStart w:id="202" w:name="ref-dsam2019"/>
    <w:p>
      <w:pPr>
        <w:pStyle w:val="Bibliography"/>
      </w:pPr>
      <w:r>
        <w:t xml:space="preserve">20.</w:t>
      </w:r>
      <w:r>
        <w:t xml:space="preserve"> </w:t>
      </w:r>
      <w:r>
        <w:t xml:space="preserve">	</w:t>
      </w:r>
      <w:r>
        <w:t xml:space="preserve">The Danish College of General Practitioners [Dansk Selskab for Almen Medicin].</w:t>
      </w:r>
      <w:r>
        <w:t xml:space="preserve"> </w:t>
      </w:r>
      <w:r>
        <w:t xml:space="preserve">Type 2-diabetes - opfølgning og behandling [English: Type 2 diabetes - follow-up and treatment]</w:t>
      </w:r>
      <w:r>
        <w:t xml:space="preserve"> </w:t>
      </w:r>
      <w:r>
        <w:t xml:space="preserve">[Internet]. {2019; last accessed on 7 Feb 2023};Available from:</w:t>
      </w:r>
      <w:r>
        <w:t xml:space="preserve"> </w:t>
      </w:r>
      <w:hyperlink r:id="rId201">
        <w:r>
          <w:rPr>
            <w:rStyle w:val="Hyperlink"/>
          </w:rPr>
          <w:t xml:space="preserve">https://vejledninger.dsam.dk/type2/</w:t>
        </w:r>
      </w:hyperlink>
    </w:p>
    <w:bookmarkEnd w:id="202"/>
    <w:bookmarkEnd w:id="203"/>
    <w:bookmarkEnd w:id="204"/>
    <w:bookmarkStart w:id="205" w:name="english-summary"/>
    <w:p>
      <w:pPr>
        <w:pStyle w:val="Heading1"/>
      </w:pPr>
      <w:r>
        <w:t xml:space="preserve">English summary</w:t>
      </w:r>
    </w:p>
    <w:p>
      <w:pPr>
        <w:pStyle w:val="FirstParagraph"/>
      </w:pPr>
      <w:r>
        <w:t xml:space="preserve">This is what I spent three years on…</w:t>
      </w:r>
    </w:p>
    <w:bookmarkEnd w:id="205"/>
    <w:bookmarkStart w:id="206" w:name="dansk-resumé"/>
    <w:p>
      <w:pPr>
        <w:pStyle w:val="Heading1"/>
      </w:pPr>
      <w:r>
        <w:t xml:space="preserve">Dansk resumé</w:t>
      </w:r>
    </w:p>
    <w:p>
      <w:pPr>
        <w:pStyle w:val="FirstParagraph"/>
      </w:pPr>
      <w:r>
        <w:t xml:space="preserve">Det her brugte jeg tre år på…</w:t>
      </w:r>
    </w:p>
    <w:bookmarkEnd w:id="206"/>
    <w:bookmarkStart w:id="212" w:name="sec-supmat"/>
    <w:p>
      <w:pPr>
        <w:pStyle w:val="Heading1"/>
      </w:pPr>
      <w:r>
        <w:t xml:space="preserve">Appendix A — Supplementary material</w:t>
      </w:r>
    </w:p>
    <w:p>
      <w:pPr>
        <w:pStyle w:val="FirstParagraph"/>
      </w:pPr>
      <w:r>
        <w:t xml:space="preserve">Some results that wouldn’t fit into the main thesis</w:t>
      </w:r>
    </w:p>
    <w:bookmarkStart w:id="210" w:name="to-doquestions"/>
    <w:p>
      <w:pPr>
        <w:pStyle w:val="Heading2"/>
      </w:pPr>
      <w:r>
        <w:t xml:space="preserve">A.1 To do/Questions:</w:t>
      </w:r>
    </w:p>
    <w:p>
      <w:pPr>
        <w:numPr>
          <w:ilvl w:val="0"/>
          <w:numId w:val="1004"/>
        </w:numPr>
        <w:pStyle w:val="Compact"/>
      </w:pPr>
      <w:r>
        <w:t xml:space="preserve">Translate figures from DST</w:t>
      </w:r>
    </w:p>
    <w:p>
      <w:pPr>
        <w:pStyle w:val="FirstParagraph"/>
      </w:pPr>
      <w:r>
        <w:t xml:space="preserve">Introduction:</w:t>
      </w:r>
    </w:p>
    <w:p>
      <w:pPr>
        <w:pStyle w:val="BodyText"/>
      </w:pPr>
      <w:r>
        <w:t xml:space="preserve">Definition af migranter</w:t>
      </w:r>
    </w:p>
    <w:p>
      <w:pPr>
        <w:pStyle w:val="BodyText"/>
      </w:pPr>
      <w:r>
        <w:t xml:space="preserve">migrationer globalt: UNSD</w:t>
      </w:r>
    </w:p>
    <w:p>
      <w:pPr>
        <w:pStyle w:val="BodyText"/>
      </w:pPr>
      <w:r>
        <w:t xml:space="preserve">grupperne i Danmark</w:t>
      </w:r>
    </w:p>
    <w:p>
      <w:pPr>
        <w:pStyle w:val="BodyText"/>
      </w:pPr>
      <w:r>
        <w:t xml:space="preserve">hvad har drevet dem, og hvornår er de kommet</w:t>
      </w:r>
    </w:p>
    <w:p>
      <w:pPr>
        <w:pStyle w:val="BodyText"/>
      </w:pPr>
      <w:r>
        <w:t xml:space="preserve">Indvandrere vs. efterkommere</w:t>
      </w:r>
    </w:p>
    <w:p>
      <w:pPr>
        <w:pStyle w:val="BodyText"/>
      </w:pPr>
      <w:r>
        <w:t xml:space="preserve">DST fig. opholdsgrundlag vestlig + ikke-vestlig</w:t>
      </w:r>
    </w:p>
    <w:bookmarkStart w:id="207" w:name="clinical-guidelines"/>
    <w:p>
      <w:pPr>
        <w:pStyle w:val="Heading4"/>
      </w:pPr>
      <w:r>
        <w:t xml:space="preserve">Clinical guidelines:</w:t>
      </w:r>
    </w:p>
    <w:p>
      <w:pPr>
        <w:pStyle w:val="FirstParagraph"/>
      </w:pPr>
      <w:r>
        <w:t xml:space="preserve">Historisk udvikling/perspektiv</w:t>
      </w:r>
    </w:p>
    <w:p>
      <w:pPr>
        <w:pStyle w:val="BodyText"/>
      </w:pPr>
      <w:r>
        <w:t xml:space="preserve">Hvordan i udlandet?</w:t>
      </w:r>
    </w:p>
    <w:p>
      <w:pPr>
        <w:pStyle w:val="BodyText"/>
      </w:pPr>
      <w:r>
        <w:t xml:space="preserve">HbA1c øget? screening</w:t>
      </w:r>
    </w:p>
    <w:p>
      <w:pPr>
        <w:pStyle w:val="BodyText"/>
      </w:pPr>
      <w:r>
        <w:t xml:space="preserve">Noget om hæmoglobinopatier og gdm.</w:t>
      </w:r>
    </w:p>
    <w:p>
      <w:pPr>
        <w:pStyle w:val="BodyText"/>
      </w:pPr>
      <w:r>
        <w:t xml:space="preserve">Individuelle mål for monitorering osv.</w:t>
      </w:r>
    </w:p>
    <w:bookmarkEnd w:id="207"/>
    <w:bookmarkStart w:id="208" w:name="register-data"/>
    <w:p>
      <w:pPr>
        <w:pStyle w:val="Heading4"/>
      </w:pPr>
      <w:r>
        <w:t xml:space="preserve">Register-data</w:t>
      </w:r>
    </w:p>
    <w:p>
      <w:pPr>
        <w:pStyle w:val="FirstParagraph"/>
      </w:pPr>
      <w:r>
        <w:t xml:space="preserve">Værdien</w:t>
      </w:r>
    </w:p>
    <w:p>
      <w:pPr>
        <w:pStyle w:val="BodyText"/>
      </w:pPr>
      <w:r>
        <w:t xml:space="preserve">Hvem/Hvordan fås adgang og hvad får man adgang til.</w:t>
      </w:r>
    </w:p>
    <w:bookmarkEnd w:id="208"/>
    <w:bookmarkStart w:id="209" w:name="old"/>
    <w:p>
      <w:pPr>
        <w:pStyle w:val="Heading4"/>
      </w:pPr>
      <w:r>
        <w:t xml:space="preserve">Old</w:t>
      </w:r>
    </w:p>
    <w:p>
      <w:pPr>
        <w:numPr>
          <w:ilvl w:val="0"/>
          <w:numId w:val="1005"/>
        </w:numPr>
      </w:pPr>
      <w:r>
        <w:t xml:space="preserve">Intro:</w:t>
      </w:r>
    </w:p>
    <w:p>
      <w:pPr>
        <w:numPr>
          <w:ilvl w:val="0"/>
          <w:numId w:val="1005"/>
        </w:numPr>
      </w:pPr>
      <w:r>
        <w:t xml:space="preserve">1.1: Hvorfor?</w:t>
      </w:r>
    </w:p>
    <w:p>
      <w:pPr>
        <w:numPr>
          <w:ilvl w:val="0"/>
          <w:numId w:val="1005"/>
        </w:numPr>
      </w:pPr>
      <w:r>
        <w:t xml:space="preserve">1.1.1: Migrants &amp; type 2 diabetes</w:t>
      </w:r>
    </w:p>
    <w:p>
      <w:pPr>
        <w:numPr>
          <w:ilvl w:val="1"/>
          <w:numId w:val="1006"/>
        </w:numPr>
      </w:pPr>
      <w:r>
        <w:t xml:space="preserve">Prævalens af T2D er stigende: aldrende befolkning. Sundhedsvæsenets resourcer er begrænsede - hvem skal prioriteres for at resourcerne udnyttes bedst?</w:t>
      </w:r>
    </w:p>
    <w:p>
      <w:pPr>
        <w:numPr>
          <w:ilvl w:val="2"/>
          <w:numId w:val="1007"/>
        </w:numPr>
      </w:pPr>
      <w:r>
        <w:t xml:space="preserve">Kort intro: T2D rammer skævt socioøkonomisk: Livsstil, arbejde</w:t>
      </w:r>
    </w:p>
    <w:p>
      <w:pPr>
        <w:numPr>
          <w:ilvl w:val="3"/>
          <w:numId w:val="1008"/>
        </w:numPr>
        <w:pStyle w:val="Compact"/>
      </w:pPr>
      <w:r>
        <w:t xml:space="preserve">hvorfor er migranter særligt interessante? (er en sociøkonomisk skæv gruppe. Desuden højere prævalens af T2D, ung demografi -&gt; kommer til at udgøre en stigende andel af T2D i fremtiden),</w:t>
      </w:r>
    </w:p>
    <w:p>
      <w:pPr>
        <w:numPr>
          <w:ilvl w:val="0"/>
          <w:numId w:val="1005"/>
        </w:numPr>
      </w:pPr>
      <w:r>
        <w:t xml:space="preserve">1.1.2: Diabetes</w:t>
      </w:r>
    </w:p>
    <w:p>
      <w:pPr>
        <w:numPr>
          <w:ilvl w:val="1"/>
          <w:numId w:val="1009"/>
        </w:numPr>
      </w:pPr>
      <w:r>
        <w:t xml:space="preserve">prævalens</w:t>
      </w:r>
    </w:p>
    <w:p>
      <w:pPr>
        <w:numPr>
          <w:ilvl w:val="1"/>
          <w:numId w:val="1009"/>
        </w:numPr>
      </w:pPr>
      <w:r>
        <w:t xml:space="preserve">Komplikationer og risikofaktorer</w:t>
      </w:r>
    </w:p>
    <w:p>
      <w:pPr>
        <w:numPr>
          <w:ilvl w:val="2"/>
          <w:numId w:val="1010"/>
        </w:numPr>
      </w:pPr>
      <w:r>
        <w:t xml:space="preserve">Evidens generelt</w:t>
      </w:r>
    </w:p>
    <w:p>
      <w:pPr>
        <w:numPr>
          <w:ilvl w:val="2"/>
          <w:numId w:val="1010"/>
        </w:numPr>
      </w:pPr>
      <w:r>
        <w:t xml:space="preserve">Migranter</w:t>
      </w:r>
    </w:p>
    <w:p>
      <w:pPr>
        <w:numPr>
          <w:ilvl w:val="1"/>
          <w:numId w:val="1009"/>
        </w:numPr>
      </w:pPr>
      <w:r>
        <w:t xml:space="preserve">Medicinsk behandling</w:t>
      </w:r>
    </w:p>
    <w:p>
      <w:pPr>
        <w:numPr>
          <w:ilvl w:val="2"/>
          <w:numId w:val="1011"/>
        </w:numPr>
      </w:pPr>
      <w:r>
        <w:t xml:space="preserve">Evidens generelt</w:t>
      </w:r>
    </w:p>
    <w:p>
      <w:pPr>
        <w:numPr>
          <w:ilvl w:val="2"/>
          <w:numId w:val="1011"/>
        </w:numPr>
      </w:pPr>
      <w:r>
        <w:t xml:space="preserve">Migranter</w:t>
      </w:r>
    </w:p>
    <w:p>
      <w:pPr>
        <w:numPr>
          <w:ilvl w:val="1"/>
          <w:numId w:val="1009"/>
        </w:numPr>
      </w:pPr>
      <w:r>
        <w:t xml:space="preserve">Guidelines</w:t>
      </w:r>
    </w:p>
    <w:p>
      <w:pPr>
        <w:numPr>
          <w:ilvl w:val="2"/>
          <w:numId w:val="1012"/>
        </w:numPr>
      </w:pPr>
      <w:r>
        <w:t xml:space="preserve">Evidens generelt</w:t>
      </w:r>
    </w:p>
    <w:p>
      <w:pPr>
        <w:numPr>
          <w:ilvl w:val="2"/>
          <w:numId w:val="1012"/>
        </w:numPr>
      </w:pPr>
      <w:r>
        <w:t xml:space="preserve">Migranter</w:t>
      </w:r>
    </w:p>
    <w:bookmarkEnd w:id="209"/>
    <w:bookmarkEnd w:id="210"/>
    <w:bookmarkStart w:id="211" w:name="various-snippets"/>
    <w:p>
      <w:pPr>
        <w:pStyle w:val="Heading2"/>
      </w:pPr>
      <w:r>
        <w:t xml:space="preserve">A.2 Various snippets</w:t>
      </w:r>
    </w:p>
    <w:p>
      <w:pPr>
        <w:pStyle w:val="FirstParagraph"/>
      </w:pPr>
      <w:r>
        <w:t xml:space="preserve">While migrant origin in research is often a simple variable used to capture socioeconomic position, it reflects both genetic disposition, cultural ethnicity, and potential language barriers, mental and physical trauma.</w:t>
      </w:r>
      <w:r>
        <w:t xml:space="preserve"> </w:t>
      </w:r>
      <w:r>
        <w:rPr>
          <w:iCs/>
          <w:i/>
        </w:rPr>
        <w:t xml:space="preserve">[mangler ref]</w:t>
      </w:r>
    </w:p>
    <w:p>
      <w:pPr>
        <w:pStyle w:val="BodyText"/>
      </w:pPr>
      <w:r>
        <w:t xml:space="preserve">Historically, particularly in Europe and the United States, migrants have been defined by their racial appearance, and ethnic minority groups categorized accordingly. In research, these categories obscure the role of migrants in the modern era,</w:t>
      </w:r>
      <w:r>
        <w:rPr>
          <w:vertAlign w:val="superscript"/>
        </w:rPr>
        <w:t xml:space="preserve">3</w:t>
      </w:r>
      <w:r>
        <w:t xml:space="preserve">.</w:t>
      </w:r>
      <w:r>
        <w:t xml:space="preserve"> </w:t>
      </w:r>
      <w:r>
        <w:rPr>
          <w:iCs/>
          <w:i/>
        </w:rPr>
        <w:t xml:space="preserve">[something about how the sparse evidence on T2D in ethnic minorities is often based on race, which doesn’t capture ethnicity in the modern era of global migration very well, and very little direct evidence is available on T2D in migrants]</w:t>
      </w:r>
      <w:r>
        <w:t xml:space="preserve">.</w:t>
      </w:r>
    </w:p>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000">
    <w:abstractNumId w:val="990"/>
  </w:num>
  <w:num w:numId="1001">
    <w:abstractNumId w:val="991"/>
  </w:num>
  <w:num w:numId="1002">
    <w:abstractNumId w:val="991"/>
  </w:num>
  <w:num w:numId="1003">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74" Target="https://dmsjournal.biomedcentral.com/articles/10.1186/s13098-019-0428-8" TargetMode="External" /><Relationship Type="http://schemas.openxmlformats.org/officeDocument/2006/relationships/hyperlink" Id="rId195" Target="https://doi.org/10.1056/NEJMoa1007994" TargetMode="External" /><Relationship Type="http://schemas.openxmlformats.org/officeDocument/2006/relationships/hyperlink" Id="rId197" Target="https://doi.org/10.2337/dc09-0959" TargetMode="External" /><Relationship Type="http://schemas.openxmlformats.org/officeDocument/2006/relationships/hyperlink" Id="rId166" Target="https://extranet.dst.dk/pyramide/pyramide.htm#!y=2039&amp;o=2019&amp;c=4" TargetMode="External" /><Relationship Type="http://schemas.openxmlformats.org/officeDocument/2006/relationships/hyperlink" Id="rId172" Target="https://home-affairs.ec.europa.eu/policies/migration-and-asylum/common-european-asylum-system/country-responsible-asylum-application-dublin-regulation_en" TargetMode="External" /><Relationship Type="http://schemas.openxmlformats.org/officeDocument/2006/relationships/hyperlink" Id="rId174" Target="https://nyidanmark.dk/uk-UA/You-want-to-apply/Family" TargetMode="External" /><Relationship Type="http://schemas.openxmlformats.org/officeDocument/2006/relationships/hyperlink" Id="rId180" Target="https://nyidanmark.dk/uk-UA/You-want-to-apply/Residence-as-a-Nordic-citizen-or-EU-or-EEA-citizen/Nordic-citizens" TargetMode="External" /><Relationship Type="http://schemas.openxmlformats.org/officeDocument/2006/relationships/hyperlink" Id="rId178" Target="https://nyidanmark.dk/uk-UA/You-want-to-apply/Study" TargetMode="External" /><Relationship Type="http://schemas.openxmlformats.org/officeDocument/2006/relationships/hyperlink" Id="rId176" Target="https://nyidanmark.dk/uk-UA/You-want-to-apply/Work" TargetMode="External" /><Relationship Type="http://schemas.openxmlformats.org/officeDocument/2006/relationships/hyperlink" Id="rId39" Target="https://quarto.org/" TargetMode="External" /><Relationship Type="http://schemas.openxmlformats.org/officeDocument/2006/relationships/hyperlink" Id="rId191" Target="https://unstats.un.org/unsd/methodology/m49/" TargetMode="External" /><Relationship Type="http://schemas.openxmlformats.org/officeDocument/2006/relationships/hyperlink" Id="rId199" Target="https://vejledninger.dsam.dk/media/files/20/type-2-diabetes-2012-med-links.pdf" TargetMode="External" /><Relationship Type="http://schemas.openxmlformats.org/officeDocument/2006/relationships/hyperlink" Id="rId201" Target="https://vejledninger.dsam.dk/type2/" TargetMode="External" /><Relationship Type="http://schemas.openxmlformats.org/officeDocument/2006/relationships/hyperlink" Id="rId168" Target="https://www.ajtmh.org/view/journals/tpmd/105/6/article-p1453.xml" TargetMode="External" /><Relationship Type="http://schemas.openxmlformats.org/officeDocument/2006/relationships/hyperlink" Id="rId193" Target="https://www.dst.dk/Site/Dst/SingleFiles/GetArchiveFile.aspx?fi=49459100303&amp;fo=0&amp;ext=kvaldel" TargetMode="External" /><Relationship Type="http://schemas.openxmlformats.org/officeDocument/2006/relationships/hyperlink" Id="rId184" Target="https://www.dst.dk/Site/Dst/SingleFiles/GetArchiveFile.aspx?fi=formid&amp;fo=medbragt-udd--pdf" TargetMode="External" /><Relationship Type="http://schemas.openxmlformats.org/officeDocument/2006/relationships/hyperlink" Id="rId186" Target="https://www.dst.dk/Site/Dst/Udgivelser/GetPubFile.aspx?id=29446&amp;sid=indv2019" TargetMode="External" /><Relationship Type="http://schemas.openxmlformats.org/officeDocument/2006/relationships/hyperlink" Id="rId188" Target="https://www.dst.dk/da/Statistik/nyheder-analyser-publ/bagtal/2022/2022-08-18-fakta-om-indvandrere" TargetMode="External" /><Relationship Type="http://schemas.openxmlformats.org/officeDocument/2006/relationships/hyperlink" Id="rId68" Target="https://www.ncbi.nlm.nih.gov/pmc/articles/PMC8563673/" TargetMode="External" /><Relationship Type="http://schemas.openxmlformats.org/officeDocument/2006/relationships/hyperlink" Id="rId182" Target="https://www.retsinformation.dk/eli/retsinfo/2013/9273#Bil1" TargetMode="External" /><Relationship Type="http://schemas.openxmlformats.org/officeDocument/2006/relationships/hyperlink" Id="rId164" Target="https://www.sciencedirect.com/science/article/pii/S0168822721004782" TargetMode="External" /><Relationship Type="http://schemas.openxmlformats.org/officeDocument/2006/relationships/hyperlink" Id="rId170" Target="https://www.unhcr.org/en-us/news/latest/2016/3/56e95c676/refugees-migrants-frequently-asked-questions-faqs.html" TargetMode="External" /></Relationships>
</file>

<file path=word/_rels/footnotes.xml.rels><?xml version="1.0" encoding="UTF-8"?><Relationships xmlns="http://schemas.openxmlformats.org/package/2006/relationships"><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74" Target="https://dmsjournal.biomedcentral.com/articles/10.1186/s13098-019-0428-8" TargetMode="External" /><Relationship Type="http://schemas.openxmlformats.org/officeDocument/2006/relationships/hyperlink" Id="rId195" Target="https://doi.org/10.1056/NEJMoa1007994" TargetMode="External" /><Relationship Type="http://schemas.openxmlformats.org/officeDocument/2006/relationships/hyperlink" Id="rId197" Target="https://doi.org/10.2337/dc09-0959" TargetMode="External" /><Relationship Type="http://schemas.openxmlformats.org/officeDocument/2006/relationships/hyperlink" Id="rId166" Target="https://extranet.dst.dk/pyramide/pyramide.htm#!y=2039&amp;o=2019&amp;c=4" TargetMode="External" /><Relationship Type="http://schemas.openxmlformats.org/officeDocument/2006/relationships/hyperlink" Id="rId172" Target="https://home-affairs.ec.europa.eu/policies/migration-and-asylum/common-european-asylum-system/country-responsible-asylum-application-dublin-regulation_en" TargetMode="External" /><Relationship Type="http://schemas.openxmlformats.org/officeDocument/2006/relationships/hyperlink" Id="rId174" Target="https://nyidanmark.dk/uk-UA/You-want-to-apply/Family" TargetMode="External" /><Relationship Type="http://schemas.openxmlformats.org/officeDocument/2006/relationships/hyperlink" Id="rId180" Target="https://nyidanmark.dk/uk-UA/You-want-to-apply/Residence-as-a-Nordic-citizen-or-EU-or-EEA-citizen/Nordic-citizens" TargetMode="External" /><Relationship Type="http://schemas.openxmlformats.org/officeDocument/2006/relationships/hyperlink" Id="rId178" Target="https://nyidanmark.dk/uk-UA/You-want-to-apply/Study" TargetMode="External" /><Relationship Type="http://schemas.openxmlformats.org/officeDocument/2006/relationships/hyperlink" Id="rId176" Target="https://nyidanmark.dk/uk-UA/You-want-to-apply/Work" TargetMode="External" /><Relationship Type="http://schemas.openxmlformats.org/officeDocument/2006/relationships/hyperlink" Id="rId39" Target="https://quarto.org/" TargetMode="External" /><Relationship Type="http://schemas.openxmlformats.org/officeDocument/2006/relationships/hyperlink" Id="rId191" Target="https://unstats.un.org/unsd/methodology/m49/" TargetMode="External" /><Relationship Type="http://schemas.openxmlformats.org/officeDocument/2006/relationships/hyperlink" Id="rId199" Target="https://vejledninger.dsam.dk/media/files/20/type-2-diabetes-2012-med-links.pdf" TargetMode="External" /><Relationship Type="http://schemas.openxmlformats.org/officeDocument/2006/relationships/hyperlink" Id="rId201" Target="https://vejledninger.dsam.dk/type2/" TargetMode="External" /><Relationship Type="http://schemas.openxmlformats.org/officeDocument/2006/relationships/hyperlink" Id="rId168" Target="https://www.ajtmh.org/view/journals/tpmd/105/6/article-p1453.xml" TargetMode="External" /><Relationship Type="http://schemas.openxmlformats.org/officeDocument/2006/relationships/hyperlink" Id="rId193" Target="https://www.dst.dk/Site/Dst/SingleFiles/GetArchiveFile.aspx?fi=49459100303&amp;fo=0&amp;ext=kvaldel" TargetMode="External" /><Relationship Type="http://schemas.openxmlformats.org/officeDocument/2006/relationships/hyperlink" Id="rId184" Target="https://www.dst.dk/Site/Dst/SingleFiles/GetArchiveFile.aspx?fi=formid&amp;fo=medbragt-udd--pdf" TargetMode="External" /><Relationship Type="http://schemas.openxmlformats.org/officeDocument/2006/relationships/hyperlink" Id="rId186" Target="https://www.dst.dk/Site/Dst/Udgivelser/GetPubFile.aspx?id=29446&amp;sid=indv2019" TargetMode="External" /><Relationship Type="http://schemas.openxmlformats.org/officeDocument/2006/relationships/hyperlink" Id="rId188" Target="https://www.dst.dk/da/Statistik/nyheder-analyser-publ/bagtal/2022/2022-08-18-fakta-om-indvandrere" TargetMode="External" /><Relationship Type="http://schemas.openxmlformats.org/officeDocument/2006/relationships/hyperlink" Id="rId68" Target="https://www.ncbi.nlm.nih.gov/pmc/articles/PMC8563673/" TargetMode="External" /><Relationship Type="http://schemas.openxmlformats.org/officeDocument/2006/relationships/hyperlink" Id="rId182" Target="https://www.retsinformation.dk/eli/retsinfo/2013/9273#Bil1" TargetMode="External" /><Relationship Type="http://schemas.openxmlformats.org/officeDocument/2006/relationships/hyperlink" Id="rId164" Target="https://www.sciencedirect.com/science/article/pii/S0168822721004782" TargetMode="External" /><Relationship Type="http://schemas.openxmlformats.org/officeDocument/2006/relationships/hyperlink" Id="rId170" Target="https://www.unhcr.org/en-us/news/latest/2016/3/56e95c676/refugees-migrants-frequently-asked-questions-faq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2023-03-06T13:00:59Z</dcterms:created>
  <dcterms:modified xsi:type="dcterms:W3CDTF">2023-03-06T13:00:59Z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itation">
    <vt:lpwstr/>
  </property>
  <property fmtid="{D5CDD505-2E9C-101B-9397-08002B2CF9AE}" pid="8" name="crossref">
    <vt:lpwstr/>
  </property>
  <property fmtid="{D5CDD505-2E9C-101B-9397-08002B2CF9AE}" pid="9" name="csl">
    <vt:lpwstr>citestyle.csl</vt:lpwstr>
  </property>
  <property fmtid="{D5CDD505-2E9C-101B-9397-08002B2CF9AE}" pid="10" name="date">
    <vt:lpwstr>March 2023</vt:lpwstr>
  </property>
  <property fmtid="{D5CDD505-2E9C-101B-9397-08002B2CF9AE}" pid="11" name="date-format">
    <vt:lpwstr>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toc-title">
    <vt:lpwstr>Table of contents</vt:lpwstr>
  </property>
  <property fmtid="{D5CDD505-2E9C-101B-9397-08002B2CF9AE}" pid="18" name="website">
    <vt:lpwstr/>
  </property>
</Properties>
</file>