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26.png" ContentType="image/png"/>
  <Override PartName="/word/media/rId29.png" ContentType="image/png"/>
  <Override PartName="/word/media/rId22.png" ContentType="image/png"/>
  <Override PartName="/word/media/rId164.png" ContentType="image/png"/>
  <Override PartName="/word/media/rId32.png" ContentType="image/png"/>
  <Override PartName="/word/media/rId51.png" ContentType="image/png"/>
  <Override PartName="/word/media/rId47.png" ContentType="image/png"/>
  <Override PartName="/word/media/rId61.png" ContentType="image/png"/>
  <Override PartName="/word/media/rId57.png" ContentType="image/png"/>
  <Override PartName="/word/media/rId35.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9"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End w:id="39"/>
    <w:bookmarkStart w:id="44" w:name="preface"/>
    <w:p>
      <w:pPr>
        <w:pStyle w:val="Heading1"/>
      </w:pPr>
      <w:r>
        <w:t xml:space="preserve">Preface</w:t>
      </w:r>
    </w:p>
    <w:bookmarkStart w:id="41"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p>
    <w:p>
      <w:pPr>
        <w:pStyle w:val="BodyText"/>
      </w:pPr>
      <w:r>
        <w:t xml:space="preserve">*Are migrants with T2D more prone to under-treatment, and in which areas of care?</w:t>
      </w:r>
      <w:r>
        <w:br/>
      </w:r>
      <w:r>
        <w:t xml:space="preserve">Are some migrant groups more prone to under-treatment than others?</w:t>
      </w:r>
      <w:r>
        <w:br/>
      </w:r>
    </w:p>
    <w:p>
      <w:pPr>
        <w:pStyle w:val="BodyText"/>
      </w:pP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0">
        <w:r>
          <w:rPr>
            <w:rStyle w:val="Hyperlink"/>
          </w:rPr>
          <w:t xml:space="preserve">aastedet.github.io/dissertation/</w:t>
        </w:r>
      </w:hyperlink>
      <w:r>
        <w:t xml:space="preserve">.</w:t>
      </w:r>
    </w:p>
    <w:bookmarkEnd w:id="41"/>
    <w:bookmarkStart w:id="42"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2"/>
    <w:bookmarkStart w:id="43" w:name="papers-associated-with-the-dissertation"/>
    <w:p>
      <w:pPr>
        <w:pStyle w:val="Heading2"/>
      </w:pPr>
      <w:r>
        <w:t xml:space="preserve">Papers associated with the dissertation</w:t>
      </w:r>
    </w:p>
    <w:p>
      <w:pPr>
        <w:pStyle w:val="FirstParagraph"/>
      </w:pPr>
      <w:r>
        <w:rPr>
          <w:bCs/>
          <w:b/>
        </w:rPr>
        <w:t xml:space="preserve">Coming soon</w:t>
      </w:r>
    </w:p>
    <w:bookmarkEnd w:id="43"/>
    <w:bookmarkEnd w:id="44"/>
    <w:bookmarkStart w:id="45"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ATC:</w:t>
      </w:r>
      <w:r>
        <w:t xml:space="preserve"> </w:t>
      </w:r>
      <w:r>
        <w:t xml:space="preserve">Anatomical Therapeutic Chemical (classification)</w:t>
      </w:r>
      <w:r>
        <w:br/>
      </w:r>
      <w:r>
        <w:rPr>
          <w:bCs/>
          <w:b/>
        </w:rPr>
        <w:t xml:space="preserve">CI:</w:t>
      </w:r>
      <w:r>
        <w:t xml:space="preserve"> </w:t>
      </w:r>
      <w:r>
        <w:t xml:space="preserve">Confidence interval</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OSDC:</w:t>
      </w:r>
      <w:r>
        <w:t xml:space="preserve"> </w:t>
      </w:r>
      <w:r>
        <w:t xml:space="preserve">Open-Source Diabetes Classifier</w:t>
      </w:r>
      <w:r>
        <w:br/>
      </w:r>
      <w:r>
        <w:rPr>
          <w:bCs/>
          <w:b/>
        </w:rPr>
        <w:t xml:space="preserve">RSCD:</w:t>
      </w:r>
      <w:r>
        <w:t xml:space="preserve"> </w:t>
      </w:r>
      <w:r>
        <w:t xml:space="preserve">Register of Selected Chronic Diseases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5"/>
    <w:bookmarkStart w:id="102" w:name="sec-introduction"/>
    <w:p>
      <w:pPr>
        <w:pStyle w:val="Heading1"/>
      </w:pPr>
      <w:r>
        <w:t xml:space="preserve">1. Introduction</w:t>
      </w:r>
    </w:p>
    <w:p>
      <w:pPr>
        <w:pStyle w:val="FirstParagraph"/>
      </w:pPr>
      <w:r>
        <w:t xml:space="preserve">This chapter describes type 2 diabetes (T2D) and how migrants are at particular risk. It then describes the context of migration and health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6"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w:t>
      </w:r>
      <w:r>
        <w:rPr>
          <w:vertAlign w:val="superscript"/>
        </w:rPr>
        <w:t xml:space="preserve">1</w:t>
      </w:r>
      <w:r>
        <w:t xml:space="preserve"> </w:t>
      </w:r>
      <w:r>
        <w:t xml:space="preserve">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 Furthermore, many developing countries have populations with a genetic predisposition to developing T2D, which exacerbates the impact of these transitions.</w:t>
      </w:r>
      <w:r>
        <w:rPr>
          <w:vertAlign w:val="superscript"/>
        </w:rPr>
        <w:t xml:space="preserve">2</w:t>
      </w:r>
    </w:p>
    <w:p>
      <w:pPr>
        <w:pStyle w:val="BodyText"/>
      </w:pPr>
      <w:r>
        <w:t xml:space="preserve">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r>
        <w:rPr>
          <w:vertAlign w:val="superscript"/>
        </w:rPr>
        <w:t xml:space="preserve">3</w:t>
      </w:r>
      <w:r>
        <w:t xml:space="preserve"> </w:t>
      </w:r>
      <w:r>
        <w:t xml:space="preserve">This leaves migrants particularly vulnerable to T2D, as they are positioned at the point of convergence of these exposures: genetic predisposition, rapid lifestyle transitions, and the disparate social impact of T2D.</w:t>
      </w:r>
    </w:p>
    <w:p>
      <w:pPr>
        <w:pStyle w:val="BodyText"/>
      </w:pPr>
      <w:r>
        <w:t xml:space="preserve">In Denmark and many other developed nations, healthcare systems are facing a challenge to sustain the expected high quality of care in an aging population with a growing burden of chronic diseases and comorbidities.</w:t>
      </w:r>
      <w:r>
        <w:rPr>
          <w:vertAlign w:val="superscript"/>
        </w:rPr>
        <w:t xml:space="preserve">4,5</w:t>
      </w:r>
      <w:r>
        <w:t xml:space="preserve"> </w:t>
      </w:r>
      <w:r>
        <w:t xml:space="preserve">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 but the increased risk of developing T2D is partially mitigated by their younger age.</w:t>
      </w:r>
      <w:r>
        <w:rPr>
          <w:vertAlign w:val="superscript"/>
        </w:rPr>
        <w:t xml:space="preserve">6,7</w:t>
      </w:r>
      <w:r>
        <w:t xml:space="preserve"> </w:t>
      </w:r>
      <w:r>
        <w:t xml:space="preserve">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8</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scarcity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w:t>
      </w:r>
      <w:r>
        <w:rPr>
          <w:vertAlign w:val="superscript"/>
        </w:rPr>
        <w:t xml:space="preserve">9</w:t>
      </w:r>
      <w:r>
        <w:t xml:space="preserve"> </w:t>
      </w:r>
      <w:r>
        <w:t xml:space="preserve">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10</w:t>
      </w:r>
      <w:r>
        <w:t xml:space="preserve">.</w:t>
      </w:r>
    </w:p>
    <w:bookmarkEnd w:id="46"/>
    <w:bookmarkStart w:id="71" w:name="migrants-in-denmark"/>
    <w:p>
      <w:pPr>
        <w:pStyle w:val="Heading2"/>
      </w:pPr>
      <w:r>
        <w:t xml:space="preserve">1.2 Migrants in Denmark</w:t>
      </w:r>
    </w:p>
    <w:p>
      <w:pPr>
        <w:pStyle w:val="FirstParagraph"/>
      </w:pPr>
      <w:r>
        <w:t xml:space="preserve">In 2019, Denmark had a population of approximately 5.8 million residents, of whom 600.000 (10%) were migrants and 1 million (18%) were aged 66 years and older. By 2039, the population is expected to have grown to 6.2 million, with a migrant population of 750.000 (12%) and 1.5 million individuals (23%) aged 66 years and older.</w:t>
      </w:r>
      <w:r>
        <w:rPr>
          <w:vertAlign w:val="superscript"/>
        </w:rPr>
        <w:t xml:space="preserve">8</w:t>
      </w:r>
      <w:r>
        <w:t xml:space="preserve"> </w:t>
      </w:r>
      <w:hyperlink w:anchor="fig-demo-pyramids">
        <w:r>
          <w:rPr>
            <w:rStyle w:val="Hyperlink"/>
          </w:rPr>
          <w:t xml:space="preserve">Figure 1.1</w:t>
        </w:r>
      </w:hyperlink>
      <w:r>
        <w:t xml:space="preserve"> </w:t>
      </w:r>
      <w:r>
        <w:t xml:space="preserve">shows the projected demographics of native Danes and migrants.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0" w:name="fig-pyramid-native-danes"/>
                <w:p>
                  <w:pPr>
                    <w:pStyle w:val="Figure"/>
                    <w:jc w:val="center"/>
                    <w:jc w:val="center"/>
                  </w:pPr>
                  <w:r>
                    <w:drawing>
                      <wp:inline>
                        <wp:extent cx="2971800" cy="3008659"/>
                        <wp:effectExtent b="0" l="0" r="0" t="0"/>
                        <wp:docPr descr="" title="" id="48" name="Picture"/>
                        <a:graphic>
                          <a:graphicData uri="http://schemas.openxmlformats.org/drawingml/2006/picture">
                            <pic:pic>
                              <pic:nvPicPr>
                                <pic:cNvPr descr="./figures/pyramid_native_danes.png" id="49" name="Picture"/>
                                <pic:cNvPicPr>
                                  <a:picLocks noChangeArrowheads="1" noChangeAspect="1"/>
                                </pic:cNvPicPr>
                              </pic:nvPicPr>
                              <pic:blipFill>
                                <a:blip r:embed="rId47"/>
                                <a:stretch>
                                  <a:fillRect/>
                                </a:stretch>
                              </pic:blipFill>
                              <pic:spPr bwMode="auto">
                                <a:xfrm>
                                  <a:off x="0" y="0"/>
                                  <a:ext cx="2971800" cy="300865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Native Danes 2019-2039</w:t>
                  </w:r>
                </w:p>
                <w:bookmarkEnd w:id="50"/>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bookmarkStart w:id="54" w:name="fig-pyramid-migrants"/>
                <w:p>
                  <w:pPr>
                    <w:pStyle w:val="Figure"/>
                    <w:jc w:val="center"/>
                    <w:jc w:val="center"/>
                  </w:pPr>
                  <w:r>
                    <w:drawing>
                      <wp:inline>
                        <wp:extent cx="2971800" cy="2967235"/>
                        <wp:effectExtent b="0" l="0" r="0" t="0"/>
                        <wp:docPr descr="" title="" id="52" name="Picture"/>
                        <a:graphic>
                          <a:graphicData uri="http://schemas.openxmlformats.org/drawingml/2006/picture">
                            <pic:pic>
                              <pic:nvPicPr>
                                <pic:cNvPr descr="./figures/pyramid_migrants.png" id="53" name="Picture"/>
                                <pic:cNvPicPr>
                                  <a:picLocks noChangeArrowheads="1" noChangeAspect="1"/>
                                </pic:cNvPicPr>
                              </pic:nvPicPr>
                              <pic:blipFill>
                                <a:blip r:embed="rId51"/>
                                <a:stretch>
                                  <a:fillRect/>
                                </a:stretch>
                              </pic:blipFill>
                              <pic:spPr bwMode="auto">
                                <a:xfrm>
                                  <a:off x="0" y="0"/>
                                  <a:ext cx="2971800" cy="296723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Migrants 2019-2039</w:t>
                  </w:r>
                </w:p>
                <w:bookmarkEnd w:id="54"/>
              </w:tc>
            </w:tr>
          </w:tbl>
          <w:p/>
        </w:tc>
      </w:tr>
    </w:tbl>
    <w:p>
      <w:pPr>
        <w:pStyle w:val="BodyText"/>
      </w:pPr>
      <w:pPr>
        <w:spacing w:before="200"/>
        <w:pStyle w:val="ImageCaption"/>
      </w:pPr>
      <w:r>
        <w:t xml:space="preserve">Figure 1.1: Demographic projections of native Danes (a) and migrants (b) in 2039. Demographics in 2019 are outlined in green. Adapted from Statistics Denmark</w:t>
      </w:r>
      <w:r>
        <w:rPr>
          <w:vertAlign w:val="superscript"/>
        </w:rPr>
        <w:t xml:space="preserve">8</w:t>
      </w:r>
    </w:p>
    <w:bookmarkStart w:id="55"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11</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11</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12</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13</w:t>
      </w:r>
      <w:r>
        <w:t xml:space="preserve"> </w:t>
      </w:r>
      <w:r>
        <w:t xml:space="preserve">and residence permits can also be granted to citizens of the European Union, as well as individuals with work or study obligations in Denmark.</w:t>
      </w:r>
      <w:r>
        <w:rPr>
          <w:vertAlign w:val="superscript"/>
        </w:rPr>
        <w:t xml:space="preserve">14,15</w:t>
      </w:r>
      <w:r>
        <w:t xml:space="preserve"> </w:t>
      </w:r>
      <w:r>
        <w:t xml:space="preserve">Citizens of Finland, Iceland, Norway and Sweden are free to enter, reside and work in Denmark.</w:t>
      </w:r>
      <w:r>
        <w:rPr>
          <w:vertAlign w:val="superscript"/>
        </w:rPr>
        <w:t xml:space="preserve">16</w:t>
      </w:r>
    </w:p>
    <w:p>
      <w:pPr>
        <w:pStyle w:val="BodyText"/>
      </w:pPr>
      <w:r>
        <w:t xml:space="preserve">Once residence has been granted, regardless of the reason, these individuals have access to the same public healthcare services as Danish citizens. In addition, any patient in the public healthcare system who is deemed in need of interpreting assistance (by the treating physician) has a right to a professional interpreter. The public healthcare system covers the initial cost of interpreter services, but since February 2018, they have been obliged by law to charge a fee to patients residing in Denmark for more than three years at the time of interpreting assistance.</w:t>
      </w:r>
      <w:r>
        <w:rPr>
          <w:vertAlign w:val="superscript"/>
        </w:rPr>
        <w:t xml:space="preserve">17</w:t>
      </w:r>
    </w:p>
    <w:bookmarkEnd w:id="55"/>
    <w:bookmarkStart w:id="56"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18</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19</w:t>
      </w:r>
    </w:p>
    <w:bookmarkEnd w:id="56"/>
    <w:bookmarkStart w:id="69"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20</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20</w:t>
      </w:r>
      <w:r>
        <w:t xml:space="preserve"> </w:t>
      </w:r>
      <w:r>
        <w:t xml:space="preserve">Furthermore, the context of migration differs greatly between migrants of different origins in terms of when and why a particular minority migrated to Denmark. For example, the vast majority of migrants from Turkey were granted residence due to work and family reunification in the 1960s and 1970s, while almost all migrants from Bosnia-Herzegovina were refugees from the Yugoslav wars of the 1990s. By contrast, migrants from other European countries came to Denmark mainly for work, education or other reasons at various points in time.</w:t>
      </w:r>
      <w:r>
        <w:t xml:space="preserve"> </w:t>
      </w:r>
      <w:hyperlink w:anchor="fig-reason-migration">
        <w:r>
          <w:rPr>
            <w:rStyle w:val="Hyperlink"/>
          </w:rPr>
          <w:t xml:space="preserve">Figure 1.2</w:t>
        </w:r>
      </w:hyperlink>
      <w:r>
        <w:t xml:space="preserve"> </w:t>
      </w:r>
      <w:r>
        <w:t xml:space="preserve">shows the primary reason for migration among the largest migrant origin groups residing in Denmark, while</w:t>
      </w:r>
      <w:r>
        <w:t xml:space="preserve"> </w:t>
      </w:r>
      <w:hyperlink w:anchor="fig-time-migration">
        <w:r>
          <w:rPr>
            <w:rStyle w:val="Hyperlink"/>
          </w:rPr>
          <w:t xml:space="preserve">Figure 1.3</w:t>
        </w:r>
      </w:hyperlink>
      <w:r>
        <w:t xml:space="preserve"> </w:t>
      </w:r>
      <w:r>
        <w:t xml:space="preserve">shows the calendar year of immigration in different migrant groups.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0" w:name="fig-reason-western"/>
                <w:p>
                  <w:pPr>
                    <w:pStyle w:val="Figure"/>
                    <w:jc w:val="center"/>
                    <w:jc w:val="center"/>
                  </w:pPr>
                  <w:r>
                    <w:drawing>
                      <wp:inline>
                        <wp:extent cx="5334000" cy="3330786"/>
                        <wp:effectExtent b="0" l="0" r="0" t="0"/>
                        <wp:docPr descr="" title="" id="58" name="Picture"/>
                        <a:graphic>
                          <a:graphicData uri="http://schemas.openxmlformats.org/drawingml/2006/picture">
                            <pic:pic>
                              <pic:nvPicPr>
                                <pic:cNvPr descr="./figures/reason_migration_origin_west_2022.png" id="59" name="Picture"/>
                                <pic:cNvPicPr>
                                  <a:picLocks noChangeArrowheads="1" noChangeAspect="1"/>
                                </pic:cNvPicPr>
                              </pic:nvPicPr>
                              <pic:blipFill>
                                <a:blip r:embed="rId57"/>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60"/>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4" w:name="fig-reason-nonwestern"/>
                <w:p>
                  <w:pPr>
                    <w:pStyle w:val="Figure"/>
                    <w:jc w:val="center"/>
                    <w:jc w:val="center"/>
                  </w:pPr>
                  <w:r>
                    <w:drawing>
                      <wp:inline>
                        <wp:extent cx="5334000" cy="3330786"/>
                        <wp:effectExtent b="0" l="0" r="0" t="0"/>
                        <wp:docPr descr="" title="" id="62" name="Picture"/>
                        <a:graphic>
                          <a:graphicData uri="http://schemas.openxmlformats.org/drawingml/2006/picture">
                            <pic:pic>
                              <pic:nvPicPr>
                                <pic:cNvPr descr="./figures/reason_migration_origin_nonwest_2022.png" id="63" name="Picture"/>
                                <pic:cNvPicPr>
                                  <a:picLocks noChangeArrowheads="1" noChangeAspect="1"/>
                                </pic:cNvPicPr>
                              </pic:nvPicPr>
                              <pic:blipFill>
                                <a:blip r:embed="rId61"/>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64"/>
              </w:tc>
            </w:tr>
          </w:tbl>
          <w:p/>
        </w:tc>
      </w:tr>
    </w:tbl>
    <w:p>
      <w:pPr>
        <w:pStyle w:val="BodyText"/>
      </w:pPr>
      <w:pPr>
        <w:spacing w:before="200"/>
        <w:pStyle w:val="ImageCaption"/>
      </w:pPr>
      <w:r>
        <w:t xml:space="preserve">Figure 1.2: Primary reason for migration among the 10 largest migrant groups in Denmark from Western (a) and Non-western countries (b). Adapted from Statistics Denmark.</w:t>
      </w:r>
      <w:r>
        <w:rPr>
          <w:vertAlign w:val="superscript"/>
        </w:rPr>
        <w:t xml:space="preserve">21</w:t>
      </w:r>
    </w:p>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68" w:name="fig-time-migration"/>
          <w:p>
            <w:pPr>
              <w:jc w:val="center"/>
            </w:pPr>
            <w:r>
              <w:drawing>
                <wp:inline>
                  <wp:extent cx="5334000" cy="8739878"/>
                  <wp:effectExtent b="0" l="0" r="0" t="0"/>
                  <wp:docPr descr="" title="" id="66" name="Picture"/>
                  <a:graphic>
                    <a:graphicData uri="http://schemas.openxmlformats.org/drawingml/2006/picture">
                      <pic:pic>
                        <pic:nvPicPr>
                          <pic:cNvPr descr="./figures/time_migration.png" id="67" name="Picture"/>
                          <pic:cNvPicPr>
                            <a:picLocks noChangeArrowheads="1" noChangeAspect="1"/>
                          </pic:cNvPicPr>
                        </pic:nvPicPr>
                        <pic:blipFill>
                          <a:blip r:embed="rId65"/>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Calendar year of first immigration among the 12 largest migrant groups residing in Denmark in 2019. Viewer discretion is advised: Y-axes vary between plots, and the line graphs should be interpreted as histograms with a bin for every calendar year. Adapted from Statistics Denmark.</w:t>
            </w:r>
            <w:r>
              <w:rPr>
                <w:vertAlign w:val="superscript"/>
              </w:rPr>
              <w:t xml:space="preserve">20</w:t>
            </w:r>
          </w:p>
          <w:bookmarkEnd w:id="68"/>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22</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23</w:t>
      </w:r>
      <w:r>
        <w:t xml:space="preserve"> </w:t>
      </w:r>
      <w:r>
        <w:t xml:space="preserve">while Statistics Denmark group migrants into Western and Non-western countries, respectively, a grouping that resembles the more widely-used classification of developed and developing countries.</w:t>
      </w:r>
      <w:r>
        <w:rPr>
          <w:vertAlign w:val="superscript"/>
        </w:rPr>
        <w:t xml:space="preserve">24</w:t>
      </w:r>
      <w:r>
        <w:t xml:space="preserve"> </w:t>
      </w:r>
      <w:r>
        <w:t xml:space="preserve">See</w:t>
      </w:r>
      <w:r>
        <w:t xml:space="preserve"> </w:t>
      </w:r>
      <w:hyperlink w:anchor="sec-methods">
        <w:r>
          <w:rPr>
            <w:rStyle w:val="Hyperlink"/>
          </w:rPr>
          <w:t xml:space="preserve">Chapter 3</w:t>
        </w:r>
      </w:hyperlink>
      <w:r>
        <w:t xml:space="preserve"> </w:t>
      </w:r>
      <w:r>
        <w:t xml:space="preserve">for a description of grouping of countries of origin in the context of this PhD project.</w:t>
      </w:r>
    </w:p>
    <w:bookmarkEnd w:id="69"/>
    <w:bookmarkStart w:id="70" w:name="descendants"/>
    <w:p>
      <w:pPr>
        <w:pStyle w:val="Heading3"/>
      </w:pPr>
      <w:r>
        <w:t xml:space="preserve">1.2.4 Descendants</w:t>
      </w:r>
    </w:p>
    <w:p>
      <w:pPr>
        <w:pStyle w:val="FirstParagraph"/>
      </w:pPr>
      <w:r>
        <w:t xml:space="preserve">Descendants of migrants pose an additional challenge to classification for research purposes, as they can be considered part of the migrant group, the native population, or their own distinct demographic. In the context of T2D today, descendants of migrants in Denmark are a very young demographic unlikely to constitute a substantial proportion of the patient population (less than 1% of descendants are aged 66 years or older).</w:t>
      </w:r>
      <w:r>
        <w:rPr>
          <w:vertAlign w:val="superscript"/>
        </w:rPr>
        <w:t xml:space="preserve">8</w:t>
      </w:r>
      <w:r>
        <w:t xml:space="preserve"> </w:t>
      </w:r>
      <w:r>
        <w:t xml:space="preserve">There is also some evidence from Sweden suggesting that descendants are a distinct group from first-generation immigrants in terms of T2D and mortality.</w:t>
      </w:r>
      <w:r>
        <w:rPr>
          <w:vertAlign w:val="superscript"/>
        </w:rPr>
        <w:t xml:space="preserve">25</w:t>
      </w:r>
      <w:r>
        <w:t xml:space="preserve"> </w:t>
      </w:r>
      <w:r>
        <w:t xml:space="preserve">In the context of this PhD project, descendants were not a focus of investigation, and the term migrants specifically refers to first-generation migrants.</w:t>
      </w:r>
    </w:p>
    <w:bookmarkEnd w:id="70"/>
    <w:bookmarkEnd w:id="71"/>
    <w:bookmarkStart w:id="83" w:name="type-2-diabetes-care"/>
    <w:p>
      <w:pPr>
        <w:pStyle w:val="Heading2"/>
      </w:pPr>
      <w:r>
        <w:t xml:space="preserve">1.3 Type 2 diabetes care</w:t>
      </w:r>
    </w:p>
    <w:bookmarkStart w:id="75" w:name="complications-and-risk-factors"/>
    <w:p>
      <w:pPr>
        <w:pStyle w:val="Heading3"/>
      </w:pPr>
      <w:r>
        <w:t xml:space="preserve">1.3.1 Complications and risk factors</w:t>
      </w:r>
    </w:p>
    <w:bookmarkStart w:id="72"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w:t>
      </w:r>
      <w:r>
        <w:rPr>
          <w:vertAlign w:val="superscript"/>
        </w:rPr>
        <w:t xml:space="preserve">26</w:t>
      </w:r>
    </w:p>
    <w:bookmarkEnd w:id="72"/>
    <w:bookmarkStart w:id="74" w:name="in-migrants"/>
    <w:p>
      <w:pPr>
        <w:pStyle w:val="Heading4"/>
      </w:pPr>
      <w:r>
        <w:t xml:space="preserve">In migrants</w:t>
      </w:r>
    </w:p>
    <w:p>
      <w:pPr>
        <w:pStyle w:val="FirstParagraph"/>
      </w:pPr>
      <w:r>
        <w:t xml:space="preserve">In Denmark and several other European countries, HbA1c-levels are higher in migrants than in native populations</w:t>
      </w:r>
      <w:r>
        <w:rPr>
          <w:vertAlign w:val="superscript"/>
        </w:rPr>
        <w:t xml:space="preserve">27–32</w:t>
      </w:r>
      <w:r>
        <w:t xml:space="preserve">, but LDL-C levels have only been sparsely described.</w:t>
      </w:r>
      <w:r>
        <w:rPr>
          <w:vertAlign w:val="superscript"/>
        </w:rPr>
        <w:t xml:space="preserve">33</w:t>
      </w:r>
      <w:r>
        <w:t xml:space="preserve"> </w:t>
      </w:r>
      <w:r>
        <w:t xml:space="preserve">The evidence on complication risk is inconsistent, but indicates a higher risk compared to native populations, although risks differ between complication types, migrant groups and countries. Similarly, higher mortality among migrants with diabetes has been reported in some studies,</w:t>
      </w:r>
      <w:r>
        <w:rPr>
          <w:vertAlign w:val="superscript"/>
        </w:rPr>
        <w:t xml:space="preserve">7,34</w:t>
      </w:r>
      <w:r>
        <w:t xml:space="preserve"> </w:t>
      </w:r>
      <w:r>
        <w:t xml:space="preserve">while other studies have found similar or lower risk [mangler</w:t>
      </w:r>
      <w:hyperlink r:id="rId73">
        <w:r>
          <w:rPr>
            <w:rStyle w:val="Hyperlink"/>
          </w:rPr>
          <w:t xml:space="preserve">refs</w:t>
        </w:r>
      </w:hyperlink>
      <w:r>
        <w:t xml:space="preserve">]</w:t>
      </w:r>
    </w:p>
    <w:bookmarkEnd w:id="74"/>
    <w:bookmarkEnd w:id="75"/>
    <w:bookmarkStart w:id="78" w:name="pharmacological-treatment"/>
    <w:p>
      <w:pPr>
        <w:pStyle w:val="Heading3"/>
      </w:pPr>
      <w:r>
        <w:t xml:space="preserve">1.3.2 Pharmacological treatment</w:t>
      </w:r>
    </w:p>
    <w:bookmarkStart w:id="76"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35,36</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6"/>
    <w:bookmarkStart w:id="77"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77"/>
    <w:bookmarkEnd w:id="78"/>
    <w:bookmarkStart w:id="82" w:name="monitoring"/>
    <w:p>
      <w:pPr>
        <w:pStyle w:val="Heading3"/>
      </w:pPr>
      <w:r>
        <w:t xml:space="preserve">1.3.3 Monitoring</w:t>
      </w:r>
    </w:p>
    <w:bookmarkStart w:id="80"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79">
        <w:r>
          <w:rPr>
            <w:rStyle w:val="Hyperlink"/>
          </w:rPr>
          <w:t xml:space="preserve">7-12</w:t>
        </w:r>
      </w:hyperlink>
      <w:r>
        <w:t xml:space="preserve">, e.g. https://doi.org/10.1093/intqhc/mzl023, , evt. DVDD rapport]*</w:t>
      </w:r>
    </w:p>
    <w:bookmarkEnd w:id="80"/>
    <w:bookmarkStart w:id="81"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81"/>
    <w:bookmarkEnd w:id="82"/>
    <w:bookmarkEnd w:id="83"/>
    <w:bookmarkStart w:id="95" w:name="Xc97c9dbd1e56f09b035b591f0a2f5a7c2b90c7a"/>
    <w:p>
      <w:pPr>
        <w:pStyle w:val="Heading2"/>
      </w:pPr>
      <w:r>
        <w:t xml:space="preserve">1.4 Clinical guidelines for type 2 diabetes care</w:t>
      </w:r>
    </w:p>
    <w:bookmarkStart w:id="86" w:name="context"/>
    <w:p>
      <w:pPr>
        <w:pStyle w:val="Heading3"/>
      </w:pPr>
      <w:r>
        <w:t xml:space="preserve">1.4.1 Context</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and as well as separate guidelines for pharmacological treatment. Although these guidelines advise that monitoring intervals, biomarker goals and treatment intensity are adapted to fit the individual patient, they do provide specific recommendations that may be used as indicators of care quality.</w:t>
      </w:r>
    </w:p>
    <w:bookmarkStart w:id="84" w:name="migrants-in-guidelines"/>
    <w:p>
      <w:pPr>
        <w:pStyle w:val="Heading4"/>
      </w:pPr>
      <w:r>
        <w:t xml:space="preserve">Migrants in guidelines</w:t>
      </w:r>
    </w:p>
    <w:p>
      <w:pPr>
        <w:pStyle w:val="FirstParagraph"/>
      </w:pPr>
      <w:r>
        <w:t xml:space="preserve">Danish guidelines contain a chapter on vulnerable populations, which features a section on cultural and language barriers. Here, the special challenges facing migrants in T2D are noted (high prevalence and early onset of disease, poor metabolic control and early onset of complications), and guideline recommend the use of a professional interpreted when facing language barriers, but specific recommendations on care are not provided. An appendix on ethnic minorities further notes how diabetes-friendly diet and physical exercise can be particularly challenging in these groups, but does not provide recommendations for specific care, except on accomodation of insulin-therapy during religious fasting. In guidelines on pharmacological treatment, migrants are not addressed in the main contents, nor in the appendix on treatment of special groups.</w:t>
      </w:r>
      <w:r>
        <w:rPr>
          <w:vertAlign w:val="superscript"/>
        </w:rPr>
        <w:t xml:space="preserve">37</w:t>
      </w:r>
    </w:p>
    <w:p>
      <w:pPr>
        <w:pStyle w:val="BodyText"/>
      </w:pPr>
      <w:r>
        <w:t xml:space="preserve">The sparse recommendations on clinical management of migrants with T2D is not unique to Denmark, however, as guidelines in nearby countries are similarly lacking:</w:t>
      </w:r>
    </w:p>
    <w:p>
      <w:pPr>
        <w:numPr>
          <w:ilvl w:val="0"/>
          <w:numId w:val="1001"/>
        </w:numPr>
      </w:pPr>
      <w:r>
        <w:t xml:space="preserve">Sweden: Besides stating the need for providing care regardless of ethnicity or other personal and sociodemographic characteristics, Swedish guidelines contain no mentioning of migrants at all.</w:t>
      </w:r>
      <w:r>
        <w:rPr>
          <w:vertAlign w:val="superscript"/>
        </w:rPr>
        <w:t xml:space="preserve">38</w:t>
      </w:r>
    </w:p>
    <w:p>
      <w:pPr>
        <w:numPr>
          <w:ilvl w:val="0"/>
          <w:numId w:val="1001"/>
        </w:numPr>
      </w:pPr>
      <w:r>
        <w:t xml:space="preserve">Germany: Ethnicity is noted as one of several contextual factors influencing morbidity in T2D, but migrants or ethnic minorities are not mentioned otherwise.</w:t>
      </w:r>
      <w:r>
        <w:rPr>
          <w:vertAlign w:val="superscript"/>
        </w:rPr>
        <w:t xml:space="preserve">39</w:t>
      </w:r>
    </w:p>
    <w:p>
      <w:pPr>
        <w:numPr>
          <w:ilvl w:val="0"/>
          <w:numId w:val="1001"/>
        </w:numPr>
      </w:pPr>
      <w:r>
        <w:t xml:space="preserve">The Netherlands: Dutch guidelines recommend increased screening for T2D in individuals of Hindustani, Turkish, Moroccan or Surinamese origin. Guidelines state that provision of diabetes care in these groups should be similar to that in the native Dutch population, and no specific recommendations on care in migrants are provided, although it is noted that some treatment options appears to be less effective in these groups (lifestyle interventions, bariatric surgery).</w:t>
      </w:r>
      <w:r>
        <w:rPr>
          <w:vertAlign w:val="superscript"/>
        </w:rPr>
        <w:t xml:space="preserve">40</w:t>
      </w:r>
    </w:p>
    <w:p>
      <w:pPr>
        <w:numPr>
          <w:ilvl w:val="0"/>
          <w:numId w:val="1001"/>
        </w:numPr>
      </w:pPr>
      <w:r>
        <w:t xml:space="preserve">UK: In UK guidelines, BMI-thresholds for obesity are adjusted in ethnic minorities, and an increased risk of complications in some ethnic groups is noted. No specific recommendations for clinical management of migrants is made, however, citing a lack of evidence on ethnicity-specific effects of pharmacological treatment - instead, a recommendation for research into the effectiveness of SGLT2i in different ethnic groups is made.</w:t>
      </w:r>
      <w:r>
        <w:rPr>
          <w:vertAlign w:val="superscript"/>
        </w:rPr>
        <w:t xml:space="preserve">41</w:t>
      </w:r>
    </w:p>
    <w:p>
      <w:pPr>
        <w:numPr>
          <w:ilvl w:val="0"/>
          <w:numId w:val="1001"/>
        </w:numPr>
      </w:pPr>
      <w:r>
        <w:t xml:space="preserve">Norway: The special needs of migrants were recognized in Norwegian guidelines, and a reference group on migrants and diabetes was established among the authors. However, the topic did not receive a separate guideline chapter (the only topic among 13 author group topics without a separate chapter), and recommendations specific to migrants are limited to more liberal screening for diabetes, use of a professional interpreter, and attention to diet and religious fasting.</w:t>
      </w:r>
      <w:r>
        <w:rPr>
          <w:vertAlign w:val="superscript"/>
        </w:rPr>
        <w:t xml:space="preserve">42</w:t>
      </w:r>
    </w:p>
    <w:bookmarkEnd w:id="84"/>
    <w:bookmarkStart w:id="85" w:name="historical-revisions"/>
    <w:p>
      <w:pPr>
        <w:pStyle w:val="Heading4"/>
      </w:pPr>
      <w:r>
        <w:t xml:space="preserve">Historical revisions</w:t>
      </w:r>
    </w:p>
    <w:p>
      <w:pPr>
        <w:pStyle w:val="FirstParagraph"/>
      </w:pPr>
      <w:r>
        <w:t xml:space="preserve">Danish guidelines for type 2 diabetes care have existed for several decades, but a strictly evidence-based format was first introduced in the 2004 revision. This edition included a chapter on T2D in migrants that recommended the use of a professional interpreter when encountering language barriers, and noted the high prevalence and early incidence of T2D in migrants from third-world countries. Notably, this separate chapter on migrants was not included in revisions after 2004.</w:t>
      </w:r>
      <w:r>
        <w:rPr>
          <w:vertAlign w:val="superscript"/>
        </w:rPr>
        <w:t xml:space="preserve">43</w:t>
      </w:r>
    </w:p>
    <w:p>
      <w:pPr>
        <w:pStyle w:val="BodyText"/>
      </w:pPr>
      <w:r>
        <w:t xml:space="preserve">The guidelines are continuously updated as new evidence emerges. In this PhD project, T2D care was studied in the time period covered by the 2012</w:t>
      </w:r>
      <w:r>
        <w:rPr>
          <w:vertAlign w:val="superscript"/>
        </w:rPr>
        <w:t xml:space="preserve">44</w:t>
      </w:r>
      <w:r>
        <w:t xml:space="preserve"> </w:t>
      </w:r>
      <w:r>
        <w:t xml:space="preserve">and 2019</w:t>
      </w:r>
      <w:r>
        <w:rPr>
          <w:vertAlign w:val="superscript"/>
        </w:rPr>
        <w:t xml:space="preserve">45</w:t>
      </w:r>
      <w:r>
        <w:t xml:space="preserve"> </w:t>
      </w:r>
      <w:r>
        <w:t xml:space="preserve">revisions. These revision brought minimal changes to the recommendations relevant to this PhD project, which were largely unchanged from 2004 until the time period of the studies associated with this dissertation. These recommendations are described below as they appeared in guidelines in effect at the time - with highlights of any mentioning of migrants.</w:t>
      </w:r>
    </w:p>
    <w:p>
      <w:pPr>
        <w:pStyle w:val="BodyText"/>
      </w:pPr>
      <w:r>
        <w:t xml:space="preserve">Current and future readers will note that some recommendations on pharmacological treatment have been rendered obsolete by newer evidence (e.g. recommendations for SGLT2i and GLP1RA were expanded to include all T2D patients with CVD, multiple risk factors for CVD, or chronic kidney disease, irrespective of HbA1c level in the 2022 revision, which also expanded the recommendation for APT to include individuals with kidney failure and concurrent microalbuminuria).</w:t>
      </w:r>
    </w:p>
    <w:bookmarkEnd w:id="85"/>
    <w:bookmarkEnd w:id="86"/>
    <w:bookmarkStart w:id="87" w:name="diagnosis"/>
    <w:p>
      <w:pPr>
        <w:pStyle w:val="Heading3"/>
      </w:pPr>
      <w:r>
        <w:t xml:space="preserve">1.4.2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unless symptoms of diabetes are present. HbA1c is not suitable for diagnosis of T2D in certain groups, e.g. pregnant women and individuals with hemoglobinopathy. Once diagnosed, patients with T2D should be considered permanently affected by the disease, and the associated risk factors for complications should be treated regardless of subsequent normalization of HbA1c.</w:t>
      </w:r>
    </w:p>
    <w:p>
      <w:pPr>
        <w:pStyle w:val="BodyText"/>
      </w:pPr>
      <w:r>
        <w:t xml:space="preserve">Guidelines mention ethnicity as a risk factor for T2D, and recommend considering HbA1c screening in migrants from Asia, Africa and the Middle East, depending on other risk factors and age.</w:t>
      </w:r>
    </w:p>
    <w:bookmarkEnd w:id="87"/>
    <w:bookmarkStart w:id="88" w:name="monitoring-1"/>
    <w:p>
      <w:pPr>
        <w:pStyle w:val="Heading3"/>
      </w:pPr>
      <w:r>
        <w:t xml:space="preserve">1.4.3 Monitoring</w:t>
      </w:r>
    </w:p>
    <w:p>
      <w:pPr>
        <w:pStyle w:val="FirstParagraph"/>
      </w:pPr>
      <w:r>
        <w:t xml:space="preserve">The risk biomarkers HbA1c and LDL-C should be measured at least once a year,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although ophthalmologists can adapt flexible intervals depending on individual retinopathy status and other risk factors.</w:t>
      </w:r>
      <w:r>
        <w:rPr>
          <w:vertAlign w:val="superscript"/>
        </w:rPr>
        <w:t xml:space="preserve">46</w:t>
      </w:r>
      <w:r>
        <w:t xml:space="preserve"> </w:t>
      </w:r>
      <w:r>
        <w:t xml:space="preserve">Similarly, screening for diabetic foot disease should be performed by a podiatrist every year - or, alternatively, by the GP if podiatrist service is unfeasible for the patient. At the initial diagnosis of T2D, a baseline-screening of all five types of monitoring is recommended.</w:t>
      </w:r>
    </w:p>
    <w:p>
      <w:pPr>
        <w:pStyle w:val="BodyText"/>
      </w:pPr>
      <w:r>
        <w:t xml:space="preserve">Guidelines provide no specific recommendations on monitoring in migrants.</w:t>
      </w:r>
    </w:p>
    <w:bookmarkEnd w:id="88"/>
    <w:bookmarkStart w:id="89" w:name="biomarker-levels"/>
    <w:p>
      <w:pPr>
        <w:pStyle w:val="Heading3"/>
      </w:pPr>
      <w:r>
        <w:t xml:space="preserve">1.4.4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9"/>
    <w:bookmarkStart w:id="94" w:name="pharmacological-treatment-1"/>
    <w:p>
      <w:pPr>
        <w:pStyle w:val="Heading3"/>
      </w:pPr>
      <w:r>
        <w:t xml:space="preserve">1.4.5 Pharmacological treatment</w:t>
      </w:r>
    </w:p>
    <w:bookmarkStart w:id="90"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90"/>
    <w:bookmarkStart w:id="91"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91"/>
    <w:bookmarkStart w:id="92" w:name="antihypertensive-drugs"/>
    <w:p>
      <w:pPr>
        <w:pStyle w:val="Heading4"/>
      </w:pPr>
      <w: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92"/>
    <w:bookmarkStart w:id="93"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w:t>
      </w:r>
    </w:p>
    <w:p>
      <w:pPr>
        <w:pStyle w:val="BodyText"/>
      </w:pPr>
      <w:r>
        <w:t xml:space="preserve">Guidelines provide no specific recommendations on any aspect of pharmacological treatment in migrants.</w:t>
      </w:r>
    </w:p>
    <w:bookmarkEnd w:id="93"/>
    <w:bookmarkEnd w:id="94"/>
    <w:bookmarkEnd w:id="95"/>
    <w:bookmarkStart w:id="100" w:name="sec-id-t2d-registers"/>
    <w:p>
      <w:pPr>
        <w:pStyle w:val="Heading2"/>
      </w:pPr>
      <w:r>
        <w:t xml:space="preserve">1.5 Identification of type 2 diabetes cases in healthcare registers</w:t>
      </w:r>
    </w:p>
    <w:bookmarkStart w:id="96" w:name="danish-register-data-infrastructure"/>
    <w:p>
      <w:pPr>
        <w:pStyle w:val="Heading3"/>
      </w:pPr>
      <w:r>
        <w:t xml:space="preserve">1.5.1 Danish register data infrastructure</w:t>
      </w:r>
    </w:p>
    <w:p>
      <w:pPr>
        <w:pStyle w:val="FirstParagraph"/>
      </w:pPr>
      <w:r>
        <w:t xml:space="preserve">Several types of individual-level data, e.g. civil registration, public healthcare contacts, and drug prescriptions, are automatically collected on all residents in Denmark and stored in nationwide Danish registers by Statistics Denmark and the Danish Health Data Authority (see</w:t>
      </w:r>
      <w:r>
        <w:t xml:space="preserve"> </w:t>
      </w:r>
      <w:hyperlink w:anchor="sec-methods">
        <w:r>
          <w:rPr>
            <w:rStyle w:val="Hyperlink"/>
          </w:rPr>
          <w:t xml:space="preserve">Chapter 3</w:t>
        </w:r>
      </w:hyperlink>
      <w:r>
        <w:t xml:space="preserve"> </w:t>
      </w:r>
      <w:r>
        <w:t xml:space="preserve">for details on contents of registers). These agencies are legally allowed to share the register data for research purposes, thus creating a set of common data sources shared by researchers with access to the data. Any researcher associated with an approved Danish research institute (mainly Danish universities) can apply for access, but fees and conditions apply.</w:t>
      </w:r>
    </w:p>
    <w:p>
      <w:pPr>
        <w:pStyle w:val="BodyText"/>
      </w:pPr>
      <w:r>
        <w:t xml:space="preserve">Register data is generally accessed and processed by approved researchers on remote servers operated by Statistics Denmark and the Danish Health Data Authority, and all researchers can potentially access the same raw data - stored in the same structure, unless altered by the researcher (or their data manager). The identical raw data and virtual working environment potentially enables reproducible research. That is, any data processing workflow should be transferable between research projects if the underlying code is designed with reproducibility in mind - if the code is shared (</w:t>
      </w:r>
      <w:r>
        <w:t xml:space="preserve">“</w:t>
      </w:r>
      <w:r>
        <w:t xml:space="preserve">open-sourced</w:t>
      </w:r>
      <w:r>
        <w:t xml:space="preserve">”</w:t>
      </w:r>
      <w:r>
        <w:t xml:space="preserve">). While reproducibility in research relates to transparent reporting of methods to enable others to reproduce analyses and experiments, this also applies to a diabetes classification program, which - if reproducible - could be reused by any researcher with access to the necessary register data to dynamically identify a study population of individuals with diabetes for their research needs.</w:t>
      </w:r>
    </w:p>
    <w:bookmarkEnd w:id="96"/>
    <w:bookmarkStart w:id="97"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97"/>
    <w:bookmarkStart w:id="98"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8"/>
    <w:bookmarkStart w:id="99" w:name="sec-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w:t>
      </w:r>
      <w:r>
        <w:rPr>
          <w:vertAlign w:val="superscript"/>
        </w:rPr>
        <w:t xml:space="preserve">47</w:t>
      </w:r>
      <w:r>
        <w:t xml:space="preserve"> </w:t>
      </w:r>
      <w:r>
        <w:t xml:space="preserve">The National Diabetes Register was discontinued in 2012, and a later validation study questioned its validity and called for future registers to adopt inclusion based on elevated HbA1c levels.</w:t>
      </w:r>
      <w:r>
        <w:rPr>
          <w:vertAlign w:val="superscript"/>
        </w:rPr>
        <w:t xml:space="preserve">48</w:t>
      </w:r>
    </w:p>
    <w:p>
      <w:pPr>
        <w:pStyle w:val="BodyText"/>
      </w:pPr>
      <w:r>
        <w:t xml:space="preserve">Launched in 2014, the Register of Selected Chronic Diseases (RSCD) is currently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r>
        <w:rPr>
          <w:vertAlign w:val="superscript"/>
        </w:rPr>
        <w:t xml:space="preserve">49</w:t>
      </w:r>
    </w:p>
    <w:p>
      <w:pPr>
        <w:pStyle w:val="BodyText"/>
      </w:pPr>
      <w:r>
        <w:t xml:space="preserve">Since the launch of RSCD, nationwide laboratory data on HbA1c testing has become available in the Danish register ecosystem,</w:t>
      </w:r>
      <w:r>
        <w:rPr>
          <w:vertAlign w:val="superscript"/>
        </w:rPr>
        <w:t xml:space="preserve">50</w:t>
      </w:r>
      <w:r>
        <w:t xml:space="preserve"> </w:t>
      </w:r>
      <w:r>
        <w:t xml:space="preserve">but have yet to be incorporated into available diabetes classifiers.</w:t>
      </w:r>
    </w:p>
    <w:bookmarkEnd w:id="99"/>
    <w:bookmarkEnd w:id="100"/>
    <w:bookmarkStart w:id="101"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to this excess risk in migrants is limited, and research in this area faces several challenges,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care disparities between migrants and native Danes.</w:t>
      </w:r>
    </w:p>
    <w:bookmarkEnd w:id="101"/>
    <w:bookmarkEnd w:id="102"/>
    <w:bookmarkStart w:id="106" w:name="sec-aims"/>
    <w:p>
      <w:pPr>
        <w:pStyle w:val="Heading1"/>
      </w:pPr>
      <w:r>
        <w:t xml:space="preserve">2. Aims</w:t>
      </w:r>
    </w:p>
    <w:bookmarkStart w:id="103"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103"/>
    <w:bookmarkStart w:id="104" w:name="specific-aims"/>
    <w:p>
      <w:pPr>
        <w:pStyle w:val="Heading2"/>
      </w:pPr>
      <w:r>
        <w:t xml:space="preserve">2.2 Specific aims</w:t>
      </w:r>
    </w:p>
    <w:p>
      <w:pPr>
        <w:numPr>
          <w:ilvl w:val="0"/>
          <w:numId w:val="1002"/>
        </w:numPr>
      </w:pPr>
      <w:r>
        <w:t xml:space="preserve">Develop a register-based classification of type 1 and type 2 diabetes incorporating previous recommendations on data sources and make it available to other researchers.</w:t>
      </w:r>
    </w:p>
    <w:p>
      <w:pPr>
        <w:numPr>
          <w:ilvl w:val="0"/>
          <w:numId w:val="1002"/>
        </w:numPr>
      </w:pPr>
      <w:r>
        <w:t xml:space="preserve">Validate register-based diabetes classifiers available to researchers in Denmark.</w:t>
      </w:r>
    </w:p>
    <w:p>
      <w:pPr>
        <w:numPr>
          <w:ilvl w:val="0"/>
          <w:numId w:val="1002"/>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2"/>
        </w:numPr>
      </w:pPr>
      <w:r>
        <w:t xml:space="preserve">Evaluate disparities in the quality of glucose-lowering pharmacological treatment between migrants and native Danes in terms of combination therapy and drug types.</w:t>
      </w:r>
    </w:p>
    <w:bookmarkEnd w:id="104"/>
    <w:bookmarkStart w:id="105"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w:t>
      </w:r>
      <w:r>
        <w:t xml:space="preserve"> </w:t>
      </w:r>
      <w:r>
        <w:rPr>
          <w:iCs/>
          <w:i/>
        </w:rPr>
        <w:t xml:space="preserve">Open-Source Diabetes Classifier</w:t>
      </w:r>
      <w:r>
        <w:t xml:space="preserve"> </w:t>
      </w:r>
      <w:r>
        <w:t xml:space="preserve">(OSDC), available in the open-source R package</w:t>
      </w:r>
      <w:r>
        <w:t xml:space="preserve"> </w:t>
      </w:r>
      <w:r>
        <w:rPr>
          <w:iCs/>
          <w:i/>
        </w:rPr>
        <w:t xml:space="preserve">osdc</w:t>
      </w:r>
      <w:r>
        <w:t xml:space="preserve">.</w:t>
      </w:r>
      <w:r>
        <w:rPr>
          <w:vertAlign w:val="superscript"/>
        </w:rPr>
        <w:t xml:space="preserve">51</w:t>
      </w:r>
    </w:p>
    <w:bookmarkEnd w:id="105"/>
    <w:bookmarkEnd w:id="106"/>
    <w:bookmarkStart w:id="149" w:name="sec-methods"/>
    <w:p>
      <w:pPr>
        <w:pStyle w:val="Heading1"/>
      </w:pPr>
      <w:r>
        <w:t xml:space="preserve">3. Material and methods</w:t>
      </w:r>
    </w:p>
    <w:p>
      <w:pPr>
        <w:pStyle w:val="FirstParagraph"/>
      </w:pPr>
      <w:r>
        <w:t xml:space="preserve">This chapter describes the healthcare setting and the register data sources underlying the studies of this PhD project. Secondly, the diabetes classification algorithms used in the project are described, as well as the sources of survey data used to validate them. The last half of the chapter goes over the study designs, populations and statistical methods of the three papers associated with the dissertation.</w:t>
      </w:r>
    </w:p>
    <w:bookmarkStart w:id="107" w:name="setting-the-danish-healthcare-system"/>
    <w:p>
      <w:pPr>
        <w:pStyle w:val="Heading2"/>
      </w:pPr>
      <w:r>
        <w:t xml:space="preserve">3.1 Setting: The Danish healthcare system</w:t>
      </w:r>
    </w:p>
    <w:p>
      <w:pPr>
        <w:pStyle w:val="FirstParagraph"/>
      </w:pPr>
      <w:r>
        <w:t xml:space="preserve">Denmark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addition, the 98 Danish municipalities are obliged to offer resources to prevent and/or manage chronic disease, such as programs on managing T2D through diet and physical exercise.</w:t>
      </w:r>
    </w:p>
    <w:p>
      <w:pPr>
        <w:pStyle w:val="BodyText"/>
      </w:pPr>
      <w:r>
        <w:t xml:space="preserve">Although referral to outpatient hospital care is possible, patients with T2D are primarily treated at the GP, which native Danes and migrants with residence permit have free access to. In the tax-funded Danish public healthcare system, Danish citizens and migrants with residence permit have equal access to services, and nearly all services are provided free of charge, although T2D patients incur some out-of-pocket co-payments for podiatrist care and prescription drug purchases at pharmacies. Yearly co-payments towards medication expenditures are partially covered from €132 and expenditures beyond €553 are fully covered (2019 limits),</w:t>
      </w:r>
      <w:r>
        <w:rPr>
          <w:vertAlign w:val="superscript"/>
        </w:rPr>
        <w:t xml:space="preserve">52</w:t>
      </w:r>
      <w:r>
        <w:t xml:space="preserve"> </w:t>
      </w:r>
      <w:r>
        <w:t xml:space="preserve">while 50% of all expenditures towards diabetes-specific podiatrist care are covered by the the public health insurance.</w:t>
      </w:r>
      <w:r>
        <w:rPr>
          <w:vertAlign w:val="superscript"/>
        </w:rPr>
        <w:t xml:space="preserve">53</w:t>
      </w:r>
    </w:p>
    <w:bookmarkEnd w:id="107"/>
    <w:bookmarkStart w:id="113" w:name="register-data-sources"/>
    <w:p>
      <w:pPr>
        <w:pStyle w:val="Heading2"/>
      </w:pPr>
      <w:r>
        <w:t xml:space="preserve">3.2 Register data sources</w:t>
      </w:r>
    </w:p>
    <w:p>
      <w:pPr>
        <w:pStyle w:val="FirstParagraph"/>
      </w:pPr>
      <w:r>
        <w:t xml:space="preserve">In Denmark, civil registration, public healthcare contacts, and drug prescriptions are recorded with a unique personal identifier (the</w:t>
      </w:r>
      <w:r>
        <w:t xml:space="preserve"> </w:t>
      </w:r>
      <w:r>
        <w:rPr>
          <w:iCs/>
          <w:i/>
        </w:rPr>
        <w:t xml:space="preserve">CPR number</w:t>
      </w:r>
      <w:r>
        <w:t xml:space="preserve">) given to all Danish residents at immigration or birth. This enables coverage of the entire population and complete linkage between data sources, and forms the foundation of several nationwide Danish healthcare registers.</w:t>
      </w:r>
      <w:r>
        <w:rPr>
          <w:vertAlign w:val="superscript"/>
        </w:rPr>
        <w:t xml:space="preserve">54</w:t>
      </w:r>
      <w:r>
        <w:t xml:space="preserve"> </w:t>
      </w:r>
      <w:r>
        <w:t xml:space="preserve">The following section briefly describes the data extracted from these registers, as well as other data sources used in the PhD project. A detailed list of variables and code values used is available in</w:t>
      </w:r>
      <w:r>
        <w:t xml:space="preserve"> </w:t>
      </w:r>
      <w:hyperlink w:anchor="sec-supplementary-material">
        <w:r>
          <w:rPr>
            <w:rStyle w:val="Hyperlink"/>
          </w:rPr>
          <w:t xml:space="preserve">Supplementary material B</w:t>
        </w:r>
      </w:hyperlink>
      <w:r>
        <w:t xml:space="preserve">.</w:t>
      </w:r>
    </w:p>
    <w:bookmarkStart w:id="108" w:name="the-danish-civil-registration-system"/>
    <w:p>
      <w:pPr>
        <w:pStyle w:val="Heading3"/>
      </w:pPr>
      <w:r>
        <w:t xml:space="preserve">3.2.1 The Danish Civil Registration System</w:t>
      </w:r>
    </w:p>
    <w:p>
      <w:pPr>
        <w:pStyle w:val="FirstParagraph"/>
      </w:pPr>
      <w:r>
        <w:t xml:space="preserve">The Danish Civil Registration System contains civil registration data on all residents in Denmark. Information on migrations and country of origin was extracted, in addition to data on age, sex, equivalised disposable household income,</w:t>
      </w:r>
      <w:r>
        <w:rPr>
          <w:vertAlign w:val="superscript"/>
        </w:rPr>
        <w:t xml:space="preserve">55</w:t>
      </w:r>
      <w:r>
        <w:t xml:space="preserve"> </w:t>
      </w:r>
      <w:r>
        <w:t xml:space="preserve">employment status, and region of residence.</w:t>
      </w:r>
    </w:p>
    <w:bookmarkEnd w:id="108"/>
    <w:bookmarkStart w:id="109" w:name="the-danish-national-patient-register"/>
    <w:p>
      <w:pPr>
        <w:pStyle w:val="Heading3"/>
      </w:pPr>
      <w:r>
        <w:t xml:space="preserve">3.2.2 The Danish National Patient Register</w:t>
      </w:r>
    </w:p>
    <w:p>
      <w:pPr>
        <w:pStyle w:val="FirstParagraph"/>
      </w:pPr>
      <w:r>
        <w:t xml:space="preserve">The Danish National Patient Register contains information on all hospital admissions and outpatient contacts. Data on diagnoses of diabetes and cardiovascular complications, and procedures relating to retinal screening and treatment of cardiovascular complications was extracted from 1994 through 2018. At the time of this PhD project, the clinical coding system in use was the International Classification of Diseases,</w:t>
      </w:r>
      <w:r>
        <w:t xml:space="preserve"> </w:t>
      </w:r>
      <m:oMath>
        <m:r>
          <m:t>10</m:t>
        </m:r>
        <m:r>
          <m:t>t</m:t>
        </m:r>
        <m:r>
          <m:t>h</m:t>
        </m:r>
      </m:oMath>
      <w:r>
        <w:t xml:space="preserve"> </w:t>
      </w:r>
      <w:r>
        <w:t xml:space="preserve">revision (</w:t>
      </w:r>
      <w:r>
        <w:rPr>
          <w:iCs/>
          <w:i/>
        </w:rPr>
        <w:t xml:space="preserve">ICD-10</w:t>
      </w:r>
      <w:r>
        <w:t xml:space="preserve">), implemented in 1994.</w:t>
      </w:r>
      <w:r>
        <w:rPr>
          <w:vertAlign w:val="superscript"/>
        </w:rPr>
        <w:t xml:space="preserve">56</w:t>
      </w:r>
    </w:p>
    <w:bookmarkEnd w:id="109"/>
    <w:bookmarkStart w:id="110" w:name="X3af9b7ed1d5e0ff0cd6d4bfe5d0d681376b15e6"/>
    <w:p>
      <w:pPr>
        <w:pStyle w:val="Heading3"/>
      </w:pPr>
      <w:r>
        <w:t xml:space="preserve">3.2.3 The Danish National Health Service Register</w:t>
      </w:r>
    </w:p>
    <w:p>
      <w:pPr>
        <w:pStyle w:val="FirstParagraph"/>
      </w:pPr>
      <w:r>
        <w:t xml:space="preserve">The Danish National Health Service Register contains information on all public healthcare services provided in the primary care sector. The data is essentially billing information, and serves as the basis for payment to the healthcare provider from the Danish regions. Each type of service has a unique</w:t>
      </w:r>
      <w:r>
        <w:t xml:space="preserve"> </w:t>
      </w:r>
      <w:r>
        <w:rPr>
          <w:iCs/>
          <w:i/>
        </w:rPr>
        <w:t xml:space="preserve">SPECIALE</w:t>
      </w:r>
      <w:r>
        <w:t xml:space="preserve">-code (e.g. all diabetes-specific podiatrist care services are contained as sub-codes under</w:t>
      </w:r>
      <w:r>
        <w:t xml:space="preserve"> </w:t>
      </w:r>
      <w:r>
        <w:rPr>
          <w:iCs/>
          <w:i/>
        </w:rPr>
        <w:t xml:space="preserve">SPECIALE</w:t>
      </w:r>
      <w:r>
        <w:t xml:space="preserve">-code 54) Information on diabetes-specific services performed at podiatrist and ophthalmologist practices from 1990 through 2018 was extracted, as well as point-of-care HbA1c testing performed at GPs.</w:t>
      </w:r>
    </w:p>
    <w:bookmarkEnd w:id="110"/>
    <w:bookmarkStart w:id="111" w:name="Xf0a2e503b1a86ac13ab9589644b273bc93749c8"/>
    <w:p>
      <w:pPr>
        <w:pStyle w:val="Heading3"/>
      </w:pPr>
      <w:r>
        <w:t xml:space="preserve">3.2.4 The Danish National Prescription Registry</w:t>
      </w:r>
    </w:p>
    <w:p>
      <w:pPr>
        <w:pStyle w:val="FirstParagraph"/>
      </w:pPr>
      <w:r>
        <w:t xml:space="preserve">The Danish National Prescription Registry contains information on all prescription drug purchases at Danish pharmacies, classified according to the Anatomical Therapeutic Chemical (ATC) Classification. These registrations serve to determine reimbursement awarded to each purchase from the public health insurance. Information on purchases of GLD, LLD, ACEI, ARB, and APT from 1995 through 2018 was extracted.</w:t>
      </w:r>
    </w:p>
    <w:bookmarkEnd w:id="111"/>
    <w:bookmarkStart w:id="112" w:name="Xbd90143be8b826e1d39cd221e327df87aac3651"/>
    <w:p>
      <w:pPr>
        <w:pStyle w:val="Heading3"/>
      </w:pPr>
      <w:r>
        <w:t xml:space="preserve">3.2.5 The Danish Register of Laboratory Results for Research</w:t>
      </w:r>
    </w:p>
    <w:p>
      <w:pPr>
        <w:pStyle w:val="FirstParagraph"/>
      </w:pPr>
      <w:r>
        <w:t xml:space="preserve">The Danish Register of Laboratory Results for Research contains information on clinical biomarker samples analysed at clinical biochemistry departments in hospitals around Denmark. With the exception of point-of-care tests, all biomarker samples taken in the primary healthcare sector are sent for analysis in hospital laboratories. Compared to the other registers, this is a relatively new data source, initially launched in 2013, and only recently achieved nationwide coverage.</w:t>
      </w:r>
      <w:r>
        <w:rPr>
          <w:vertAlign w:val="superscript"/>
        </w:rPr>
        <w:t xml:space="preserve">50</w:t>
      </w:r>
    </w:p>
    <w:p>
      <w:pPr>
        <w:pStyle w:val="BodyText"/>
      </w:pPr>
      <w:r>
        <w:t xml:space="preserve">At the time of data extraction, the Central Denmark Region, one of five administrative regions in Denmark (population of 1.3 million inhabitants, 22% of the entire Danish population) was not yet covered in the register. To address this issue, laboratory results from this part of the the population were extracted directly from the</w:t>
      </w:r>
      <w:r>
        <w:t xml:space="preserve"> </w:t>
      </w:r>
      <w:r>
        <w:rPr>
          <w:iCs/>
          <w:i/>
        </w:rPr>
        <w:t xml:space="preserve">Clinical Laboratory Information System</w:t>
      </w:r>
      <w:r>
        <w:t xml:space="preserve">, a clinical database that stores all laboratory results analysed in Central Denmark Region. Data on HbA1c, LDL-C, and UACR analyses were extracted from 2011 through 2018.</w:t>
      </w:r>
    </w:p>
    <w:bookmarkEnd w:id="112"/>
    <w:bookmarkEnd w:id="113"/>
    <w:bookmarkStart w:id="118" w:name="diabetes-classification-algorithms"/>
    <w:p>
      <w:pPr>
        <w:pStyle w:val="Heading2"/>
      </w:pPr>
      <w:r>
        <w:t xml:space="preserve">3.3 Diabetes classification algorithms</w:t>
      </w:r>
    </w:p>
    <w:p>
      <w:pPr>
        <w:pStyle w:val="FirstParagraph"/>
      </w:pPr>
      <w:r>
        <w:t xml:space="preserve">As described previously in</w:t>
      </w:r>
      <w:r>
        <w:t xml:space="preserve"> </w:t>
      </w:r>
      <w:hyperlink w:anchor="sec-register-based-diabetes-classifiers">
        <w:r>
          <w:rPr>
            <w:rStyle w:val="Hyperlink"/>
          </w:rPr>
          <w:t xml:space="preserve">Section 1.5.4</w:t>
        </w:r>
      </w:hyperlink>
      <w:r>
        <w:t xml:space="preserve">, currently available register-based diabetes classifiers have yet to incorporate the emerging register data on routine HbA1c testing, despite recommendations to do so. Wishing to take advantage of this data, we developed a new classifier, the OSDC. As a point of reference, we developed an implementation of the RSCD diabetes classifier (version 1.0, August 2016) according to official documentation.</w:t>
      </w:r>
      <w:r>
        <w:rPr>
          <w:vertAlign w:val="superscript"/>
        </w:rPr>
        <w:t xml:space="preserve">49</w:t>
      </w:r>
    </w:p>
    <w:p>
      <w:pPr>
        <w:pStyle w:val="BodyText"/>
      </w:pPr>
      <w:r>
        <w:t xml:space="preserve">The following sections describe the algorithms behind these diabetes classifiers. Pros and cons of their design are discussed in</w:t>
      </w:r>
      <w:r>
        <w:t xml:space="preserve"> </w:t>
      </w:r>
      <w:hyperlink w:anchor="sec-discussion-of-methods">
        <w:r>
          <w:rPr>
            <w:rStyle w:val="Hyperlink"/>
          </w:rPr>
          <w:t xml:space="preserve">Chapter 5</w:t>
        </w:r>
      </w:hyperlink>
      <w:r>
        <w:t xml:space="preserve">.</w:t>
      </w:r>
    </w:p>
    <w:bookmarkStart w:id="114" w:name="the-open-source-diabetes-classifier"/>
    <w:p>
      <w:pPr>
        <w:pStyle w:val="Heading3"/>
      </w:pPr>
      <w:r>
        <w:t xml:space="preserve">3.3.1 The Open-Source Diabetes Classifier</w:t>
      </w:r>
    </w:p>
    <w:p>
      <w:pPr>
        <w:pStyle w:val="FirstParagraph"/>
      </w:pPr>
      <w:r>
        <w:t xml:space="preserve">This classifier first identifies a population of individuals with any type of diabetes mellitus, and then splits this population into T1D and T2D by identifying individuals with T1D and classifying the remainder of the diabetes population as T2D.</w:t>
      </w:r>
    </w:p>
    <w:p>
      <w:pPr>
        <w:pStyle w:val="BodyText"/>
      </w:pPr>
      <w:r>
        <w:t xml:space="preserve">In OSDC, diabetes is defined at the second occurrence of any event across the four types of inclusion events listed below. All available data is used, except purchases of GLD, which are restricted to data from 1997 onwards.</w:t>
      </w:r>
    </w:p>
    <w:p>
      <w:pPr>
        <w:numPr>
          <w:ilvl w:val="0"/>
          <w:numId w:val="1003"/>
        </w:numPr>
        <w:pStyle w:val="Compact"/>
      </w:pPr>
      <w:r>
        <w:t xml:space="preserve">HbA1c measurements of ≥48 mmol/mol, after censoring:</w:t>
      </w:r>
    </w:p>
    <w:p>
      <w:pPr>
        <w:numPr>
          <w:ilvl w:val="1"/>
          <w:numId w:val="1004"/>
        </w:numPr>
        <w:pStyle w:val="Compact"/>
      </w:pPr>
      <w:r>
        <w:t xml:space="preserve">Results of samples taken during pregnancies - potential gestational diabetes mellitus (GDM).</w:t>
      </w:r>
    </w:p>
    <w:p>
      <w:pPr>
        <w:numPr>
          <w:ilvl w:val="0"/>
          <w:numId w:val="1003"/>
        </w:numPr>
        <w:pStyle w:val="Compact"/>
      </w:pPr>
      <w:r>
        <w:t xml:space="preserve">Hospital diagnoses of diabetes.</w:t>
      </w:r>
    </w:p>
    <w:p>
      <w:pPr>
        <w:numPr>
          <w:ilvl w:val="0"/>
          <w:numId w:val="1003"/>
        </w:numPr>
        <w:pStyle w:val="Compact"/>
      </w:pPr>
      <w:r>
        <w:t xml:space="preserve">Diabetes-specific services received at podiatrist.</w:t>
      </w:r>
    </w:p>
    <w:p>
      <w:pPr>
        <w:numPr>
          <w:ilvl w:val="0"/>
          <w:numId w:val="1003"/>
        </w:numPr>
        <w:pStyle w:val="Compact"/>
      </w:pPr>
      <w:r>
        <w:t xml:space="preserve">Purchases of GLD after censoring:</w:t>
      </w:r>
    </w:p>
    <w:p>
      <w:pPr>
        <w:numPr>
          <w:ilvl w:val="1"/>
          <w:numId w:val="1005"/>
        </w:numPr>
      </w:pPr>
      <w:r>
        <w:t xml:space="preserve">Brand drugs for weight loss, e.g. </w:t>
      </w:r>
      <w:r>
        <w:rPr>
          <w:iCs/>
          <w:i/>
        </w:rPr>
        <w:t xml:space="preserve">Saxenda.</w:t>
      </w:r>
    </w:p>
    <w:p>
      <w:pPr>
        <w:numPr>
          <w:ilvl w:val="1"/>
          <w:numId w:val="1005"/>
        </w:numPr>
      </w:pPr>
      <w:r>
        <w:t xml:space="preserve">Purchases during pregnancies - potential treatment of GDM.</w:t>
      </w:r>
    </w:p>
    <w:p>
      <w:pPr>
        <w:numPr>
          <w:ilvl w:val="1"/>
          <w:numId w:val="1005"/>
        </w:numPr>
      </w:pPr>
      <w:r>
        <w:t xml:space="preserve">Metformin purchases in women below age 40 - potential treatment of polycystic ovary syndrome (PCOS).</w:t>
      </w:r>
    </w:p>
    <w:p>
      <w:pPr>
        <w:pStyle w:val="FirstParagraph"/>
      </w:pPr>
      <w:r>
        <w:t xml:space="preserve">Diabetes type is classified as either T1D or T2D based on patterns of purchases of insulins (including analogues) and hospital primary diagnoses of T1D and T2D. Classification as T1D requires an individual to fulfill either of the following criteria:</w:t>
      </w:r>
    </w:p>
    <w:p>
      <w:pPr>
        <w:numPr>
          <w:ilvl w:val="0"/>
          <w:numId w:val="1006"/>
        </w:numPr>
      </w:pPr>
      <w:r>
        <w:t xml:space="preserve">Must have purchased only insulins and never any other type of GLD, and have at least one diagnosis of T1D</w:t>
      </w:r>
    </w:p>
    <w:p>
      <w:pPr>
        <w:numPr>
          <w:ilvl w:val="0"/>
          <w:numId w:val="1006"/>
        </w:numPr>
      </w:pPr>
      <w:r>
        <w:t xml:space="preserve">Must have a majority of T1D diagnoses from endocrinological departments (or from other medical departments, in the absence of contacts to endocrinological departments), and a purchase of insulin within 180 days after onset of diabetes, with insulin contributing at least two thirds of all defined daily doses of GLD purchased.</w:t>
      </w:r>
      <w:r>
        <w:rPr>
          <w:vertAlign w:val="superscript"/>
        </w:rPr>
        <w:t xml:space="preserve">57</w:t>
      </w:r>
    </w:p>
    <w:p>
      <w:pPr>
        <w:pStyle w:val="FirstParagraph"/>
      </w:pPr>
      <w:r>
        <w:t xml:space="preserve">In populations generated on a fixed index date (such as the cross-sectional studies associated with this dissertation), individuals classified as T1D must have purchased insulins in the last year prior to the index date.</w:t>
      </w:r>
    </w:p>
    <w:p>
      <w:pPr>
        <w:pStyle w:val="BodyText"/>
      </w:pPr>
      <w:r>
        <w:t xml:space="preserve">Individuals not classified as T1D are classified as T2D.</w:t>
      </w:r>
    </w:p>
    <w:bookmarkEnd w:id="114"/>
    <w:bookmarkStart w:id="117" w:name="Xc96988680c3534542edd8acf317c72c79dc613c"/>
    <w:p>
      <w:pPr>
        <w:pStyle w:val="Heading3"/>
      </w:pPr>
      <w:r>
        <w:t xml:space="preserve">3.3.2 The Register of Selected Chronic Diseases</w:t>
      </w:r>
    </w:p>
    <w:p>
      <w:pPr>
        <w:pStyle w:val="FirstParagraph"/>
      </w:pPr>
      <w:r>
        <w:t xml:space="preserve">Formally, the RSCD includes two separate algorithms, RSCD-T1D and RSCD-T2D, that identify T1D and T2D, respectively. In practice, however, they are inter-dependent, as individuals identified by the T2D classifier are excluded from the T1D classifier.</w:t>
      </w:r>
    </w:p>
    <w:p>
      <w:pPr>
        <w:pStyle w:val="BodyText"/>
      </w:pPr>
      <w:r>
        <w:t xml:space="preserve">In RSCD, diabetes is defined by type-specific diagnoses of T1D or T2D, and purchases of GLD. Individuals are defined as having T1D or T2D if they meet any of the algorithm’s inclusion criteria without fulfilling any of its exclusion criteria.</w:t>
      </w:r>
    </w:p>
    <w:bookmarkStart w:id="115" w:name="classification-of-type-2-diabetes"/>
    <w:p>
      <w:pPr>
        <w:pStyle w:val="Heading4"/>
      </w:pPr>
      <w:r>
        <w:t xml:space="preserve">Classification of type 2 diabetes</w:t>
      </w:r>
    </w:p>
    <w:p>
      <w:pPr>
        <w:pStyle w:val="FirstParagraph"/>
      </w:pPr>
      <w:r>
        <w:t xml:space="preserve">For classification of T2D, inclusion criteria include:</w:t>
      </w:r>
    </w:p>
    <w:p>
      <w:pPr>
        <w:numPr>
          <w:ilvl w:val="0"/>
          <w:numId w:val="1007"/>
        </w:numPr>
        <w:pStyle w:val="Compact"/>
      </w:pPr>
      <w:r>
        <w:t xml:space="preserve">Any purchases of non-insulin GLD.</w:t>
      </w:r>
    </w:p>
    <w:p>
      <w:pPr>
        <w:numPr>
          <w:ilvl w:val="0"/>
          <w:numId w:val="1007"/>
        </w:numPr>
        <w:pStyle w:val="Compact"/>
      </w:pPr>
      <w:r>
        <w:t xml:space="preserve">A hospital diagnosis of T2D as the most recent type-specific diabetes diagnosis.</w:t>
      </w:r>
    </w:p>
    <w:p>
      <w:pPr>
        <w:pStyle w:val="FirstParagraph"/>
      </w:pPr>
      <w:r>
        <w:t xml:space="preserve">Exclusions from the T2D population include:</w:t>
      </w:r>
    </w:p>
    <w:p>
      <w:pPr>
        <w:numPr>
          <w:ilvl w:val="0"/>
          <w:numId w:val="1008"/>
        </w:numPr>
        <w:pStyle w:val="Compact"/>
      </w:pPr>
      <w:r>
        <w:t xml:space="preserve">Women that have only purchased metformin and have any diagnoses of PCOS, purchases of clomifene or combination drugs containing antiandrogens and estrogens.</w:t>
      </w:r>
    </w:p>
    <w:p>
      <w:pPr>
        <w:numPr>
          <w:ilvl w:val="0"/>
          <w:numId w:val="1008"/>
        </w:numPr>
        <w:pStyle w:val="Compact"/>
      </w:pPr>
      <w:r>
        <w:t xml:space="preserve">Individuals with only one recorded inclusion event.</w:t>
      </w:r>
    </w:p>
    <w:p>
      <w:pPr>
        <w:numPr>
          <w:ilvl w:val="0"/>
          <w:numId w:val="1008"/>
        </w:numPr>
        <w:pStyle w:val="Compact"/>
      </w:pPr>
      <w:r>
        <w:t xml:space="preserve">Individuals with no recorded inclusion events in the last 10 years prior to the index date.</w:t>
      </w:r>
    </w:p>
    <w:bookmarkEnd w:id="115"/>
    <w:bookmarkStart w:id="116" w:name="classification-of-type-1-diabetes"/>
    <w:p>
      <w:pPr>
        <w:pStyle w:val="Heading4"/>
      </w:pPr>
      <w:r>
        <w:t xml:space="preserve">Classification of type 1 diabetes</w:t>
      </w:r>
    </w:p>
    <w:p>
      <w:pPr>
        <w:pStyle w:val="FirstParagraph"/>
      </w:pPr>
      <w:r>
        <w:t xml:space="preserve">For classification of T1D, inclusion criteria include:</w:t>
      </w:r>
    </w:p>
    <w:p>
      <w:pPr>
        <w:numPr>
          <w:ilvl w:val="0"/>
          <w:numId w:val="1009"/>
        </w:numPr>
        <w:pStyle w:val="Compact"/>
      </w:pPr>
      <w:r>
        <w:t xml:space="preserve">Any purchases of insulins.</w:t>
      </w:r>
    </w:p>
    <w:p>
      <w:pPr>
        <w:numPr>
          <w:ilvl w:val="0"/>
          <w:numId w:val="1009"/>
        </w:numPr>
        <w:pStyle w:val="Compact"/>
      </w:pPr>
      <w:r>
        <w:t xml:space="preserve">A hospital diagnosis of T1D as the most recent type-specific diabetes diagnosis.</w:t>
      </w:r>
    </w:p>
    <w:p>
      <w:pPr>
        <w:pStyle w:val="FirstParagraph"/>
      </w:pPr>
      <w:r>
        <w:t xml:space="preserve">Exclusions from the T1D population include:</w:t>
      </w:r>
    </w:p>
    <w:p>
      <w:pPr>
        <w:numPr>
          <w:ilvl w:val="0"/>
          <w:numId w:val="1010"/>
        </w:numPr>
        <w:pStyle w:val="Compact"/>
      </w:pPr>
      <w:r>
        <w:t xml:space="preserve">Women with any diagnoses of GDM, who have made purchases of GLD only in the period between 280 days prior to their first diagnosis of GDM and 280 days after their last diagnosis of GDM.</w:t>
      </w:r>
    </w:p>
    <w:p>
      <w:pPr>
        <w:numPr>
          <w:ilvl w:val="0"/>
          <w:numId w:val="1010"/>
        </w:numPr>
        <w:pStyle w:val="Compact"/>
      </w:pPr>
      <w:r>
        <w:t xml:space="preserve">Individuals classified as T2D.</w:t>
      </w:r>
    </w:p>
    <w:p>
      <w:pPr>
        <w:numPr>
          <w:ilvl w:val="0"/>
          <w:numId w:val="1010"/>
        </w:numPr>
        <w:pStyle w:val="Compact"/>
      </w:pPr>
      <w:r>
        <w:t xml:space="preserve">Individuals without any purchases of GLD, or have made only one purchase and have no hospital records of T1D.</w:t>
      </w:r>
    </w:p>
    <w:p>
      <w:pPr>
        <w:numPr>
          <w:ilvl w:val="0"/>
          <w:numId w:val="1010"/>
        </w:numPr>
        <w:pStyle w:val="Compact"/>
      </w:pPr>
      <w:r>
        <w:t xml:space="preserve">Individuals with no insulin purchases in the last 10 years prior to the index date.</w:t>
      </w:r>
    </w:p>
    <w:bookmarkEnd w:id="116"/>
    <w:bookmarkEnd w:id="117"/>
    <w:bookmarkEnd w:id="118"/>
    <w:bookmarkStart w:id="121" w:name="questionnaire-data-used-in-validation"/>
    <w:p>
      <w:pPr>
        <w:pStyle w:val="Heading2"/>
      </w:pPr>
      <w:r>
        <w:t xml:space="preserve">3.4 Questionnaire data used in validation</w:t>
      </w:r>
    </w:p>
    <w:p>
      <w:pPr>
        <w:pStyle w:val="FirstParagraph"/>
      </w:pPr>
      <w:r>
        <w:t xml:space="preserve">To validate the above diabetes classifiers, self-reported data from two surveys was retrieved. The design and contents of these surveys is described below.</w:t>
      </w:r>
    </w:p>
    <w:bookmarkStart w:id="119" w:name="the-health-in-central-denmark-survey"/>
    <w:p>
      <w:pPr>
        <w:pStyle w:val="Heading3"/>
      </w:pPr>
      <w:r>
        <w:t xml:space="preserve">3.4.1 The Health In Central Denmark survey</w:t>
      </w:r>
    </w:p>
    <w:p>
      <w:pPr>
        <w:pStyle w:val="FirstParagraph"/>
      </w:pPr>
      <w:r>
        <w:t xml:space="preserve">Health in Central Denmark is a digital and postal questionnaire survey conducted in the Central Denmark Region. The survey was conducted in 2020 on all inhabitants aged 18 to 74 years identified as prevalent diabetes cases by OSDC on 31 Dec 2018, plus an equally-sized group of OSDC non-diabetes cases (matched to diabetes cases by sex, age, and municipality). The survey collected self-reported data related to health in general, with an additional focus on items related to diabetes mellitus, such as current disease, diabetes type, and age at onset.In total, 44,659 OSDC diabetes cases and 46,195 matched OSDC non-diabetes cases were invited to the survey, and 51,854 (57%) responded.</w:t>
      </w:r>
      <w:r>
        <w:rPr>
          <w:vertAlign w:val="superscript"/>
        </w:rPr>
        <w:t xml:space="preserve">58</w:t>
      </w:r>
    </w:p>
    <w:bookmarkEnd w:id="119"/>
    <w:bookmarkStart w:id="120" w:name="the-national-health-survey"/>
    <w:p>
      <w:pPr>
        <w:pStyle w:val="Heading3"/>
      </w:pPr>
      <w:r>
        <w:t xml:space="preserve">3.4.2 The National Health Survey</w:t>
      </w:r>
    </w:p>
    <w:p>
      <w:pPr>
        <w:pStyle w:val="FirstParagraph"/>
      </w:pPr>
      <w:r>
        <w:t xml:space="preserve">The National Health Survey is a repeated digital and postal questionnaire survey conducted among a representative sample of Danish residents aged 16 or above. It collects self-reported data related to mental and physical health in general, such as current or former chronic diseases, and includes a question on diabetes of any type.</w:t>
      </w:r>
      <w:r>
        <w:rPr>
          <w:vertAlign w:val="superscript"/>
        </w:rPr>
        <w:t xml:space="preserve">59</w:t>
      </w:r>
      <w:r>
        <w:t xml:space="preserve"> </w:t>
      </w:r>
      <w:r>
        <w:t xml:space="preserve">In the 2017 survey of Central Denmark Region, 52,000 individuals were invited and 32,400 (62%) responded. Data from this survey was used in supplementary validation analyses.</w:t>
      </w:r>
    </w:p>
    <w:bookmarkEnd w:id="120"/>
    <w:bookmarkEnd w:id="121"/>
    <w:bookmarkStart w:id="134" w:name="study-design-and-population"/>
    <w:p>
      <w:pPr>
        <w:pStyle w:val="Heading2"/>
      </w:pPr>
      <w:r>
        <w:t xml:space="preserve">3.5 Study design and population</w:t>
      </w:r>
    </w:p>
    <w:p>
      <w:pPr>
        <w:pStyle w:val="FirstParagraph"/>
      </w:pPr>
      <w:r>
        <w:t xml:space="preserve">In addition to developing a code package for the statistical programming language</w:t>
      </w:r>
      <w:r>
        <w:t xml:space="preserve"> </w:t>
      </w:r>
      <w:r>
        <w:rPr>
          <w:iCs/>
          <w:i/>
        </w:rPr>
        <w:t xml:space="preserve">R</w:t>
      </w:r>
      <w:r>
        <w:t xml:space="preserve"> </w:t>
      </w:r>
      <w:r>
        <w:t xml:space="preserve">containing the source-code behind the diabetes classifiers, three studies were conducted. Study I was designed to examine the validity of register-based definitions of T1D and T2D. After validating the two candidate classifiers, the most accurate classifier - OSDC - was chosen to identify study populations of T2D for use in studies II and III.</w:t>
      </w:r>
    </w:p>
    <w:p>
      <w:pPr>
        <w:pStyle w:val="BodyText"/>
      </w:pPr>
      <w:r>
        <w:rPr>
          <w:iCs/>
          <w:i/>
        </w:rPr>
        <w:t xml:space="preserve">[Overview table of the three studies]</w:t>
      </w:r>
    </w:p>
    <w:bookmarkStart w:id="125" w:name="study-populations"/>
    <w:p>
      <w:pPr>
        <w:pStyle w:val="Heading3"/>
      </w:pPr>
      <w:r>
        <w:t xml:space="preserve">3.5.1 Study populations</w:t>
      </w:r>
    </w:p>
    <w:bookmarkStart w:id="122" w:name="study-i"/>
    <w:p>
      <w:pPr>
        <w:pStyle w:val="Heading4"/>
      </w:pPr>
      <w:r>
        <w:t xml:space="preserve">Study I</w:t>
      </w:r>
    </w:p>
    <w:p>
      <w:pPr>
        <w:pStyle w:val="FirstParagraph"/>
      </w:pPr>
      <w:r>
        <w:t xml:space="preserve">Validation analyses were performed in a subset of respondents in the Health in Central Denmark survey.</w:t>
      </w:r>
    </w:p>
    <w:p>
      <w:pPr>
        <w:pStyle w:val="BodyText"/>
      </w:pPr>
      <w:r>
        <w:t xml:space="preserve">Among survey respondents, 2,411 were excluded due to missing data on diabetes items. 2,093 individuals with self-reported onset of diabetes after 31 December 2018 were excluded, as diabetes cases onset after the index date would erroneously evaluate to false-negative cases in the register-based classifiers, due to the delay from register-classification on the index date (31 December 2018) until questionnaire responses (November 2020).</w:t>
      </w:r>
    </w:p>
    <w:p>
      <w:pPr>
        <w:pStyle w:val="BodyText"/>
      </w:pPr>
      <w:r>
        <w:t xml:space="preserve">After these exclusions, 47,350 individuals remained, but due to survey invites being conditioned on OSDC diabetes status, the survey population was biased towards the OSDC classification and OSDC diabetes prevalence was 43.7% (20,692 individuals). To account for this, we first estimated the OSDC diabetes prevalence to be 9.3% (2,483 individuals) in a random sample of 26,665 individuals from the background population with the same age, sex and municipality distributions as the OSDC non-diabetes cases of respondents. To offset the oversampling of OSDC diabetes cases in the survey, OSDC diabetes cases were randomly subsampled to 2,733 individuals to achieve an unbiased OSDC diabetes prevalence of 9.3% in the final study population of 29,391 individuals.</w:t>
      </w:r>
    </w:p>
    <w:bookmarkEnd w:id="122"/>
    <w:bookmarkStart w:id="123" w:name="study-ii"/>
    <w:p>
      <w:pPr>
        <w:pStyle w:val="Heading4"/>
      </w:pPr>
      <w:r>
        <w:t xml:space="preserve">Study II</w:t>
      </w:r>
    </w:p>
    <w:p>
      <w:pPr>
        <w:pStyle w:val="FirstParagraph"/>
      </w:pPr>
      <w:r>
        <w:t xml:space="preserve">Register data was used to identify 262,837 individuals with prevalent T2D on 1 January 2018 (index date) from a background population of 3,864,528 native Danes or first-generation migrants from the selected origin categories aged 25 - 99 years, and residing at least 3 years in Denmark on the index date.</w:t>
      </w:r>
    </w:p>
    <w:p>
      <w:pPr>
        <w:pStyle w:val="BodyText"/>
      </w:pPr>
      <w:r>
        <w:t xml:space="preserve">T2D prevalence was studied in the above population. In order to study T2D care where it was clinically relevant, the analyses of T2D care were performed in a distinct subsets of the population with T2D, as outlined below:</w:t>
      </w:r>
    </w:p>
    <w:p>
      <w:pPr>
        <w:numPr>
          <w:ilvl w:val="0"/>
          <w:numId w:val="1011"/>
        </w:numPr>
        <w:pStyle w:val="Compact"/>
      </w:pPr>
      <w:r>
        <w:t xml:space="preserve">All analyses of T2D care were performed in a subset of 254,097 individuals with T2D onset at least 6 months prior to the index date in order to allow time for baseline-screening, initiation of pharmacological treatment and subsequent biomarker control to occur in the newly-diagnosed.</w:t>
      </w:r>
    </w:p>
    <w:p>
      <w:pPr>
        <w:numPr>
          <w:ilvl w:val="1"/>
          <w:numId w:val="1012"/>
        </w:numPr>
        <w:pStyle w:val="Compact"/>
      </w:pPr>
      <w:r>
        <w:t xml:space="preserve">Monitoring was evaluated among all these individuals:</w:t>
      </w:r>
    </w:p>
    <w:p>
      <w:pPr>
        <w:numPr>
          <w:ilvl w:val="2"/>
          <w:numId w:val="1013"/>
        </w:numPr>
        <w:pStyle w:val="Compact"/>
      </w:pPr>
      <w:r>
        <w:t xml:space="preserve">Monitoring of HbA1c, LDL-C, nephropathy, retinopathy and foot disease: 254,097 individuals.</w:t>
      </w:r>
    </w:p>
    <w:p>
      <w:pPr>
        <w:numPr>
          <w:ilvl w:val="1"/>
          <w:numId w:val="1012"/>
        </w:numPr>
        <w:pStyle w:val="Compact"/>
      </w:pPr>
      <w:r>
        <w:t xml:space="preserve">Biomarker levels were evaluated in those with at least one measurement prior to the index date:</w:t>
      </w:r>
    </w:p>
    <w:p>
      <w:pPr>
        <w:numPr>
          <w:ilvl w:val="2"/>
          <w:numId w:val="1014"/>
        </w:numPr>
        <w:pStyle w:val="Compact"/>
      </w:pPr>
      <w:r>
        <w:t xml:space="preserve">HbA1c levels: 250,075 individuals.</w:t>
      </w:r>
    </w:p>
    <w:p>
      <w:pPr>
        <w:numPr>
          <w:ilvl w:val="2"/>
          <w:numId w:val="1014"/>
        </w:numPr>
        <w:pStyle w:val="Compact"/>
      </w:pPr>
      <w:r>
        <w:t xml:space="preserve">LDL-C levels: 248,813 individuals.</w:t>
      </w:r>
    </w:p>
    <w:p>
      <w:pPr>
        <w:numPr>
          <w:ilvl w:val="1"/>
          <w:numId w:val="1012"/>
        </w:numPr>
        <w:pStyle w:val="Compact"/>
      </w:pPr>
      <w:r>
        <w:t xml:space="preserve">Each analysis of pharmacological treatment was limited to individuals with a clear guideline-recommendation for that particular treatment according to complication status or biomarker levels on the index date (excluding individuals not alive and resident in Denmark in the year following the index date and thus unable to purchase medication):</w:t>
      </w:r>
    </w:p>
    <w:p>
      <w:pPr>
        <w:numPr>
          <w:ilvl w:val="2"/>
          <w:numId w:val="1015"/>
        </w:numPr>
        <w:pStyle w:val="Compact"/>
      </w:pPr>
      <w:r>
        <w:t xml:space="preserve">GLD. HbA1c ≥48 mmol/mol at the most recent measurement: 140,208 individuals.</w:t>
      </w:r>
    </w:p>
    <w:p>
      <w:pPr>
        <w:numPr>
          <w:ilvl w:val="2"/>
          <w:numId w:val="1015"/>
        </w:numPr>
        <w:pStyle w:val="Compact"/>
      </w:pPr>
      <w:r>
        <w:t xml:space="preserve">LLD. Prevalent macrovascular complications or DKD, or age above 40 with LDL-C above 2.5 mmol/L: 128,707 individuals.</w:t>
      </w:r>
    </w:p>
    <w:p>
      <w:pPr>
        <w:numPr>
          <w:ilvl w:val="2"/>
          <w:numId w:val="1015"/>
        </w:numPr>
        <w:pStyle w:val="Compact"/>
      </w:pPr>
      <w:r>
        <w:t xml:space="preserve">ACEI/ARB &amp; APT. Prevalent macrovascular complications or DKD: 77,414 individuals.</w:t>
      </w:r>
    </w:p>
    <w:bookmarkEnd w:id="123"/>
    <w:bookmarkStart w:id="124" w:name="study-iii"/>
    <w:p>
      <w:pPr>
        <w:pStyle w:val="Heading4"/>
      </w:pPr>
      <w:r>
        <w:t xml:space="preserve">Study III</w:t>
      </w:r>
    </w:p>
    <w:p>
      <w:pPr>
        <w:pStyle w:val="FirstParagraph"/>
      </w:pPr>
      <w:r>
        <w:t xml:space="preserve">Register data was used to identify 275,525 individuals with prevalent T2D on 1 January 2019 (index date) from a background population of 4,084,564 individuals above age 25. Among individuals with T2D, 269,011 native Danes or first-generation migrants from the selected origin categories residing at least 3 years in Denmark on the index date were included. After exclusion of 5,518 individuals without records of HbA1c or LDL-cholesterol, the study population contained 263,393 individuals. A subsequent analysis of GLD use in the year 2021 was performed on 241,140 individuals from the above study population still alive and residing in Denmark on 1 January 2021.</w:t>
      </w:r>
    </w:p>
    <w:bookmarkEnd w:id="124"/>
    <w:bookmarkEnd w:id="125"/>
    <w:bookmarkStart w:id="129" w:name="outcomes"/>
    <w:p>
      <w:pPr>
        <w:pStyle w:val="Heading3"/>
      </w:pPr>
      <w:r>
        <w:t xml:space="preserve">3.5.2 Outcomes</w:t>
      </w:r>
    </w:p>
    <w:bookmarkStart w:id="126" w:name="study-i-1"/>
    <w:p>
      <w:pPr>
        <w:pStyle w:val="Heading4"/>
      </w:pPr>
      <w:r>
        <w:t xml:space="preserve">Study I</w:t>
      </w:r>
    </w:p>
    <w:p>
      <w:pPr>
        <w:pStyle w:val="FirstParagraph"/>
      </w:pPr>
      <w:r>
        <w:t xml:space="preserve">The validation golden standard, self-reported diabetes type, was categorized as either T1D (self-reported T1D), T2D (all other types of diabetes) or no diabetes, corresponding to the diabetes types discernable by the register-based classifiers.</w:t>
      </w:r>
    </w:p>
    <w:bookmarkEnd w:id="126"/>
    <w:bookmarkStart w:id="127" w:name="study-ii-1"/>
    <w:p>
      <w:pPr>
        <w:pStyle w:val="Heading4"/>
      </w:pPr>
      <w:r>
        <w:t xml:space="preserve">Study II</w:t>
      </w:r>
    </w:p>
    <w:p>
      <w:pPr>
        <w:pStyle w:val="FirstParagraph"/>
      </w:pPr>
      <w:r>
        <w:t xml:space="preserve">Twelve outcomes were defined as follows</w:t>
      </w:r>
    </w:p>
    <w:p>
      <w:pPr>
        <w:numPr>
          <w:ilvl w:val="0"/>
          <w:numId w:val="1016"/>
        </w:numPr>
        <w:pStyle w:val="Compact"/>
      </w:pPr>
      <w:r>
        <w:t xml:space="preserve">Prevalent T2D was defined as OSDC-classified T2D prevalent on the index date.</w:t>
      </w:r>
    </w:p>
    <w:p>
      <w:pPr>
        <w:pStyle w:val="FirstParagraph"/>
      </w:pPr>
      <w:r>
        <w:t xml:space="preserve">T2D care quality was evaluated in the scope of failure to meet guideline recommendations in terms of monitoring (allowing for three months of leeway), biomarker levels, and pharmacological treatment.</w:t>
      </w:r>
    </w:p>
    <w:p>
      <w:pPr>
        <w:pStyle w:val="BodyText"/>
      </w:pPr>
      <w:r>
        <w:t xml:space="preserve">T2D monitoring was evaluated in time-frames prior to index date, according to guideline-recommendations:</w:t>
      </w:r>
    </w:p>
    <w:p>
      <w:pPr>
        <w:numPr>
          <w:ilvl w:val="0"/>
          <w:numId w:val="1017"/>
        </w:numPr>
        <w:pStyle w:val="Compact"/>
      </w:pPr>
      <w:r>
        <w:t xml:space="preserve">Monitoring of HbA1c and LDL-C, as well as UACR-screening for diabetic nephropathy were identified by records of biomarker samples between October 1, 2016 and December 31, 2017 in the</w:t>
      </w:r>
      <w:r>
        <w:t xml:space="preserve"> </w:t>
      </w:r>
      <w:r>
        <w:rPr>
          <w:iCs/>
          <w:i/>
        </w:rPr>
        <w:t xml:space="preserve">Register of Laboratory Results for Research</w:t>
      </w:r>
      <w:r>
        <w:t xml:space="preserve"> </w:t>
      </w:r>
      <w:r>
        <w:t xml:space="preserve">or the</w:t>
      </w:r>
      <w:r>
        <w:t xml:space="preserve"> </w:t>
      </w:r>
      <w:r>
        <w:rPr>
          <w:iCs/>
          <w:i/>
        </w:rPr>
        <w:t xml:space="preserve">Clinical Laboratory Information System</w:t>
      </w:r>
      <w:r>
        <w:t xml:space="preserve">. Additional monitoring of HbA1c using point-of-care tests was identified by records in the</w:t>
      </w:r>
      <w:r>
        <w:t xml:space="preserve"> </w:t>
      </w:r>
      <w:r>
        <w:rPr>
          <w:iCs/>
          <w:i/>
        </w:rPr>
        <w:t xml:space="preserve">National Health Service Register</w:t>
      </w:r>
      <w:r>
        <w:t xml:space="preserve">.</w:t>
      </w:r>
    </w:p>
    <w:p>
      <w:pPr>
        <w:numPr>
          <w:ilvl w:val="0"/>
          <w:numId w:val="1017"/>
        </w:numPr>
        <w:pStyle w:val="Compact"/>
      </w:pPr>
      <w:r>
        <w:t xml:space="preserve">Screening for diabetic retinopathy was identified by records of retinal photoscreening for diabetic retinopathy between October 1, 2015 and December 31, 2017 - either at hospital departments in the</w:t>
      </w:r>
      <w:r>
        <w:t xml:space="preserve"> </w:t>
      </w:r>
      <w:r>
        <w:rPr>
          <w:iCs/>
          <w:i/>
        </w:rPr>
        <w:t xml:space="preserve">National Patient Register</w:t>
      </w:r>
      <w:r>
        <w:t xml:space="preserve">, or diabetes-specific examinations at ophthalmologist practice recorded in the</w:t>
      </w:r>
      <w:r>
        <w:t xml:space="preserve"> </w:t>
      </w:r>
      <w:r>
        <w:rPr>
          <w:iCs/>
          <w:i/>
        </w:rPr>
        <w:t xml:space="preserve">National Health Service Register .</w:t>
      </w:r>
    </w:p>
    <w:p>
      <w:pPr>
        <w:numPr>
          <w:ilvl w:val="0"/>
          <w:numId w:val="1017"/>
        </w:numPr>
        <w:pStyle w:val="Compact"/>
      </w:pPr>
      <w:r>
        <w:t xml:space="preserve">Screening for diabetic foot disease was identified by records of diabetes-specific podiatrist services received between October 1, 2016 and December 31, 2017 in the</w:t>
      </w:r>
      <w:r>
        <w:t xml:space="preserve"> </w:t>
      </w:r>
      <w:r>
        <w:rPr>
          <w:iCs/>
          <w:i/>
        </w:rPr>
        <w:t xml:space="preserve">National Health Service Register.</w:t>
      </w:r>
    </w:p>
    <w:p>
      <w:pPr>
        <w:pStyle w:val="FirstParagraph"/>
      </w:pPr>
      <w:r>
        <w:t xml:space="preserve">Biomarker levels on the index date was evaluated using the most recent measurement of HbA1c and LDL-C before the index date:</w:t>
      </w:r>
    </w:p>
    <w:p>
      <w:pPr>
        <w:numPr>
          <w:ilvl w:val="0"/>
          <w:numId w:val="1018"/>
        </w:numPr>
        <w:pStyle w:val="Compact"/>
      </w:pPr>
      <w:r>
        <w:t xml:space="preserve">The outcome measure for HbA1c control was a level ≥53 mmol/mol.</w:t>
      </w:r>
    </w:p>
    <w:p>
      <w:pPr>
        <w:numPr>
          <w:ilvl w:val="0"/>
          <w:numId w:val="1018"/>
        </w:numPr>
        <w:pStyle w:val="Compact"/>
      </w:pPr>
      <w:r>
        <w:t xml:space="preserve">For LDL-C, the outcome measure was a level ≥2.6 mmol/L.</w:t>
      </w:r>
    </w:p>
    <w:p>
      <w:pPr>
        <w:pStyle w:val="FirstParagraph"/>
      </w:pPr>
      <w:r>
        <w:t xml:space="preserve">Pharmacological treatment was assessed in the year following the index date, and treatment was defined by at least one purchase of the respective type of drug based on the following ATC codes (including subcodes):</w:t>
      </w:r>
    </w:p>
    <w:p>
      <w:pPr>
        <w:numPr>
          <w:ilvl w:val="0"/>
          <w:numId w:val="1019"/>
        </w:numPr>
        <w:pStyle w:val="Compact"/>
      </w:pPr>
      <w:r>
        <w:t xml:space="preserve">GLD: ATC A10.</w:t>
      </w:r>
    </w:p>
    <w:p>
      <w:pPr>
        <w:numPr>
          <w:ilvl w:val="0"/>
          <w:numId w:val="1019"/>
        </w:numPr>
        <w:pStyle w:val="Compact"/>
      </w:pPr>
      <w:r>
        <w:t xml:space="preserve">LLD: ATC C10.</w:t>
      </w:r>
    </w:p>
    <w:p>
      <w:pPr>
        <w:numPr>
          <w:ilvl w:val="0"/>
          <w:numId w:val="1019"/>
        </w:numPr>
        <w:pStyle w:val="Compact"/>
      </w:pPr>
      <w:r>
        <w:t xml:space="preserve">ACEI/ARB: ATC C09A-C09D.</w:t>
      </w:r>
    </w:p>
    <w:p>
      <w:pPr>
        <w:numPr>
          <w:ilvl w:val="0"/>
          <w:numId w:val="1019"/>
        </w:numPr>
        <w:pStyle w:val="Compact"/>
      </w:pPr>
      <w:r>
        <w:t xml:space="preserve">APT: ATC B01AC.</w:t>
      </w:r>
    </w:p>
    <w:bookmarkEnd w:id="127"/>
    <w:bookmarkStart w:id="128" w:name="study-iii-1"/>
    <w:p>
      <w:pPr>
        <w:pStyle w:val="Heading4"/>
      </w:pPr>
      <w:r>
        <w:t xml:space="preserve">Study III</w:t>
      </w:r>
    </w:p>
    <w:p>
      <w:pPr>
        <w:pStyle w:val="FirstParagraph"/>
      </w:pPr>
      <w:r>
        <w:t xml:space="preserve">Use of individual GLD types was defined by any purchases made during the respective year (2019 and 2021). Purchase of the following types of GLD counted towards the total number of drugs used by an individual in a year (fixed-dose combination drugs counting towards both of their component drug types):</w:t>
      </w:r>
    </w:p>
    <w:p>
      <w:pPr>
        <w:numPr>
          <w:ilvl w:val="0"/>
          <w:numId w:val="1020"/>
        </w:numPr>
        <w:pStyle w:val="Compact"/>
      </w:pPr>
      <w:r>
        <w:t xml:space="preserve">Metformin: A10BA02, A10BD0, A10BD10-16, A10BD20, A10BD23.</w:t>
      </w:r>
    </w:p>
    <w:p>
      <w:pPr>
        <w:numPr>
          <w:ilvl w:val="0"/>
          <w:numId w:val="1020"/>
        </w:numPr>
        <w:pStyle w:val="Compact"/>
      </w:pPr>
      <w:r>
        <w:t xml:space="preserve">Sulfonylureas: A10BB.</w:t>
      </w:r>
    </w:p>
    <w:p>
      <w:pPr>
        <w:numPr>
          <w:ilvl w:val="0"/>
          <w:numId w:val="1020"/>
        </w:numPr>
        <w:pStyle w:val="Compact"/>
      </w:pPr>
      <w:r>
        <w:t xml:space="preserve">DPP4i: A10BH, A10BD0, A10BD10-11, A10BD13, A10BD19, A10BD21, A10BD24.</w:t>
      </w:r>
    </w:p>
    <w:p>
      <w:pPr>
        <w:numPr>
          <w:ilvl w:val="0"/>
          <w:numId w:val="1020"/>
        </w:numPr>
        <w:pStyle w:val="Compact"/>
      </w:pPr>
      <w:r>
        <w:t xml:space="preserve">SGLT2i: A10BK, A10BD15-24, A10BX09, A10BX11-12.</w:t>
      </w:r>
    </w:p>
    <w:p>
      <w:pPr>
        <w:numPr>
          <w:ilvl w:val="0"/>
          <w:numId w:val="1020"/>
        </w:numPr>
        <w:pStyle w:val="Compact"/>
      </w:pPr>
      <w:r>
        <w:t xml:space="preserve">Insulins (including analogues): A10A.</w:t>
      </w:r>
    </w:p>
    <w:p>
      <w:pPr>
        <w:numPr>
          <w:ilvl w:val="0"/>
          <w:numId w:val="1020"/>
        </w:numPr>
        <w:pStyle w:val="Compact"/>
      </w:pPr>
      <w:r>
        <w:t xml:space="preserve">GLP1RA: A10BJ, A10AE5, A10BX04, A10BX07, A10BX10, A10BX13-14.</w:t>
      </w:r>
    </w:p>
    <w:p>
      <w:pPr>
        <w:numPr>
          <w:ilvl w:val="0"/>
          <w:numId w:val="1020"/>
        </w:numPr>
        <w:pStyle w:val="Compact"/>
      </w:pPr>
      <w:r>
        <w:t xml:space="preserve">Thiazolidinediones: A10BG.</w:t>
      </w:r>
    </w:p>
    <w:p>
      <w:pPr>
        <w:numPr>
          <w:ilvl w:val="0"/>
          <w:numId w:val="1020"/>
        </w:numPr>
        <w:pStyle w:val="Compact"/>
      </w:pPr>
      <w:r>
        <w:t xml:space="preserve">Repaglinide: A10BX02.</w:t>
      </w:r>
    </w:p>
    <w:p>
      <w:pPr>
        <w:pStyle w:val="FirstParagraph"/>
      </w:pPr>
      <w:r>
        <w:t xml:space="preserve">Separate outcomes for the use of each individual GLD type were defined for metformin, sulfonylurea, DPP4i, SGLT2i, insulins, and GLP1RA. In addition, combination therapy was analysed using the following two outcome definitions:</w:t>
      </w:r>
    </w:p>
    <w:p>
      <w:pPr>
        <w:numPr>
          <w:ilvl w:val="0"/>
          <w:numId w:val="1021"/>
        </w:numPr>
      </w:pPr>
      <w:r>
        <w:t xml:space="preserve">Any combination therapy: two or more drug types purchased in the year</w:t>
      </w:r>
    </w:p>
    <w:p>
      <w:pPr>
        <w:numPr>
          <w:ilvl w:val="0"/>
          <w:numId w:val="1021"/>
        </w:numPr>
      </w:pPr>
      <w:r>
        <w:t xml:space="preserve">Triple combination therapy: three or more drug types purchased in the year.</w:t>
      </w:r>
    </w:p>
    <w:bookmarkEnd w:id="128"/>
    <w:bookmarkEnd w:id="129"/>
    <w:bookmarkStart w:id="130" w:name="Xc2981d17aee31a72614fb65c3ca405dc4137d16"/>
    <w:p>
      <w:pPr>
        <w:pStyle w:val="Heading3"/>
      </w:pPr>
      <w:r>
        <w:t xml:space="preserve">3.5.3 Primary variable of interest: migrant status</w:t>
      </w:r>
    </w:p>
    <w:p>
      <w:pPr>
        <w:pStyle w:val="FirstParagraph"/>
      </w:pPr>
      <w:r>
        <w:t xml:space="preserve">Migrant status and country of origin was defined according to the definitions by Statistics Denmark. Based on the national origins with the most T2D cases and the United Nations M49 geoscheme, the population was grouped into nine origin categories:</w:t>
      </w:r>
    </w:p>
    <w:p>
      <w:pPr>
        <w:numPr>
          <w:ilvl w:val="0"/>
          <w:numId w:val="1022"/>
        </w:numPr>
        <w:pStyle w:val="Compact"/>
      </w:pPr>
      <w:r>
        <w:t xml:space="preserve">Native Danes</w:t>
      </w:r>
    </w:p>
    <w:p>
      <w:pPr>
        <w:numPr>
          <w:ilvl w:val="0"/>
          <w:numId w:val="1022"/>
        </w:numPr>
        <w:pStyle w:val="Compact"/>
      </w:pPr>
      <w:r>
        <w:t xml:space="preserve">Europe (M49: Europe, except countries of the former Yugoslavia)</w:t>
      </w:r>
    </w:p>
    <w:p>
      <w:pPr>
        <w:numPr>
          <w:ilvl w:val="0"/>
          <w:numId w:val="1022"/>
        </w:numPr>
        <w:pStyle w:val="Compact"/>
      </w:pPr>
      <w:r>
        <w:t xml:space="preserve">Middle East (M49: Northern Africa, Western Asia except Turkey, plus Afghanistan and Iran)</w:t>
      </w:r>
    </w:p>
    <w:p>
      <w:pPr>
        <w:pStyle w:val="FirstParagraph"/>
      </w:pPr>
      <w:r>
        <w:t xml:space="preserve">And the six remaining individual countries with the most T2D cases (in order of number of cases):</w:t>
      </w:r>
    </w:p>
    <w:p>
      <w:pPr>
        <w:numPr>
          <w:ilvl w:val="0"/>
          <w:numId w:val="1023"/>
        </w:numPr>
        <w:pStyle w:val="Compact"/>
      </w:pPr>
      <w:r>
        <w:t xml:space="preserve">Turkey</w:t>
      </w:r>
    </w:p>
    <w:p>
      <w:pPr>
        <w:numPr>
          <w:ilvl w:val="0"/>
          <w:numId w:val="1023"/>
        </w:numPr>
        <w:pStyle w:val="Compact"/>
      </w:pPr>
      <w:r>
        <w:t xml:space="preserve">Former Yugoslavia</w:t>
      </w:r>
    </w:p>
    <w:p>
      <w:pPr>
        <w:numPr>
          <w:ilvl w:val="0"/>
          <w:numId w:val="1023"/>
        </w:numPr>
        <w:pStyle w:val="Compact"/>
      </w:pPr>
      <w:r>
        <w:t xml:space="preserve">Pakistan</w:t>
      </w:r>
    </w:p>
    <w:p>
      <w:pPr>
        <w:numPr>
          <w:ilvl w:val="0"/>
          <w:numId w:val="1023"/>
        </w:numPr>
        <w:pStyle w:val="Compact"/>
      </w:pPr>
      <w:r>
        <w:t xml:space="preserve">Sri Lanka</w:t>
      </w:r>
    </w:p>
    <w:p>
      <w:pPr>
        <w:numPr>
          <w:ilvl w:val="0"/>
          <w:numId w:val="1023"/>
        </w:numPr>
        <w:pStyle w:val="Compact"/>
      </w:pPr>
      <w:r>
        <w:t xml:space="preserve">Somalia</w:t>
      </w:r>
    </w:p>
    <w:p>
      <w:pPr>
        <w:numPr>
          <w:ilvl w:val="0"/>
          <w:numId w:val="1023"/>
        </w:numPr>
        <w:pStyle w:val="Compact"/>
      </w:pPr>
      <w:r>
        <w:t xml:space="preserve">Vietnam</w:t>
      </w:r>
    </w:p>
    <w:bookmarkEnd w:id="130"/>
    <w:bookmarkStart w:id="133" w:name="other-explanatory-variables"/>
    <w:p>
      <w:pPr>
        <w:pStyle w:val="Heading3"/>
      </w:pPr>
      <w:r>
        <w:t xml:space="preserve">3.5.4 Other explanatory variables</w:t>
      </w:r>
    </w:p>
    <w:bookmarkStart w:id="131" w:name="socioeconomic-variables"/>
    <w:p>
      <w:pPr>
        <w:pStyle w:val="Heading4"/>
      </w:pPr>
      <w:r>
        <w:t xml:space="preserve">Socioeconomic variables</w:t>
      </w:r>
    </w:p>
    <w:p>
      <w:pPr>
        <w:pStyle w:val="FirstParagraph"/>
      </w:pPr>
      <w:r>
        <w:t xml:space="preserve">Age and diabetes-duration on index dates were treated as continuous variables. Household income was based on the 3-year average of equivalised disposable household income prior to index dates, converted to the corresponding percentile in the background population and treated as a continuous variable. As a measure of acculturation, duration of residence was calculated from the date of first migration into Denmark, converted to a categorical variable with native Danes categorized in the maximally acculturated group. Employment status was categorized as</w:t>
      </w:r>
      <w:r>
        <w:t xml:space="preserve"> </w:t>
      </w:r>
      <w:r>
        <w:rPr>
          <w:iCs/>
          <w:i/>
        </w:rPr>
        <w:t xml:space="preserve">Employed</w:t>
      </w:r>
      <w:r>
        <w:t xml:space="preserve"> </w:t>
      </w:r>
      <w:r>
        <w:t xml:space="preserve">(including students and others),</w:t>
      </w:r>
      <w:r>
        <w:t xml:space="preserve"> </w:t>
      </w:r>
      <w:r>
        <w:rPr>
          <w:iCs/>
          <w:i/>
        </w:rPr>
        <w:t xml:space="preserve">Retired</w:t>
      </w:r>
      <w:r>
        <w:t xml:space="preserve"> </w:t>
      </w:r>
      <w:r>
        <w:t xml:space="preserve">or</w:t>
      </w:r>
      <w:r>
        <w:t xml:space="preserve"> </w:t>
      </w:r>
      <w:r>
        <w:rPr>
          <w:iCs/>
          <w:i/>
        </w:rPr>
        <w:t xml:space="preserve">Unemployed</w:t>
      </w:r>
      <w:r>
        <w:t xml:space="preserve"> </w:t>
      </w:r>
      <w:r>
        <w:t xml:space="preserve">based on the year prior to index dates.</w:t>
      </w:r>
    </w:p>
    <w:bookmarkEnd w:id="131"/>
    <w:bookmarkStart w:id="132" w:name="clinical-variables"/>
    <w:p>
      <w:pPr>
        <w:pStyle w:val="Heading4"/>
      </w:pPr>
      <w:r>
        <w:t xml:space="preserve">Clinical variables</w:t>
      </w:r>
    </w:p>
    <w:p>
      <w:pPr>
        <w:pStyle w:val="FirstParagraph"/>
      </w:pPr>
      <w:r>
        <w:t xml:space="preserve">Prevalent macrovascular complications were assessed by primary diagnosis codes of stroke, ischemic heart disease and peripheral arterial disease (and associated procedure codes) prior to index dates. Diabetic kidney disease was defined as a UACR ≥300 mg/g measured within three years prior to index dates (study II: within 27 months). Other types of microvascular complications were not included due to insufficient data.</w:t>
      </w:r>
    </w:p>
    <w:p>
      <w:pPr>
        <w:pStyle w:val="BodyText"/>
      </w:pPr>
      <w:r>
        <w:t xml:space="preserve">Study III used HbA1c levels and LDL-C levels at baseline as continuous covariates for adjustment, as well as LLD use within a year prior to the index date. Finally, analyses of the use of individual GLD drug types in study III adjusted for combination therapy categorized as</w:t>
      </w:r>
      <w:r>
        <w:t xml:space="preserve"> </w:t>
      </w:r>
      <w:r>
        <w:rPr>
          <w:iCs/>
          <w:i/>
        </w:rPr>
        <w:t xml:space="preserve">Monotherapy or no GLD</w:t>
      </w:r>
      <w:r>
        <w:t xml:space="preserve">,</w:t>
      </w:r>
      <w:r>
        <w:t xml:space="preserve"> </w:t>
      </w:r>
      <w:r>
        <w:rPr>
          <w:iCs/>
          <w:i/>
        </w:rPr>
        <w:t xml:space="preserve">Dual combination</w:t>
      </w:r>
      <w:r>
        <w:t xml:space="preserve"> </w:t>
      </w:r>
      <w:r>
        <w:t xml:space="preserve">and</w:t>
      </w:r>
      <w:r>
        <w:t xml:space="preserve"> </w:t>
      </w:r>
      <w:r>
        <w:rPr>
          <w:iCs/>
          <w:i/>
        </w:rPr>
        <w:t xml:space="preserve">Triple combination or more</w:t>
      </w:r>
      <w:r>
        <w:t xml:space="preserve">.</w:t>
      </w:r>
    </w:p>
    <w:bookmarkEnd w:id="132"/>
    <w:bookmarkEnd w:id="133"/>
    <w:bookmarkEnd w:id="134"/>
    <w:bookmarkStart w:id="147" w:name="statistical-analysis"/>
    <w:p>
      <w:pPr>
        <w:pStyle w:val="Heading2"/>
      </w:pPr>
      <w:r>
        <w:t xml:space="preserve">3.6 Statistical analysis</w:t>
      </w:r>
    </w:p>
    <w:p>
      <w:pPr>
        <w:pStyle w:val="FirstParagraph"/>
      </w:pPr>
      <w:r>
        <w:t xml:space="preserve">Statistical analyses were performed in RStudio</w:t>
      </w:r>
      <w:r>
        <w:rPr>
          <w:vertAlign w:val="superscript"/>
        </w:rPr>
        <w:t xml:space="preserve">60</w:t>
      </w:r>
      <w:r>
        <w:t xml:space="preserve"> </w:t>
      </w:r>
      <w:r>
        <w:t xml:space="preserve">using R version 4</w:t>
      </w:r>
      <w:r>
        <w:rPr>
          <w:vertAlign w:val="superscript"/>
        </w:rPr>
        <w:t xml:space="preserve">61</w:t>
      </w:r>
      <w:r>
        <w:t xml:space="preserve"> </w:t>
      </w:r>
      <w:r>
        <w:t xml:space="preserve">and a range of open-source code packages for computations</w:t>
      </w:r>
      <w:r>
        <w:rPr>
          <w:vertAlign w:val="superscript"/>
        </w:rPr>
        <w:t xml:space="preserve">62–66</w:t>
      </w:r>
      <w:r>
        <w:t xml:space="preserve"> </w:t>
      </w:r>
      <w:r>
        <w:t xml:space="preserve">and visualisation.</w:t>
      </w:r>
      <w:r>
        <w:rPr>
          <w:vertAlign w:val="superscript"/>
        </w:rPr>
        <w:t xml:space="preserve">67,68</w:t>
      </w:r>
    </w:p>
    <w:p>
      <w:pPr>
        <w:pStyle w:val="BodyText"/>
      </w:pPr>
      <w:r>
        <w:t xml:space="preserve">This section describes our overall statistical analysis strategy, followed by the specific statistical analyses of each study.</w:t>
      </w:r>
    </w:p>
    <w:p>
      <w:pPr>
        <w:pStyle w:val="BodyText"/>
      </w:pPr>
      <w:r>
        <w:t xml:space="preserve">Logistic regression - a statistical model that computes odds ratios (OR) between groups - is often applied in cross-sectional studies to estimate relative risk (RR, or risk ratio). However, odds ratios approximate relative risk</w:t>
      </w:r>
      <w:r>
        <w:t xml:space="preserve"> </w:t>
      </w:r>
      <w:r>
        <w:rPr>
          <w:bCs/>
          <w:b/>
        </w:rPr>
        <w:t xml:space="preserve">only</w:t>
      </w:r>
      <w:r>
        <w:t xml:space="preserve"> </w:t>
      </w:r>
      <w:r>
        <w:t xml:space="preserve">when the outcome is</w:t>
      </w:r>
      <w:r>
        <w:t xml:space="preserve"> </w:t>
      </w:r>
      <w:r>
        <w:rPr>
          <w:iCs/>
          <w:i/>
        </w:rPr>
        <w:t xml:space="preserve">rare</w:t>
      </w:r>
      <w:r>
        <w:t xml:space="preserve">. If this is not the case, interpreting ORs as RRs will exaggerate risk estimates,</w:t>
      </w:r>
      <w:r>
        <w:rPr>
          <w:vertAlign w:val="superscript"/>
        </w:rPr>
        <w:t xml:space="preserve">69</w:t>
      </w:r>
      <w:r>
        <w:t xml:space="preserve"> </w:t>
      </w:r>
      <w:r>
        <w:t xml:space="preserve">as illustrated in</w:t>
      </w:r>
      <w:r>
        <w:t xml:space="preserve"> </w:t>
      </w:r>
      <w:hyperlink w:anchor="fig-or-rr">
        <w:r>
          <w:rPr>
            <w:rStyle w:val="Hyperlink"/>
          </w:rPr>
          <w:t xml:space="preserve">Figure 3.1</w:t>
        </w:r>
      </w:hyperlink>
      <w:r>
        <w:t xml:space="preserve"> </w:t>
      </w:r>
      <w:r>
        <w:t xml:space="preserve">(adapted from</w:t>
      </w:r>
      <w:r>
        <w:t xml:space="preserve"> </w:t>
      </w:r>
      <w:hyperlink r:id="rId135">
        <w:r>
          <w:rPr>
            <w:rStyle w:val="Hyperlink"/>
          </w:rPr>
          <w:t xml:space="preserve">D Wells - CC-BY-SA</w:t>
        </w:r>
      </w:hyperlink>
      <w:r>
        <w:t xml:space="preserve">).</w:t>
      </w:r>
    </w:p>
    <w:tbl>
      <w:tblPr>
        <w:tblStyle w:val="Table"/>
        <w:tblW w:type="pct" w:w="5000"/>
        <w:tblLook w:firstRow="0" w:lastRow="0" w:firstColumn="0" w:lastColumn="0" w:noHBand="0" w:noVBand="0" w:val="0000"/>
      </w:tblPr>
      <w:tblGrid>
        <w:gridCol w:w="7920"/>
      </w:tblGrid>
      <w:tr>
        <w:tc>
          <w:tcPr/>
          <w:bookmarkStart w:id="139" w:name="fig-or-rr"/>
          <w:p>
            <w:pPr>
              <w:pStyle w:val="Figure"/>
              <w:jc w:val="center"/>
            </w:pPr>
            <w:r>
              <w:drawing>
                <wp:inline>
                  <wp:extent cx="4620126" cy="3696101"/>
                  <wp:effectExtent b="0" l="0" r="0" t="0"/>
                  <wp:docPr descr="" title="" id="137" name="Picture"/>
                  <a:graphic>
                    <a:graphicData uri="http://schemas.openxmlformats.org/drawingml/2006/picture">
                      <pic:pic>
                        <pic:nvPicPr>
                          <pic:cNvPr descr="./3-methods_files/figure-docx/fig-or-rr-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Relationship between odds ratio and relative risk depending on baseline risk.</w:t>
            </w:r>
          </w:p>
          <w:bookmarkEnd w:id="139"/>
        </w:tc>
      </w:tr>
    </w:tbl>
    <w:p>
      <w:pPr>
        <w:pStyle w:val="BodyText"/>
      </w:pPr>
      <w:r>
        <w:t xml:space="preserve">None of the outcomes in studies II &amp; III were expected to be rare, and thus logistic regression was unsuitable. While log-binomial regression models are the most natural choice for computing relative risk in a mathematical sense, they are prone to convergence failure.</w:t>
      </w:r>
      <w:r>
        <w:rPr>
          <w:vertAlign w:val="superscript"/>
        </w:rPr>
        <w:t xml:space="preserve">70</w:t>
      </w:r>
      <w:r>
        <w:t xml:space="preserve"> </w:t>
      </w:r>
      <w:r>
        <w:t xml:space="preserve">Given the large number of outcomes and models that needed fitting, this presented a serious (although not insurmountable) inconvenience, and log-binomial regression was also discarded.</w:t>
      </w:r>
    </w:p>
    <w:p>
      <w:pPr>
        <w:pStyle w:val="BodyText"/>
      </w:pPr>
      <w:r>
        <w:t xml:space="preserve">Robust Poisson regression (sometimes termed modified Poisson regression)</w:t>
      </w:r>
      <w:r>
        <w:rPr>
          <w:vertAlign w:val="superscript"/>
        </w:rPr>
        <w:t xml:space="preserve">71</w:t>
      </w:r>
      <w:r>
        <w:t xml:space="preserve"> </w:t>
      </w:r>
      <w:r>
        <w:t xml:space="preserve">presented an appealing alternative for modeling RR. A comprehensive description of the technique is beyond the scope of this dissertation, but a brief explanation is in order, since ordinary Poisson regression is not the right tool for modeling binary outcomes as such data violate the assumptions behind the model.</w:t>
      </w:r>
      <w:r>
        <w:rPr>
          <w:vertAlign w:val="superscript"/>
        </w:rPr>
        <w:t xml:space="preserve">72</w:t>
      </w:r>
      <w:r>
        <w:t xml:space="preserve"> </w:t>
      </w:r>
      <w:r>
        <w:t xml:space="preserve">When applied to binomial data, the error for the estimated relative risk will be overestimated in an ordinary Poisson model. However, this problem can be addressed by using robust generalized estimating equations (so-called</w:t>
      </w:r>
      <w:r>
        <w:t xml:space="preserve"> </w:t>
      </w:r>
      <w:r>
        <w:rPr>
          <w:iCs/>
          <w:i/>
        </w:rPr>
        <w:t xml:space="preserve">sandwich</w:t>
      </w:r>
      <w:r>
        <w:t xml:space="preserve">) variance estimates, which provide accurate standard errors in the presence of over-dispersion and excess zeros,</w:t>
      </w:r>
      <w:r>
        <w:rPr>
          <w:vertAlign w:val="superscript"/>
        </w:rPr>
        <w:t xml:space="preserve">73</w:t>
      </w:r>
      <w:r>
        <w:t xml:space="preserve"> </w:t>
      </w:r>
      <w:r>
        <w:t xml:space="preserve">such as in a binary distribution. Ultimately, this allows robust Poisson regression to estimate RR with valid confidence intervals in data with binary outcomes.</w:t>
      </w:r>
      <w:r>
        <w:rPr>
          <w:vertAlign w:val="superscript"/>
        </w:rPr>
        <w:t xml:space="preserve">74</w:t>
      </w:r>
    </w:p>
    <w:p>
      <w:pPr>
        <w:pStyle w:val="BodyText"/>
      </w:pPr>
      <w:r>
        <w:t xml:space="preserve">All regression models were modeled with native Danes as the reference group. To account for potential non-linearity, continuous variables were modeled as natural splines with knots placed at each quintile of the distribution in the respective study population. Supplementary analyses where continuous variable were modeled as categorical variables (quintiles) were conducted for easier interpretation of these variables. Supplementary analyses also included estimates of absolute risk differences corresponding to the above analyses. In these analyses, a generalized linear model using a Gaussian distribution and identity link with robust</w:t>
      </w:r>
      <w:r>
        <w:t xml:space="preserve"> </w:t>
      </w:r>
      <w:r>
        <w:rPr>
          <w:iCs/>
          <w:i/>
        </w:rPr>
        <w:t xml:space="preserve">sandwich</w:t>
      </w:r>
      <w:r>
        <w:t xml:space="preserve"> </w:t>
      </w:r>
      <w:r>
        <w:t xml:space="preserve">variance estimates was used to compute absolute risk difference with 95% confidence intervals.</w:t>
      </w:r>
    </w:p>
    <w:p>
      <w:pPr>
        <w:pStyle w:val="BodyText"/>
      </w:pPr>
      <w:r>
        <w:t xml:space="preserve">In all three studies, the characteristics of study populations were presented, describing continuous variables with means and standard differences, and categorical variables by absolute numbers and percentage proportions. In study I, characteristics were tabulated according to self-reported, OSDC-classified, and RSCD-classified diabetes type, while study II and III tabulated the distribution of covariates and outcomes by origin group.</w:t>
      </w:r>
    </w:p>
    <w:p>
      <w:pPr>
        <w:pStyle w:val="BodyText"/>
      </w:pPr>
      <w:r>
        <w:t xml:space="preserve">The following sections describes the statistical analyses of each study.</w:t>
      </w:r>
    </w:p>
    <w:bookmarkStart w:id="144" w:name="study-i-2"/>
    <w:p>
      <w:pPr>
        <w:pStyle w:val="Heading4"/>
      </w:pPr>
      <w:r>
        <w:t xml:space="preserve">Study I</w:t>
      </w:r>
    </w:p>
    <w:p>
      <w:pPr>
        <w:pStyle w:val="FirstParagraph"/>
      </w:pPr>
      <w:r>
        <w:t xml:space="preserve">Validation analyses were performed separately for T1D and T2D, where each register-based diabetes classifier was validated against self-reported diabetes type. Within analyses of each diabetes type, diabetes type was modeled as a distinct binary variable: does the individual have this diabetes type or not (e.g. in the analyses of T1D, diabetes type was modeled as a binary variable of T1D vs. no T1D, the latter category including both T2D and non-diabetes cases).</w:t>
      </w:r>
    </w:p>
    <w:p>
      <w:pPr>
        <w:pStyle w:val="BodyText"/>
      </w:pPr>
      <w:r>
        <w:t xml:space="preserve">Concordance tables and associated validation metrics were computed (with 95% confidence intervals) as defined in equations</w:t>
      </w:r>
      <w:r>
        <w:t xml:space="preserve"> </w:t>
      </w:r>
      <w:hyperlink w:anchor="eq-sens">
        <w:r>
          <w:rPr>
            <w:rStyle w:val="Hyperlink"/>
          </w:rPr>
          <w:t xml:space="preserve">3.1</w:t>
        </w:r>
      </w:hyperlink>
      <w:r>
        <w:t xml:space="preserve">,</w:t>
      </w:r>
      <w:r>
        <w:t xml:space="preserve"> </w:t>
      </w:r>
      <w:hyperlink w:anchor="eq-spec">
        <w:r>
          <w:rPr>
            <w:rStyle w:val="Hyperlink"/>
          </w:rPr>
          <w:t xml:space="preserve">3.2</w:t>
        </w:r>
      </w:hyperlink>
      <w:r>
        <w:t xml:space="preserve">,</w:t>
      </w:r>
      <w:r>
        <w:t xml:space="preserve"> </w:t>
      </w:r>
      <w:hyperlink w:anchor="eq-ppv">
        <w:r>
          <w:rPr>
            <w:rStyle w:val="Hyperlink"/>
          </w:rPr>
          <w:t xml:space="preserve">3.3</w:t>
        </w:r>
      </w:hyperlink>
      <w:r>
        <w:t xml:space="preserve">, and</w:t>
      </w:r>
      <w:r>
        <w:t xml:space="preserve"> </w:t>
      </w:r>
      <w:hyperlink w:anchor="eq-npv">
        <w:r>
          <w:rPr>
            <w:rStyle w:val="Hyperlink"/>
          </w:rPr>
          <w:t xml:space="preserve">3.4</w:t>
        </w:r>
      </w:hyperlink>
      <w:r>
        <w:t xml:space="preserve">: sensitivity, specificity, positive predictive value (PPV), and negative predictive value (NPV). These validation analyses were bootstrapped in 1000 random subsamples in order to assess robustness.</w:t>
      </w:r>
    </w:p>
    <w:p>
      <w:pPr>
        <w:pStyle w:val="BodyText"/>
      </w:pPr>
      <w:bookmarkStart w:id="140" w:name="eq-sens"/>
      <m:oMathPara>
        <m:oMathParaPr>
          <m:jc m:val="center"/>
        </m:oMathParaPr>
        <m:oMath>
          <m:r>
            <m:t>S</m:t>
          </m:r>
          <m:r>
            <m:t>e</m:t>
          </m:r>
          <m:r>
            <m:t>n</m:t>
          </m:r>
          <m:r>
            <m:t>s</m:t>
          </m:r>
          <m:r>
            <m:t>i</m:t>
          </m:r>
          <m:r>
            <m:t>t</m:t>
          </m:r>
          <m:r>
            <m:t>i</m:t>
          </m:r>
          <m:r>
            <m:t>v</m:t>
          </m:r>
          <m:r>
            <m:t>i</m:t>
          </m:r>
          <m:r>
            <m:t>t</m:t>
          </m:r>
          <m:r>
            <m:t>y</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3.1</m:t>
              </m:r>
            </m:e>
          </m:d>
        </m:oMath>
      </m:oMathPara>
      <w:bookmarkEnd w:id="140"/>
    </w:p>
    <w:p>
      <w:pPr>
        <w:pStyle w:val="FirstParagraph"/>
      </w:pPr>
      <w:bookmarkStart w:id="141" w:name="eq-spec"/>
      <m:oMathPara>
        <m:oMathParaPr>
          <m:jc m:val="center"/>
        </m:oMathParaPr>
        <m:oMath>
          <m:r>
            <m:t>S</m:t>
          </m:r>
          <m:r>
            <m:t>p</m:t>
          </m:r>
          <m:r>
            <m:t>e</m:t>
          </m:r>
          <m:r>
            <m:t>c</m:t>
          </m:r>
          <m:r>
            <m:t>i</m:t>
          </m:r>
          <m:r>
            <m:t>f</m:t>
          </m:r>
          <m:r>
            <m:t>i</m:t>
          </m:r>
          <m:r>
            <m:t>c</m:t>
          </m:r>
          <m:r>
            <m:t>i</m:t>
          </m:r>
          <m:r>
            <m:t>t</m:t>
          </m:r>
          <m:r>
            <m:t>y</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3.2</m:t>
              </m:r>
            </m:e>
          </m:d>
        </m:oMath>
      </m:oMathPara>
      <w:bookmarkEnd w:id="141"/>
    </w:p>
    <w:p>
      <w:pPr>
        <w:pStyle w:val="FirstParagraph"/>
      </w:pPr>
      <w:bookmarkStart w:id="142" w:name="eq-ppv"/>
      <m:oMathPara>
        <m:oMathParaPr>
          <m:jc m:val="center"/>
        </m:oMathParaPr>
        <m:oMath>
          <m:r>
            <m:t>P</m:t>
          </m:r>
          <m:r>
            <m:t>P</m:t>
          </m:r>
          <m:r>
            <m:t>V</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3.3</m:t>
              </m:r>
            </m:e>
          </m:d>
        </m:oMath>
      </m:oMathPara>
      <w:bookmarkEnd w:id="142"/>
    </w:p>
    <w:p>
      <w:pPr>
        <w:pStyle w:val="FirstParagraph"/>
      </w:pPr>
      <w:bookmarkStart w:id="143" w:name="eq-npv"/>
      <m:oMathPara>
        <m:oMathParaPr>
          <m:jc m:val="center"/>
        </m:oMathParaPr>
        <m:oMath>
          <m:r>
            <m:t>N</m:t>
          </m:r>
          <m:r>
            <m:t>P</m:t>
          </m:r>
          <m:r>
            <m:t>V</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3.4</m:t>
              </m:r>
            </m:e>
          </m:d>
        </m:oMath>
      </m:oMathPara>
      <w:bookmarkEnd w:id="143"/>
    </w:p>
    <w:p>
      <w:pPr>
        <w:pStyle w:val="FirstParagraph"/>
      </w:pPr>
      <w:r>
        <w:t xml:space="preserve">Furthermore, analyses stratified by self-reported age at onset of diabetes (including all self-reported non-diabetes cases in both strata of age at onset) were performed to assess the influence of age at onset of diabetes on sensitivity and PPV.</w:t>
      </w:r>
    </w:p>
    <w:bookmarkEnd w:id="144"/>
    <w:bookmarkStart w:id="145" w:name="study-ii-2"/>
    <w:p>
      <w:pPr>
        <w:pStyle w:val="Heading4"/>
      </w:pPr>
      <w:r>
        <w:t xml:space="preserve">Study II</w:t>
      </w:r>
    </w:p>
    <w:p>
      <w:pPr>
        <w:pStyle w:val="FirstParagraph"/>
      </w:pPr>
      <w:r>
        <w:t xml:space="preserve">Robust Poisson regression was used to compute RR and 95% confidence intervals in a series of cross-sectional analyses of T2D prevalence and eleven outcomes within T2D care.</w:t>
      </w:r>
    </w:p>
    <w:p>
      <w:pPr>
        <w:pStyle w:val="BodyText"/>
      </w:pPr>
      <w:r>
        <w:t xml:space="preserve">In the analysis of T2D prevalence, RR of prevalent T2D was computed in a crude model and in two models with different levels of adjustment to explore the effects of clinical (model 1) and socioeconomic factors (model 2) on migrant risks. The first model adjusted for sex and age (model 1); the second model further adjusted for employment status, household income, duration of residence, and region of residence (model 2). Additionally, age-specific T2D prevalence in each migrant group was modeled using a binomial model with log-link and restricted cubic splines as a function of age.</w:t>
      </w:r>
    </w:p>
    <w:p>
      <w:pPr>
        <w:pStyle w:val="BodyText"/>
      </w:pPr>
      <w:r>
        <w:t xml:space="preserve">In the eleven analyses of T2D care, the RR of not receiving each type of guideline-level T2D care was computed in a crude model and in two adjusted models to visualize risk disparities in a clinical context separately from the fully-adjusted model. The first model (model 1) adjusted for clinical risk factors in diabetes that may influence decision-making when planning diabetes care with the patient (sex, age, diabetes duration, prevalent macrovascular complications and DKD). The fully-adjusted model (model 2) further adjusted for socioeconomic factors that may influence a patient’s health behavior and healthcare service usage (employment status, household income, duration of residence, and region of residence).</w:t>
      </w:r>
    </w:p>
    <w:p>
      <w:pPr>
        <w:pStyle w:val="BodyText"/>
      </w:pPr>
      <w:r>
        <w:t xml:space="preserve">In order to assess potential disparities at other cut-off values of HbA1c and LDL-C, cumulative empirical distributions were plotted with 95% confidence intervals computed with Kolmogorov-Smirnov’s</w:t>
      </w:r>
      <w:r>
        <w:t xml:space="preserve"> </w:t>
      </w:r>
      <w:r>
        <w:rPr>
          <w:iCs/>
          <w:i/>
        </w:rPr>
        <w:t xml:space="preserve">D</w:t>
      </w:r>
      <w:r>
        <w:t xml:space="preserve">.</w:t>
      </w:r>
    </w:p>
    <w:bookmarkEnd w:id="145"/>
    <w:bookmarkStart w:id="146" w:name="study-iii-2"/>
    <w:p>
      <w:pPr>
        <w:pStyle w:val="Heading4"/>
      </w:pPr>
      <w:r>
        <w:t xml:space="preserve">Study III</w:t>
      </w:r>
    </w:p>
    <w:p>
      <w:pPr>
        <w:pStyle w:val="FirstParagraph"/>
      </w:pPr>
      <w:r>
        <w:t xml:space="preserve">Similar to study II, robust Poisson regression was used to compute RR with 95% confidence intervals in three models for each outcome: an unadjusted model (crude), a model adjusted for clinical risk factors (model 1), and a model adjusted for clinical and socioeconomic factors (model 2). Compared to the models in study II, all adjusted models in this study contained adjustment for additional clinical risk factors (HbA1c level, LDL-C level, and lipid-lowering drug usage), and the analyses of individual GLD type also including adjustment for the degree of combination therapy.</w:t>
      </w:r>
    </w:p>
    <w:bookmarkEnd w:id="146"/>
    <w:bookmarkEnd w:id="147"/>
    <w:bookmarkStart w:id="148" w:name="ethics-and-approvals"/>
    <w:p>
      <w:pPr>
        <w:pStyle w:val="Heading2"/>
      </w:pPr>
      <w:r>
        <w:t xml:space="preserve">3.7 Ethics and approvals</w:t>
      </w:r>
    </w:p>
    <w:p>
      <w:pPr>
        <w:pStyle w:val="FirstParagraph"/>
      </w:pPr>
      <w:r>
        <w:t xml:space="preserve">In compliance with the General Data Protection Regulation, the handling of personal data associated with this PhD project was registered in the internal register of research projects (Danish:</w:t>
      </w:r>
      <w:r>
        <w:t xml:space="preserve"> </w:t>
      </w:r>
      <w:r>
        <w:rPr>
          <w:iCs/>
          <w:i/>
        </w:rPr>
        <w:t xml:space="preserve">fortegnelsen</w:t>
      </w:r>
      <w:r>
        <w:t xml:space="preserve">) of Aarhus University, journal number 2016-051-000001, serial number 1339. Study II was approved by the Health in Central Denmark steering committee. The Health in Central Denmark project is registered in the Central Denmark Region internal register of research projects (reg. no. 1-16-02-165-20).</w:t>
      </w:r>
    </w:p>
    <w:p>
      <w:pPr>
        <w:pStyle w:val="BodyText"/>
      </w:pPr>
      <w:r>
        <w:t xml:space="preserve">Access to register data was provided and approved by the Danish Health Data Authority and Statistics Denmark. In Denmark, studies based entirely on survey and register data do not require further ethical approval.</w:t>
      </w:r>
    </w:p>
    <w:bookmarkEnd w:id="148"/>
    <w:bookmarkEnd w:id="149"/>
    <w:bookmarkStart w:id="163" w:name="sec-results"/>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50" w:name="X9837322c4a50e4912d06e5dabf69094f6d96592"/>
    <w:p>
      <w:pPr>
        <w:pStyle w:val="Heading2"/>
      </w:pPr>
      <w:r>
        <w:t xml:space="preserve">4.1 Exploratory results during development of diabetes classifiers</w:t>
      </w:r>
    </w:p>
    <w:p>
      <w:pPr>
        <w:pStyle w:val="FirstParagraph"/>
      </w:pPr>
      <w:r>
        <w:t xml:space="preserve">Insulin non-users among T1D -&gt; Women with diabetes onset before 1997.</w:t>
      </w:r>
    </w:p>
    <w:p>
      <w:pPr>
        <w:pStyle w:val="BodyText"/>
      </w:pPr>
      <w:r>
        <w:t xml:space="preserve">Self-reported no diabetes (or previous diabetes)</w:t>
      </w:r>
    </w:p>
    <w:p>
      <w:pPr>
        <w:pStyle w:val="BodyText"/>
      </w:pPr>
      <w:r>
        <w:t xml:space="preserve">Insufficient obstetric coding practices before 1997.</w:t>
      </w:r>
    </w:p>
    <w:p>
      <w:pPr>
        <w:pStyle w:val="BodyText"/>
      </w:pPr>
      <w:r>
        <w:t xml:space="preserve">Arguments for and against design choices goes into discussion chapter</w:t>
      </w:r>
    </w:p>
    <w:p>
      <w:pPr>
        <w:pStyle w:val="BodyText"/>
      </w:pPr>
      <w:r>
        <w:rPr>
          <w:iCs/>
          <w:i/>
        </w:rPr>
        <w:t xml:space="preserve">[detailed discussion of choices in OSDC, e.g. on obstetric coding, and pros/cons of RSCD goes in chapter 5]</w:t>
      </w:r>
    </w:p>
    <w:bookmarkEnd w:id="150"/>
    <w:bookmarkStart w:id="153" w:name="study-i-3"/>
    <w:p>
      <w:pPr>
        <w:pStyle w:val="Heading2"/>
      </w:pPr>
      <w:r>
        <w:t xml:space="preserve">4.2 Study I</w:t>
      </w:r>
    </w:p>
    <w:p>
      <w:pPr>
        <w:pStyle w:val="FirstParagraph"/>
      </w:pPr>
      <w:r>
        <w:t xml:space="preserve">In this study, we identified… Number of participants, diabetes cases etc.</w:t>
      </w:r>
    </w:p>
    <w:bookmarkStart w:id="151" w:name="X2c4e00cb79465be4bd897971c25c5940539d1ce"/>
    <w:p>
      <w:pPr>
        <w:pStyle w:val="Heading3"/>
      </w:pPr>
      <w:r>
        <w:t xml:space="preserve">4.2.1 Register-based classification of type 1 diabetes</w:t>
      </w:r>
    </w:p>
    <w:p>
      <w:pPr>
        <w:pStyle w:val="FirstParagraph"/>
      </w:pPr>
      <w:r>
        <w:t xml:space="preserve">metrics</w:t>
      </w:r>
    </w:p>
    <w:bookmarkEnd w:id="151"/>
    <w:bookmarkStart w:id="152" w:name="Xcc3df92730082084de86bcf0131099cbf46b566"/>
    <w:p>
      <w:pPr>
        <w:pStyle w:val="Heading3"/>
      </w:pPr>
      <w:r>
        <w:t xml:space="preserve">4.2.2 Register-based classification of type 2 diabetes</w:t>
      </w:r>
    </w:p>
    <w:p>
      <w:pPr>
        <w:pStyle w:val="FirstParagraph"/>
      </w:pPr>
      <w:r>
        <w:t xml:space="preserve">metrics</w:t>
      </w:r>
    </w:p>
    <w:bookmarkEnd w:id="152"/>
    <w:bookmarkEnd w:id="153"/>
    <w:bookmarkStart w:id="159" w:name="study-ii-3"/>
    <w:p>
      <w:pPr>
        <w:pStyle w:val="Heading2"/>
      </w:pPr>
      <w:r>
        <w:t xml:space="preserve">4.3 Study II</w:t>
      </w:r>
    </w:p>
    <w:p>
      <w:pPr>
        <w:pStyle w:val="FirstParagraph"/>
      </w:pPr>
      <w:r>
        <w:t xml:space="preserve">[Maybe for each outcome?] In this study, we identified… Number of participants, diabetes cases etc.</w:t>
      </w:r>
    </w:p>
    <w:bookmarkStart w:id="154" w:name="prevalence"/>
    <w:p>
      <w:pPr>
        <w:pStyle w:val="Heading3"/>
      </w:pPr>
      <w:r>
        <w:t xml:space="preserve">4.3.1 Prevalence</w:t>
      </w:r>
    </w:p>
    <w:bookmarkEnd w:id="154"/>
    <w:bookmarkStart w:id="155" w:name="monitoring-2"/>
    <w:p>
      <w:pPr>
        <w:pStyle w:val="Heading3"/>
      </w:pPr>
      <w:r>
        <w:t xml:space="preserve">4.3.2 Monitoring</w:t>
      </w:r>
    </w:p>
    <w:bookmarkEnd w:id="155"/>
    <w:bookmarkStart w:id="156" w:name="biomarker-control"/>
    <w:p>
      <w:pPr>
        <w:pStyle w:val="Heading3"/>
      </w:pPr>
      <w:r>
        <w:t xml:space="preserve">4.3.3 Biomarker control</w:t>
      </w:r>
    </w:p>
    <w:bookmarkEnd w:id="156"/>
    <w:bookmarkStart w:id="157" w:name="pharmacological-treatment-2"/>
    <w:p>
      <w:pPr>
        <w:pStyle w:val="Heading3"/>
      </w:pPr>
      <w:r>
        <w:t xml:space="preserve">4.3.4 Pharmacological treatment</w:t>
      </w:r>
    </w:p>
    <w:bookmarkEnd w:id="157"/>
    <w:bookmarkStart w:id="158" w:name="section"/>
    <w:p>
      <w:pPr>
        <w:pStyle w:val="Heading3"/>
      </w:pPr>
      <w:r>
        <w:t xml:space="preserve">4.3.5</w:t>
      </w:r>
      <w:r>
        <w:t xml:space="preserve"> </w:t>
      </w:r>
    </w:p>
    <w:bookmarkEnd w:id="158"/>
    <w:bookmarkEnd w:id="159"/>
    <w:bookmarkStart w:id="162" w:name="study-iii-3"/>
    <w:p>
      <w:pPr>
        <w:pStyle w:val="Heading2"/>
      </w:pPr>
      <w:r>
        <w:t xml:space="preserve">4.4 Study III</w:t>
      </w:r>
    </w:p>
    <w:p>
      <w:pPr>
        <w:pStyle w:val="FirstParagraph"/>
      </w:pPr>
      <w:r>
        <w:t xml:space="preserve">In this study, we identified… Number of participants, diabetes cases etc.</w:t>
      </w:r>
    </w:p>
    <w:bookmarkStart w:id="160" w:name="combination-therapy"/>
    <w:p>
      <w:pPr>
        <w:pStyle w:val="Heading3"/>
      </w:pPr>
      <w:r>
        <w:t xml:space="preserve">4.4.1 Combination therapy</w:t>
      </w:r>
    </w:p>
    <w:bookmarkEnd w:id="160"/>
    <w:bookmarkStart w:id="161" w:name="drug-types"/>
    <w:p>
      <w:pPr>
        <w:pStyle w:val="Heading3"/>
      </w:pPr>
      <w:r>
        <w:t xml:space="preserve">4.4.2 Drug types</w:t>
      </w:r>
    </w:p>
    <w:bookmarkEnd w:id="161"/>
    <w:bookmarkEnd w:id="162"/>
    <w:bookmarkEnd w:id="163"/>
    <w:bookmarkStart w:id="180" w:name="sec-discussion-of-methods"/>
    <w:p>
      <w:pPr>
        <w:pStyle w:val="Heading1"/>
      </w:pPr>
      <w:r>
        <w:t xml:space="preserve">5. Discussion of methods</w:t>
      </w:r>
    </w:p>
    <w:p>
      <w:pPr>
        <w:pStyle w:val="FirstParagraph"/>
      </w:pPr>
      <w:r>
        <w:t xml:space="preserve">Before discussing the methodological design of the studies associated with the dissertation, this chapter first discusses algorithm design choices in OSDC and RSCD in light of discoveries made during development and implementation of the classifiers.</w:t>
      </w:r>
    </w:p>
    <w:bookmarkStart w:id="171" w:name="development-of-diabetes-classifier"/>
    <w:p>
      <w:pPr>
        <w:pStyle w:val="Heading2"/>
      </w:pPr>
      <w:r>
        <w:t xml:space="preserve">5.1 Development of diabetes classifier</w:t>
      </w:r>
    </w:p>
    <w:p>
      <w:pPr>
        <w:pStyle w:val="FirstParagraph"/>
      </w:pPr>
      <w:r>
        <w:t xml:space="preserve">Identification of diabetes cases and classification of their specific type in data from general-purpose healthcare registers faces several limitations. This section discusses issues and challenged identified during the development and implementation of diabetes classifiers in this PhD project. Future perspectives of register-based diabetes classification are discussed in</w:t>
      </w:r>
      <w:r>
        <w:t xml:space="preserve"> </w:t>
      </w:r>
      <w:hyperlink w:anchor="sec-perspectives-and-future-research">
        <w:r>
          <w:rPr>
            <w:rStyle w:val="Hyperlink"/>
          </w:rPr>
          <w:t xml:space="preserve">Chapter 8</w:t>
        </w:r>
      </w:hyperlink>
      <w:r>
        <w:t xml:space="preserve">.</w:t>
      </w:r>
    </w:p>
    <w:bookmarkStart w:id="168" w:name="X69806deae7fdf40f917ae831c1a91e4ca231fd3"/>
    <w:p>
      <w:pPr>
        <w:pStyle w:val="Heading3"/>
      </w:pPr>
      <w:r>
        <w:t xml:space="preserve">5.1.1 Approaches to censoring gestational diabetes mellitus</w:t>
      </w:r>
    </w:p>
    <w:p>
      <w:pPr>
        <w:pStyle w:val="FirstParagraph"/>
      </w:pPr>
      <w:r>
        <w:t xml:space="preserve">In an early version of the OSDC, we discovered that when using all the available data on GLD purchases, including the earliest years of the National Prescription Register, a substantial proportion (approximately 7%) of individuals classified as having T1D were insulin non-users during the previous year. Some of these individuals participated in the national health survey, and none of them reported having diabetes in the data, although a few reported having previously had diabetes. This initially led to the index-date specific</w:t>
      </w:r>
    </w:p>
    <w:p>
      <w:pPr>
        <w:pStyle w:val="BodyText"/>
      </w:pPr>
      <w:r>
        <w:t xml:space="preserve">However, pursuing this issue further showed that most of these cases were younger women with diabetes onset before 1997, which might indicate that censoring of GDM was insufficient during this period of time. Censoring of GDM relied on clinical obstetric coding in the National Patient Register to identify individual pregnancy windows, and a rudimentary validation of the number of births registered by codes in the National Patient Register against the number of annual births recorded in the National Birth Register was attempted. This showed that clinical obstetric coding was indeed lacking in the first few years after the adoption of ICD-10 coding in 1994, but appeared sufficient from 1997 onward, as shown in</w:t>
      </w:r>
      <w:r>
        <w:t xml:space="preserve"> </w:t>
      </w:r>
      <w:hyperlink w:anchor="fig-births">
        <w:r>
          <w:rPr>
            <w:rStyle w:val="Hyperlink"/>
          </w:rPr>
          <w:t xml:space="preserve">Figure 5.1</w:t>
        </w:r>
      </w:hyperlink>
      <w:r>
        <w:t xml:space="preserve">.</w:t>
      </w:r>
    </w:p>
    <w:p>
      <w:pPr>
        <w:pStyle w:val="BodyText"/>
      </w:pPr>
      <w:r>
        <w:t xml:space="preserve">Any algorithm censoring GDM using data from the National Patient Register is likely to include false-positive diabetes cases among women prior to 1997. The RSCD manages these cases (and other potentially misclassified cases) by retrospectively excluding individuals without any inclusion events 10 years prior to a given index date. While such a mechanism solves this issue in a cross-sectional study, it creates new problems, as study designs with dynamic index dates (e.g. longitudinal studies with case-specific index dates at the time of diabetes onset) are no longer possible with the algorithm.</w:t>
      </w:r>
    </w:p>
    <w:tbl>
      <w:tblPr>
        <w:tblStyle w:val="Table"/>
        <w:tblW w:type="pct" w:w="5000"/>
        <w:tblLook w:firstRow="0" w:lastRow="0" w:firstColumn="0" w:lastColumn="0" w:noHBand="0" w:noVBand="0" w:val="0000"/>
      </w:tblPr>
      <w:tblGrid>
        <w:gridCol w:w="7920"/>
      </w:tblGrid>
      <w:tr>
        <w:tc>
          <w:tcPr/>
          <w:bookmarkStart w:id="167" w:name="fig-births"/>
          <w:p>
            <w:pPr>
              <w:jc w:val="center"/>
            </w:pPr>
            <w:r>
              <w:drawing>
                <wp:inline>
                  <wp:extent cx="5334000" cy="3500907"/>
                  <wp:effectExtent b="0" l="0" r="0" t="0"/>
                  <wp:docPr descr="" title="" id="165" name="Picture"/>
                  <a:graphic>
                    <a:graphicData uri="http://schemas.openxmlformats.org/drawingml/2006/picture">
                      <pic:pic>
                        <pic:nvPicPr>
                          <pic:cNvPr descr="./figures/births.png" id="166" name="Picture"/>
                          <pic:cNvPicPr>
                            <a:picLocks noChangeArrowheads="1" noChangeAspect="1"/>
                          </pic:cNvPicPr>
                        </pic:nvPicPr>
                        <pic:blipFill>
                          <a:blip r:embed="rId164"/>
                          <a:stretch>
                            <a:fillRect/>
                          </a:stretch>
                        </pic:blipFill>
                        <pic:spPr bwMode="auto">
                          <a:xfrm>
                            <a:off x="0" y="0"/>
                            <a:ext cx="5334000" cy="3500907"/>
                          </a:xfrm>
                          <a:prstGeom prst="rect">
                            <a:avLst/>
                          </a:prstGeom>
                          <a:noFill/>
                          <a:ln w="9525">
                            <a:noFill/>
                            <a:headEnd/>
                            <a:tailEnd/>
                          </a:ln>
                        </pic:spPr>
                      </pic:pic>
                    </a:graphicData>
                  </a:graphic>
                </wp:inline>
              </w:drawing>
            </w:r>
            <w:r>
              <w:t xml:space="preserve"> </w:t>
            </w:r>
            <w:r>
              <w:t xml:space="preserve">Births identified in the National Patient Register with obstetrical ICD-10 codes vs. registrations in the National Birth Register. Note the discrepancy of birth during 1994-1996 after adoption of the ICD-10 coding scheme in 1994.</w:t>
            </w:r>
          </w:p>
          <w:p>
            <w:pPr>
              <w:jc w:val="center"/>
            </w:pPr>
            <w:pPr>
              <w:jc w:val="start"/>
              <w:spacing w:before="200"/>
              <w:pStyle w:val="ImageCaption"/>
            </w:pPr>
            <w:r>
              <w:t xml:space="preserve">Figure 5.1:</w:t>
            </w:r>
            <w:r>
              <w:t xml:space="preserve"> </w:t>
            </w:r>
            <w:r>
              <w:rPr>
                <w:bCs/>
                <w:b/>
              </w:rPr>
              <w:t xml:space="preserve">Births registered by year</w:t>
            </w:r>
          </w:p>
          <w:bookmarkEnd w:id="167"/>
        </w:tc>
      </w:tr>
    </w:tbl>
    <w:bookmarkEnd w:id="168"/>
    <w:bookmarkStart w:id="169" w:name="X84c5c9e1045138edb45a414b4233c52875f32b5"/>
    <w:p>
      <w:pPr>
        <w:pStyle w:val="Heading3"/>
      </w:pPr>
      <w:r>
        <w:t xml:space="preserve">5.1.2 Approaches to censoring polycystic ovary syndrome</w:t>
      </w:r>
    </w:p>
    <w:p>
      <w:pPr>
        <w:pStyle w:val="FirstParagraph"/>
      </w:pPr>
      <w:r>
        <w:t xml:space="preserve">In Denmark, women with PCOS are mainly diagnosed and treated in the primary care sector without any registration in the National Patient Register to assist researchers identify these patients. Metformin, a GLD, is used in the treatment of PCOS, and leads to inclusion of false-positive diabetes cases among women treated with metformin. As PCOS mainly affects younger women, censoring metformin purchases among women below an arbitrary age-cutoff is a possible solution.</w:t>
      </w:r>
    </w:p>
    <w:p>
      <w:pPr>
        <w:pStyle w:val="BodyText"/>
      </w:pPr>
      <w:r>
        <w:t xml:space="preserve">In OSDC, we adopted the 40-year age-cutoff previously used in the Danish National Diabetes Register,</w:t>
      </w:r>
      <w:r>
        <w:rPr>
          <w:vertAlign w:val="superscript"/>
        </w:rPr>
        <w:t xml:space="preserve">47</w:t>
      </w:r>
      <w:r>
        <w:t xml:space="preserve"> </w:t>
      </w:r>
      <w:r>
        <w:t xml:space="preserve">and also censored metformin purchases in women where the indication code of the prescription was for PCOS. This approach over-censors purchases among younger women, but we expected these patients to be identified through inclusion based on HbA1c data instead.</w:t>
      </w:r>
    </w:p>
    <w:p>
      <w:pPr>
        <w:pStyle w:val="BodyText"/>
      </w:pPr>
      <w:r>
        <w:t xml:space="preserve">The RSCD chose a very different approach to identify PCOS cases and censor metformin purchases, using data on purchases of contraceptives used in the treatment of PCOS, as well as any diagnoses of PCOS in the National Patient Register. This approach provides a more age-agnostic censoring criteria, and as contraceptives are the first-line treatment drugs of PCOS guidelines, metformin is unlikely to be prescribed without these. However, these contraceptives are also used in women with PCOS, which risks overcensoring.</w:t>
      </w:r>
    </w:p>
    <w:p>
      <w:pPr>
        <w:pStyle w:val="BodyText"/>
      </w:pPr>
      <w:r>
        <w:t xml:space="preserve">Ultimately, the two different approaches to censoring PCOS likely had similar impact, since most differences in real-world performance between the algorithms were minor - as described in</w:t>
      </w:r>
      <w:r>
        <w:t xml:space="preserve"> </w:t>
      </w:r>
      <w:hyperlink w:anchor="sec-results">
        <w:r>
          <w:rPr>
            <w:rStyle w:val="Hyperlink"/>
          </w:rPr>
          <w:t xml:space="preserve">Chapter 4</w:t>
        </w:r>
      </w:hyperlink>
      <w:r>
        <w:t xml:space="preserve">.</w:t>
      </w:r>
    </w:p>
    <w:bookmarkEnd w:id="169"/>
    <w:bookmarkStart w:id="170" w:name="X1216107b48d9c6116f4d571f799ae69c3bbe224"/>
    <w:p>
      <w:pPr>
        <w:pStyle w:val="Heading3"/>
      </w:pPr>
      <w:r>
        <w:t xml:space="preserve">5.1.3 Approaches to classification of diabetes type</w:t>
      </w:r>
    </w:p>
    <w:p>
      <w:pPr>
        <w:pStyle w:val="FirstParagraph"/>
      </w:pPr>
      <w:r>
        <w:t xml:space="preserve">Without an accurate, population-wide marker of diabetes type in the register data, researchers are forced to classify diabetes type using indirect markers in the data instead. Algorithm design decision in this regard are based on assumptions - which may qualify as so-called expert clinical knowledge - and come with benefits and drawbacks. For example, for type-classification in OSDC, we chose to omit diagnoses from surgical departments, as we assumed that diagnoses from medical departments, particularly endocrinology departments, would be more accurate due to these departments providing specific care for T1D and T2D.</w:t>
      </w:r>
    </w:p>
    <w:p>
      <w:pPr>
        <w:pStyle w:val="BodyText"/>
      </w:pPr>
      <w:r>
        <w:t xml:space="preserve">In OSDC, we deliberately chose to make classification of T1D cases more restrictive compared to T2D, as the T1D population is much smaller than the T2D population and therefore more vulnerable to bias from misclassification, while the T2D population is more robust due to its larger size. The algorithm specifying diabetes type reflects this, as all cases of T1D must pass separate checks on medication-purchases and hospital diagnoses, and failure in either check results in classification as T2D (refer to</w:t>
      </w:r>
      <w:r>
        <w:t xml:space="preserve"> </w:t>
      </w:r>
      <w:r>
        <w:rPr>
          <w:bCs/>
          <w:b/>
        </w:rPr>
        <w:t xml:space="preserve">?@fig-osdc-type-flow</w:t>
      </w:r>
      <w:r>
        <w:t xml:space="preserve">).</w:t>
      </w:r>
    </w:p>
    <w:p>
      <w:pPr>
        <w:pStyle w:val="BodyText"/>
      </w:pPr>
      <w:r>
        <w:t xml:space="preserve">As previously presented, around 10% of T1D cases in OSDC had purchased non-insulin GLD at one or more points in time. In RSCD version 1.0, which was implemented and validated in the first study of this PhD project, these would all be classified as T2D and omitted from the T1D population, lowering the sensitivity of T1D-classification. Recent revisions of RSCD addressed this by allowing cases with non-insulin GLD purchases in the first year after onset of diabetes to be classified as T1D.</w:t>
      </w:r>
      <w:r>
        <w:rPr>
          <w:vertAlign w:val="superscript"/>
        </w:rPr>
        <w:t xml:space="preserve">75</w:t>
      </w:r>
    </w:p>
    <w:p>
      <w:pPr>
        <w:pStyle w:val="BodyText"/>
      </w:pPr>
      <w:r>
        <w:t xml:space="preserve">Concordance was high between the two algorithms in classification of diabetes of any type vs. no diabetes, and the different approaches to classifying diabetes type is likely the main cause of the performance differences observed between the two algorithms.</w:t>
      </w:r>
    </w:p>
    <w:bookmarkEnd w:id="170"/>
    <w:bookmarkEnd w:id="171"/>
    <w:bookmarkStart w:id="172" w:name="study-designs"/>
    <w:p>
      <w:pPr>
        <w:pStyle w:val="Heading2"/>
      </w:pPr>
      <w:r>
        <w:t xml:space="preserve">5.2 Study designs</w:t>
      </w:r>
    </w:p>
    <w:p>
      <w:pPr>
        <w:pStyle w:val="FirstParagraph"/>
      </w:pPr>
      <w:r>
        <w:t xml:space="preserve">All three studies associated with this dissertation were designed as observational, cross-sectional studies based on prospectively collected register data covered the entire adult population in Denmark. The first study also incorporated questionnaire data from the</w:t>
      </w:r>
      <w:r>
        <w:t xml:space="preserve"> </w:t>
      </w:r>
      <w:r>
        <w:rPr>
          <w:iCs/>
          <w:i/>
        </w:rPr>
        <w:t xml:space="preserve">Health in Central Denmark</w:t>
      </w:r>
      <w:r>
        <w:t xml:space="preserve"> </w:t>
      </w:r>
      <w:r>
        <w:t xml:space="preserve">survey to serve as the gold standard for validation.</w:t>
      </w:r>
    </w:p>
    <w:p>
      <w:pPr>
        <w:pStyle w:val="BodyText"/>
      </w:pPr>
      <w:r>
        <w:t xml:space="preserve">This cross-sectional design is useful for assessing prevalence of an outcome or exposure at a particular point in time, and any associations between them. Compared to a longitudinal design, the major limitation of this design is the inability to establish temporal or causal relationships between exposures and outcomes. These limitations were not a concern in the context of this dissertation, as the aim was to map risks in migrants, rather than infer causality, and since the exposure (migrant origin) was defined at birth, long before any of the outcomes were assessed.</w:t>
      </w:r>
    </w:p>
    <w:p>
      <w:pPr>
        <w:pStyle w:val="BodyText"/>
      </w:pPr>
      <w:r>
        <w:t xml:space="preserve">The use of nationwide register data enables the largest possible sample size and statistical power, with the drawback that the data is not collected nor validated for a specific research purpose.</w:t>
      </w:r>
    </w:p>
    <w:p>
      <w:pPr>
        <w:pStyle w:val="BodyText"/>
      </w:pPr>
      <w:r>
        <w:t xml:space="preserve">The generalizability of the findings of this dissertation are discussed in the following sections.</w:t>
      </w:r>
    </w:p>
    <w:bookmarkEnd w:id="172"/>
    <w:bookmarkStart w:id="176" w:name="internal-validity"/>
    <w:p>
      <w:pPr>
        <w:pStyle w:val="Heading2"/>
      </w:pPr>
      <w:r>
        <w:t xml:space="preserve">5.3 Internal validity</w:t>
      </w:r>
    </w:p>
    <w:bookmarkStart w:id="173" w:name="selection-bias"/>
    <w:p>
      <w:pPr>
        <w:pStyle w:val="Heading3"/>
      </w:pPr>
      <w:r>
        <w:t xml:space="preserve">5.3.1 Selection bias</w:t>
      </w:r>
    </w:p>
    <w:p>
      <w:pPr>
        <w:pStyle w:val="BlockText"/>
      </w:pPr>
      <w:r>
        <w:t xml:space="preserve">Selection bias is a type of bias that may arise when the selection of participants into a study is not representative of the target population, which can lead to inaccurate or biased estimates of the association between exposure and outcome that do not apply to the target population.</w:t>
      </w:r>
    </w:p>
    <w:p>
      <w:pPr>
        <w:pStyle w:val="FirstParagraph"/>
      </w:pPr>
      <w:r>
        <w:t xml:space="preserve">In study I, validation was performed in a population of respondents to a survey, a design prone to selection bias. Invites to the survey were conditioned on being aged 18 to 74 years and classified as a diabetes case according to OSDC, or being sampled in a group matched by sex, age and municipality. The choice to subsample OSDC diabetes cases when deriving the study population compensated for the oversampling of OSDC cases compared to non-cases in the survey population, but did not change the other characteristics in the survey population. As a results, the study population contained fewer women and a skewed age distribution compared to a random sample of the general population - and a higher diabetes prevalence.</w:t>
      </w:r>
    </w:p>
    <w:p>
      <w:pPr>
        <w:pStyle w:val="BodyText"/>
      </w:pPr>
      <w:r>
        <w:t xml:space="preserve">The accuracy of the classifiers may be different among individuals older than 75, and the predictive values will vary depending on diabetes prevalence.</w:t>
      </w:r>
      <w:r>
        <w:t xml:space="preserve"> </w:t>
      </w:r>
      <w:r>
        <w:t xml:space="preserve">However, supplementary validation analyses performed in the</w:t>
      </w:r>
      <w:r>
        <w:t xml:space="preserve"> </w:t>
      </w:r>
      <w:r>
        <w:rPr>
          <w:iCs/>
          <w:i/>
        </w:rPr>
        <w:t xml:space="preserve">National Health Survey</w:t>
      </w:r>
      <w:r>
        <w:t xml:space="preserve">, which contains a representative sample of the general population, provided results similar to those in the</w:t>
      </w:r>
      <w:r>
        <w:t xml:space="preserve"> </w:t>
      </w:r>
      <w:r>
        <w:rPr>
          <w:iCs/>
          <w:i/>
        </w:rPr>
        <w:t xml:space="preserve">Health in Central Denmark</w:t>
      </w:r>
      <w:r>
        <w:t xml:space="preserve"> </w:t>
      </w:r>
      <w:r>
        <w:t xml:space="preserve">survey, although the supplementary analyses were limited to classification of diabetes of any type vs. no diabetes - see Appendix C for details.</w:t>
      </w:r>
    </w:p>
    <w:p>
      <w:pPr>
        <w:pStyle w:val="BodyText"/>
      </w:pPr>
      <w:r>
        <w:t xml:space="preserve">In addition to survey invites, non-response among those invited may also be a source of selection bias, as analyses were restricted to respondents. However, several factors suggest that this bias was limited, as response rates were high (&gt;50%) in both the T1D, T2D and no-diabetes groups, and the three groups shared similar non-response patterns.</w:t>
      </w:r>
      <w:r>
        <w:rPr>
          <w:vertAlign w:val="superscript"/>
        </w:rPr>
        <w:t xml:space="preserve">58</w:t>
      </w:r>
    </w:p>
    <w:p>
      <w:pPr>
        <w:pStyle w:val="BodyText"/>
      </w:pPr>
      <w:r>
        <w:t xml:space="preserve">The register-based design of studies II and III meant that data was available on the entire population, minimizing selection bias. Statistical analyses were performed as complete-case analyses, which omits individuals with missing data from analyses and may induce selection bias. In order avoid this, individuals with very short durations of residence on the index dates of the studies were excluded in order to allow time for data to be captured correctly. In addition, the variables included in analyses were chosen to minimize missing data, e.g. we omitted education level from analyses due to a substantial proportion of migrants missing this data.</w:t>
      </w:r>
    </w:p>
    <w:p>
      <w:pPr>
        <w:pStyle w:val="BodyText"/>
      </w:pPr>
      <w:r>
        <w:t xml:space="preserve">Analyses of pharmacological treatment in study II and all analyses in study III were conditioned on individuals having an HbA1c or/and LDL-C level recorded, but this excluded no more than 2% of the study population and major bias due to this selection was unlikely. In study II, the analyses on pharmacological treatment were also conditioned on individuals still being alive and residing in Denmark at the end of the following year, which could induce selection bias. The alternative - leaving these individuals in the analyses - would likely have had a greater biasing effect, as any individual dying or emigrating before their first drug purchase in next the year would have resulted in their outcome being misclassified if they were in pharmacological treatment prior to the index date (as most individuals with an indication for treatment were).</w:t>
      </w:r>
    </w:p>
    <w:bookmarkEnd w:id="173"/>
    <w:bookmarkStart w:id="174" w:name="information-bias"/>
    <w:p>
      <w:pPr>
        <w:pStyle w:val="Heading3"/>
      </w:pPr>
      <w:r>
        <w:t xml:space="preserve">5.3.2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p>
      <w:pPr>
        <w:pStyle w:val="BodyText"/>
      </w:pPr>
      <w:r>
        <w:t xml:space="preserve">Pros and cons of algorithm design choices.</w:t>
      </w:r>
    </w:p>
    <w:p>
      <w:pPr>
        <w:pStyle w:val="BodyText"/>
      </w:pPr>
      <w:r>
        <w:t xml:space="preserve">RLRR coverage, LDL-C in 2018</w:t>
      </w:r>
    </w:p>
    <w:bookmarkEnd w:id="174"/>
    <w:bookmarkStart w:id="175" w:name="confounding"/>
    <w:p>
      <w:pPr>
        <w:pStyle w:val="Heading3"/>
      </w:pPr>
      <w:r>
        <w:t xml:space="preserve">5.3.3 Confounding</w:t>
      </w:r>
    </w:p>
    <w:p>
      <w:pPr>
        <w:pStyle w:val="FirstParagraph"/>
      </w:pPr>
      <w:r>
        <w:t xml:space="preserve">Studies II and III mapped risks, not causal associations</w:t>
      </w:r>
    </w:p>
    <w:bookmarkEnd w:id="175"/>
    <w:bookmarkEnd w:id="176"/>
    <w:bookmarkStart w:id="178" w:name="external-validity"/>
    <w:p>
      <w:pPr>
        <w:pStyle w:val="Heading2"/>
      </w:pPr>
      <w:r>
        <w:t xml:space="preserve">5.4 External validity</w:t>
      </w:r>
    </w:p>
    <w:bookmarkStart w:id="177" w:name="generalizability"/>
    <w:p>
      <w:pPr>
        <w:pStyle w:val="Heading3"/>
      </w:pPr>
      <w:r>
        <w:t xml:space="preserve">5.4.1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p>
      <w:pPr>
        <w:pStyle w:val="BodyText"/>
      </w:pPr>
      <w:r>
        <w:t xml:space="preserve">Results generalize to migrants with short durations of stay, but not to descendants?</w:t>
      </w:r>
    </w:p>
    <w:bookmarkEnd w:id="177"/>
    <w:bookmarkEnd w:id="178"/>
    <w:bookmarkStart w:id="179" w:name="analyses"/>
    <w:p>
      <w:pPr>
        <w:pStyle w:val="Heading2"/>
      </w:pPr>
      <w:r>
        <w:t xml:space="preserve">5.5 Analyses</w:t>
      </w:r>
    </w:p>
    <w:p>
      <w:pPr>
        <w:pStyle w:val="FirstParagraph"/>
      </w:pPr>
      <w:r>
        <w:t xml:space="preserve">Robust poisson regression provides more intuitive estimates of relative risk than logistic regression in studies where the outcome of interest is not rare.</w:t>
      </w:r>
    </w:p>
    <w:bookmarkEnd w:id="179"/>
    <w:bookmarkEnd w:id="180"/>
    <w:bookmarkStart w:id="185" w:name="discussion-of-results"/>
    <w:p>
      <w:pPr>
        <w:pStyle w:val="Heading1"/>
      </w:pPr>
      <w:r>
        <w:t xml:space="preserve">6. Discussion of results</w:t>
      </w:r>
    </w:p>
    <w:bookmarkStart w:id="184"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81" w:name="study-i-4"/>
    <w:p>
      <w:pPr>
        <w:pStyle w:val="Heading3"/>
      </w:pPr>
      <w:r>
        <w:t xml:space="preserve">6.1.1 Study I</w:t>
      </w:r>
    </w:p>
    <w:p>
      <w:pPr>
        <w:pStyle w:val="FirstParagraph"/>
      </w:pPr>
      <w:r>
        <w:rPr>
          <w:iCs/>
          <w:i/>
        </w:rPr>
        <w:t xml:space="preserve">[probably mostly CP from paper?]</w:t>
      </w:r>
    </w:p>
    <w:p>
      <w:pPr>
        <w:pStyle w:val="BodyText"/>
      </w:pPr>
      <w:r>
        <w:t xml:space="preserve">Comparisons to NDR?</w:t>
      </w:r>
    </w:p>
    <w:bookmarkEnd w:id="181"/>
    <w:bookmarkStart w:id="182" w:name="study-ii-4"/>
    <w:p>
      <w:pPr>
        <w:pStyle w:val="Heading3"/>
      </w:pPr>
      <w:r>
        <w:t xml:space="preserve">6.1.2 Study II</w:t>
      </w:r>
    </w:p>
    <w:p>
      <w:pPr>
        <w:pStyle w:val="FirstParagraph"/>
      </w:pPr>
      <w:r>
        <w:rPr>
          <w:iCs/>
          <w:i/>
        </w:rPr>
        <w:t xml:space="preserve">[probably mostly CP from paper?]</w:t>
      </w:r>
    </w:p>
    <w:bookmarkEnd w:id="182"/>
    <w:bookmarkStart w:id="183" w:name="study-iii-4"/>
    <w:p>
      <w:pPr>
        <w:pStyle w:val="Heading3"/>
      </w:pPr>
      <w:r>
        <w:t xml:space="preserve">6.1.3 Study III</w:t>
      </w:r>
    </w:p>
    <w:p>
      <w:pPr>
        <w:pStyle w:val="FirstParagraph"/>
      </w:pPr>
      <w:r>
        <w:rPr>
          <w:iCs/>
          <w:i/>
        </w:rPr>
        <w:t xml:space="preserve">[probably mostly CP from paper?]</w:t>
      </w:r>
    </w:p>
    <w:bookmarkEnd w:id="183"/>
    <w:bookmarkEnd w:id="184"/>
    <w:bookmarkEnd w:id="185"/>
    <w:bookmarkStart w:id="188" w:name="conclusions-and-implications"/>
    <w:p>
      <w:pPr>
        <w:pStyle w:val="Heading1"/>
      </w:pPr>
      <w:r>
        <w:t xml:space="preserve">7. Conclusions and implications</w:t>
      </w:r>
    </w:p>
    <w:bookmarkStart w:id="186" w:name="main-conclusions"/>
    <w:p>
      <w:pPr>
        <w:pStyle w:val="Heading2"/>
      </w:pPr>
      <w:r>
        <w:t xml:space="preserve">7.1 Main conclusions</w:t>
      </w:r>
    </w:p>
    <w:p>
      <w:pPr>
        <w:pStyle w:val="FirstParagraph"/>
      </w:pPr>
      <w:r>
        <w:rPr>
          <w:iCs/>
          <w:i/>
        </w:rPr>
        <w:t xml:space="preserve">[probably mostly CP from papers]</w:t>
      </w:r>
    </w:p>
    <w:bookmarkEnd w:id="186"/>
    <w:bookmarkStart w:id="187"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87"/>
    <w:bookmarkEnd w:id="188"/>
    <w:bookmarkStart w:id="191" w:name="sec-perspectives-and-future-research"/>
    <w:p>
      <w:pPr>
        <w:pStyle w:val="Heading1"/>
      </w:pPr>
      <w:r>
        <w:t xml:space="preserve">8. Perspectives and future research</w:t>
      </w:r>
    </w:p>
    <w:bookmarkStart w:id="189"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89"/>
    <w:bookmarkStart w:id="190"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p>
      <w:pPr>
        <w:pStyle w:val="BodyText"/>
      </w:pPr>
      <w:r>
        <w:t xml:space="preserve">Discerning T1D from T2D using insulin vs. non-insulin GLD purchases is likely to become a greater challenge in the future, as SGLT2i and GLP1RA may establish themselves as treatment options in T1D due to their effects on cardiovascular and kidney risk. With novel GLD types becoming indicated in heart and kidney patients without diabetes, inclusion criteria in register-based algorithms will have to adapt accordingly.</w:t>
      </w:r>
    </w:p>
    <w:bookmarkEnd w:id="190"/>
    <w:bookmarkEnd w:id="191"/>
    <w:bookmarkStart w:id="340" w:name="references"/>
    <w:p>
      <w:pPr>
        <w:pStyle w:val="Heading1"/>
      </w:pPr>
      <w:r>
        <w:t xml:space="preserve">References</w:t>
      </w:r>
    </w:p>
    <w:bookmarkStart w:id="339" w:name="refs"/>
    <w:bookmarkStart w:id="193" w:name="ref-socialdiabetes"/>
    <w:p>
      <w:pPr>
        <w:pStyle w:val="Bibliography"/>
      </w:pPr>
      <w:r>
        <w:t xml:space="preserve">1.</w:t>
      </w:r>
      <w:r>
        <w:t xml:space="preserve"> </w:t>
      </w:r>
      <w:r>
        <w:t xml:space="preserve">	</w:t>
      </w:r>
      <w:r>
        <w:t xml:space="preserve">Agardh E, Allebeck P, Hallqvist J, Moradi T, Sidorchuk A.</w:t>
      </w:r>
      <w:r>
        <w:t xml:space="preserve"> </w:t>
      </w:r>
      <w:r>
        <w:t xml:space="preserve">Type 2 diabetes incidence and socio-economic position: a systematic review and meta-analysis</w:t>
      </w:r>
      <w:r>
        <w:t xml:space="preserve">. International Journal of Epidemiology [Internet] 2011;40(3):804–18. Available from:</w:t>
      </w:r>
      <w:r>
        <w:t xml:space="preserve"> </w:t>
      </w:r>
      <w:hyperlink r:id="rId192">
        <w:r>
          <w:rPr>
            <w:rStyle w:val="Hyperlink"/>
          </w:rPr>
          <w:t xml:space="preserve">https://doi.org/10.1093/ije/dyr029</w:t>
        </w:r>
      </w:hyperlink>
    </w:p>
    <w:bookmarkEnd w:id="193"/>
    <w:bookmarkStart w:id="195" w:name="ref-diabetesatlas"/>
    <w:p>
      <w:pPr>
        <w:pStyle w:val="Bibliography"/>
      </w:pPr>
      <w:r>
        <w:t xml:space="preserve">2.</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94">
        <w:r>
          <w:rPr>
            <w:rStyle w:val="Hyperlink"/>
          </w:rPr>
          <w:t xml:space="preserve">https://www.sciencedirect.com/science/article/pii/S0168822721004782</w:t>
        </w:r>
      </w:hyperlink>
    </w:p>
    <w:bookmarkEnd w:id="195"/>
    <w:bookmarkStart w:id="197" w:name="ref-eurostat_migrants"/>
    <w:p>
      <w:pPr>
        <w:pStyle w:val="Bibliography"/>
      </w:pPr>
      <w:r>
        <w:t xml:space="preserve">3.</w:t>
      </w:r>
      <w:r>
        <w:t xml:space="preserve"> </w:t>
      </w:r>
      <w:r>
        <w:t xml:space="preserve">	</w:t>
      </w:r>
      <w:r>
        <w:t xml:space="preserve">Eurostat.</w:t>
      </w:r>
      <w:r>
        <w:t xml:space="preserve"> </w:t>
      </w:r>
      <w:r>
        <w:t xml:space="preserve">Migrant integration statistics</w:t>
      </w:r>
      <w:r>
        <w:t xml:space="preserve"> </w:t>
      </w:r>
      <w:r>
        <w:t xml:space="preserve">[Internet]. {2022, last accessed 7 Feb 2023};Available from:</w:t>
      </w:r>
      <w:r>
        <w:t xml:space="preserve"> </w:t>
      </w:r>
      <w:hyperlink r:id="rId196">
        <w:r>
          <w:rPr>
            <w:rStyle w:val="Hyperlink"/>
          </w:rPr>
          <w:t xml:space="preserve">https://ec.europa.eu/eurostat/statistics-explained/index.php?title=Migrant_integration_statistics</w:t>
        </w:r>
      </w:hyperlink>
    </w:p>
    <w:bookmarkEnd w:id="197"/>
    <w:bookmarkStart w:id="199" w:name="ref-eurostat_popstruct"/>
    <w:p>
      <w:pPr>
        <w:pStyle w:val="Bibliography"/>
      </w:pPr>
      <w:r>
        <w:t xml:space="preserve">4.</w:t>
      </w:r>
      <w:r>
        <w:t xml:space="preserve"> </w:t>
      </w:r>
      <w:r>
        <w:t xml:space="preserve">	</w:t>
      </w:r>
      <w:r>
        <w:t xml:space="preserve">Eurostat.</w:t>
      </w:r>
      <w:r>
        <w:t xml:space="preserve"> </w:t>
      </w:r>
      <w:r>
        <w:t xml:space="preserve">Population structure and ageing</w:t>
      </w:r>
      <w:r>
        <w:t xml:space="preserve"> </w:t>
      </w:r>
      <w:r>
        <w:t xml:space="preserve">[Internet]. {2022, last accessed 7 Feb 2023};Available from:</w:t>
      </w:r>
      <w:r>
        <w:t xml:space="preserve"> </w:t>
      </w:r>
      <w:hyperlink r:id="rId198">
        <w:r>
          <w:rPr>
            <w:rStyle w:val="Hyperlink"/>
          </w:rPr>
          <w:t xml:space="preserve">https://ec.europa.eu/eurostat/statistics-explained/index.php?title=Population_structure_and_ageing</w:t>
        </w:r>
      </w:hyperlink>
    </w:p>
    <w:bookmarkEnd w:id="199"/>
    <w:bookmarkStart w:id="201" w:name="ref-eurostat_ageing_europe"/>
    <w:p>
      <w:pPr>
        <w:pStyle w:val="Bibliography"/>
      </w:pPr>
      <w:r>
        <w:t xml:space="preserve">5.</w:t>
      </w:r>
      <w:r>
        <w:t xml:space="preserve"> </w:t>
      </w:r>
      <w:r>
        <w:t xml:space="preserve">	</w:t>
      </w:r>
      <w:r>
        <w:t xml:space="preserve">Eurostat.</w:t>
      </w:r>
      <w:r>
        <w:t xml:space="preserve"> </w:t>
      </w:r>
      <w:r>
        <w:t xml:space="preserve">Ageing Europe - statistics on health and disability</w:t>
      </w:r>
      <w:r>
        <w:t xml:space="preserve"> </w:t>
      </w:r>
      <w:r>
        <w:t xml:space="preserve">[Internet]. {2022, last accessed 7 Feb 2023};Available from:</w:t>
      </w:r>
      <w:r>
        <w:t xml:space="preserve"> </w:t>
      </w:r>
      <w:hyperlink r:id="rId200">
        <w:r>
          <w:rPr>
            <w:rStyle w:val="Hyperlink"/>
          </w:rPr>
          <w:t xml:space="preserve">https://ec.europa.eu/eurostat/statistics-explained/index.php?title=Ageing_Europe_-_statistics_on_health_and_disability</w:t>
        </w:r>
      </w:hyperlink>
    </w:p>
    <w:bookmarkEnd w:id="201"/>
    <w:bookmarkStart w:id="203" w:name="ref-meeks2016"/>
    <w:p>
      <w:pPr>
        <w:pStyle w:val="Bibliography"/>
      </w:pPr>
      <w:r>
        <w:t xml:space="preserve">6.</w:t>
      </w:r>
      <w:r>
        <w:t xml:space="preserve"> </w:t>
      </w:r>
      <w:r>
        <w:t xml:space="preserve">	</w:t>
      </w:r>
      <w:r>
        <w:t xml:space="preserve">Meeks KA, Freitas-Da-Silva D, Adeyemo A, et al.</w:t>
      </w:r>
      <w:r>
        <w:t xml:space="preserve"> </w:t>
      </w:r>
      <w:hyperlink r:id="rId202">
        <w:r>
          <w:rPr>
            <w:rStyle w:val="Hyperlink"/>
          </w:rPr>
          <w:t xml:space="preserve">Disparities in type 2 diabetes prevalence among ethnic minority groups resident in Europe: a systematic review and meta-analysis</w:t>
        </w:r>
      </w:hyperlink>
      <w:r>
        <w:t xml:space="preserve">. Intern Emerg Med 2016;Apr; 11(3):327-40.</w:t>
      </w:r>
      <w:r>
        <w:t xml:space="preserve"> </w:t>
      </w:r>
    </w:p>
    <w:bookmarkEnd w:id="203"/>
    <w:bookmarkStart w:id="205" w:name="ref-andersen2016"/>
    <w:p>
      <w:pPr>
        <w:pStyle w:val="Bibliography"/>
      </w:pPr>
      <w:r>
        <w:t xml:space="preserve">7.</w:t>
      </w:r>
      <w:r>
        <w:t xml:space="preserve"> </w:t>
      </w:r>
      <w:r>
        <w:t xml:space="preserve">	</w:t>
      </w:r>
      <w:r>
        <w:t xml:space="preserve">Andersen GS, Kamper-Jørgensen Z, Carstensen B, Norredam M, Bygbjerg IC, Jørgensen ME.</w:t>
      </w:r>
      <w:r>
        <w:t xml:space="preserve"> </w:t>
      </w:r>
      <w:hyperlink r:id="rId204">
        <w:r>
          <w:rPr>
            <w:rStyle w:val="Hyperlink"/>
          </w:rPr>
          <w:t xml:space="preserve">Diabetes among migrants in Denmark: Incidence, mortality, and prevalence based on a longitudinal register study of the entire Danish population</w:t>
        </w:r>
      </w:hyperlink>
      <w:r>
        <w:t xml:space="preserve">. Diabetes Res Clin Pract 2016;Dec:122:9–16.</w:t>
      </w:r>
      <w:r>
        <w:t xml:space="preserve"> </w:t>
      </w:r>
    </w:p>
    <w:bookmarkEnd w:id="205"/>
    <w:bookmarkStart w:id="207" w:name="ref-befpyramide"/>
    <w:p>
      <w:pPr>
        <w:pStyle w:val="Bibliography"/>
      </w:pPr>
      <w:r>
        <w:t xml:space="preserve">8.</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206">
        <w:r>
          <w:rPr>
            <w:rStyle w:val="Hyperlink"/>
          </w:rPr>
          <w:t xml:space="preserve">https://extranet.dst.dk/pyramide/pyramide.htm#!y=2039&amp;o=2019&amp;c=4</w:t>
        </w:r>
      </w:hyperlink>
    </w:p>
    <w:bookmarkEnd w:id="207"/>
    <w:bookmarkStart w:id="209" w:name="ref-nonresponse_migrants"/>
    <w:p>
      <w:pPr>
        <w:pStyle w:val="Bibliography"/>
      </w:pPr>
      <w:r>
        <w:t xml:space="preserve">9.</w:t>
      </w:r>
      <w:r>
        <w:t xml:space="preserve"> </w:t>
      </w:r>
      <w:r>
        <w:t xml:space="preserve">	</w:t>
      </w:r>
      <w:r>
        <w:t xml:space="preserve">Ahlmark N, Algren MH, Holmberg T, et al.</w:t>
      </w:r>
      <w:r>
        <w:t xml:space="preserve"> </w:t>
      </w:r>
      <w:hyperlink r:id="rId208">
        <w:r>
          <w:rPr>
            <w:rStyle w:val="Hyperlink"/>
          </w:rPr>
          <w:t xml:space="preserve">Survey nonresponse among ethnic minorities in a national health survey – a mixed-method study of participation, barriers, and potentials</w:t>
        </w:r>
      </w:hyperlink>
      <w:r>
        <w:t xml:space="preserve">. Ethnicity &amp; Health 2015;20(6):611–32.</w:t>
      </w:r>
      <w:r>
        <w:t xml:space="preserve"> </w:t>
      </w:r>
    </w:p>
    <w:bookmarkEnd w:id="209"/>
    <w:bookmarkStart w:id="211" w:name="ref-erayil2021raceethnicity"/>
    <w:p>
      <w:pPr>
        <w:pStyle w:val="Bibliography"/>
      </w:pPr>
      <w:r>
        <w:t xml:space="preserve">10.</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210">
        <w:r>
          <w:rPr>
            <w:rStyle w:val="Hyperlink"/>
          </w:rPr>
          <w:t xml:space="preserve">https://www.ajtmh.org/view/journals/tpmd/105/6/article-p1453.xml</w:t>
        </w:r>
      </w:hyperlink>
    </w:p>
    <w:bookmarkEnd w:id="211"/>
    <w:bookmarkStart w:id="213" w:name="ref-unhcrfaq"/>
    <w:p>
      <w:pPr>
        <w:pStyle w:val="Bibliography"/>
      </w:pPr>
      <w:r>
        <w:t xml:space="preserve">11.</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212">
        <w:r>
          <w:rPr>
            <w:rStyle w:val="Hyperlink"/>
          </w:rPr>
          <w:t xml:space="preserve">https://www.unhcr.org/en-us/news/latest/2016/3/56e95c676/refugees-migrants-frequently-asked-questions-faqs.html</w:t>
        </w:r>
      </w:hyperlink>
    </w:p>
    <w:bookmarkEnd w:id="213"/>
    <w:bookmarkStart w:id="215" w:name="ref-dublinregulation"/>
    <w:p>
      <w:pPr>
        <w:pStyle w:val="Bibliography"/>
      </w:pPr>
      <w:r>
        <w:t xml:space="preserve">12.</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214">
        <w:r>
          <w:rPr>
            <w:rStyle w:val="Hyperlink"/>
          </w:rPr>
          <w:t xml:space="preserve">https://home-affairs.ec.europa.eu/policies/migration-and-asylum/common-european-asylum-system/country-responsible-asylum-application-dublin-regulation_en</w:t>
        </w:r>
      </w:hyperlink>
    </w:p>
    <w:bookmarkEnd w:id="215"/>
    <w:bookmarkStart w:id="217" w:name="ref-familyreunion"/>
    <w:p>
      <w:pPr>
        <w:pStyle w:val="Bibliography"/>
      </w:pPr>
      <w:r>
        <w:t xml:space="preserve">13.</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216">
        <w:r>
          <w:rPr>
            <w:rStyle w:val="Hyperlink"/>
          </w:rPr>
          <w:t xml:space="preserve">https://nyidanmark.dk/uk-UA/You-want-to-apply/Family</w:t>
        </w:r>
      </w:hyperlink>
    </w:p>
    <w:bookmarkEnd w:id="217"/>
    <w:bookmarkStart w:id="219" w:name="ref-residencework"/>
    <w:p>
      <w:pPr>
        <w:pStyle w:val="Bibliography"/>
      </w:pPr>
      <w:r>
        <w:t xml:space="preserve">14.</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218">
        <w:r>
          <w:rPr>
            <w:rStyle w:val="Hyperlink"/>
          </w:rPr>
          <w:t xml:space="preserve">https://nyidanmark.dk/uk-UA/You-want-to-apply/Work</w:t>
        </w:r>
      </w:hyperlink>
    </w:p>
    <w:bookmarkEnd w:id="219"/>
    <w:bookmarkStart w:id="221" w:name="ref-residencestudy"/>
    <w:p>
      <w:pPr>
        <w:pStyle w:val="Bibliography"/>
      </w:pPr>
      <w:r>
        <w:t xml:space="preserve">15.</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220">
        <w:r>
          <w:rPr>
            <w:rStyle w:val="Hyperlink"/>
          </w:rPr>
          <w:t xml:space="preserve">https://nyidanmark.dk/uk-UA/You-want-to-apply/Study</w:t>
        </w:r>
      </w:hyperlink>
    </w:p>
    <w:bookmarkEnd w:id="221"/>
    <w:bookmarkStart w:id="223" w:name="ref-residencenordic"/>
    <w:p>
      <w:pPr>
        <w:pStyle w:val="Bibliography"/>
      </w:pPr>
      <w:r>
        <w:t xml:space="preserve">16.</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222">
        <w:r>
          <w:rPr>
            <w:rStyle w:val="Hyperlink"/>
          </w:rPr>
          <w:t xml:space="preserve">https://nyidanmark.dk/uk-UA/You-want-to-apply/Residence-as-a-Nordic-citizen-or-EU-or-EEA-citizen/Nordic-citizens</w:t>
        </w:r>
      </w:hyperlink>
    </w:p>
    <w:bookmarkEnd w:id="223"/>
    <w:bookmarkStart w:id="225" w:name="ref-interpreterlaw"/>
    <w:p>
      <w:pPr>
        <w:pStyle w:val="Bibliography"/>
      </w:pPr>
      <w:r>
        <w:t xml:space="preserve">17.</w:t>
      </w:r>
      <w:r>
        <w:t xml:space="preserve"> </w:t>
      </w:r>
      <w:r>
        <w:t xml:space="preserve">	</w:t>
      </w:r>
      <w:r>
        <w:t xml:space="preserve">Indenrigs- og Boligministeriet [English: Ministry of the Interior and Health].</w:t>
      </w:r>
      <w:r>
        <w:t xml:space="preserve"> </w:t>
      </w:r>
      <w:r>
        <w:t xml:space="preserve">Bekendtgørelse om tolkebistand efter sundhedsloven [English: Executive Order on Interpretation Services under the Health Care Act]</w:t>
      </w:r>
      <w:r>
        <w:t xml:space="preserve"> </w:t>
      </w:r>
      <w:r>
        <w:t xml:space="preserve">[Internet]. {2018; last accessed on 7 Feb 2023};Available from:</w:t>
      </w:r>
      <w:r>
        <w:t xml:space="preserve"> </w:t>
      </w:r>
      <w:hyperlink r:id="rId224">
        <w:r>
          <w:rPr>
            <w:rStyle w:val="Hyperlink"/>
          </w:rPr>
          <w:t xml:space="preserve">https://www.retsinformation.dk/eli/lta/2018/855</w:t>
        </w:r>
      </w:hyperlink>
    </w:p>
    <w:bookmarkEnd w:id="225"/>
    <w:bookmarkStart w:id="227" w:name="ref-eventsabroad"/>
    <w:p>
      <w:pPr>
        <w:pStyle w:val="Bibliography"/>
      </w:pPr>
      <w:r>
        <w:t xml:space="preserve">18.</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226">
        <w:r>
          <w:rPr>
            <w:rStyle w:val="Hyperlink"/>
          </w:rPr>
          <w:t xml:space="preserve">https://www.retsinformation.dk/eli/retsinfo/2013/9273#Bil1</w:t>
        </w:r>
      </w:hyperlink>
    </w:p>
    <w:bookmarkEnd w:id="227"/>
    <w:bookmarkStart w:id="229" w:name="ref-educationmigrants"/>
    <w:p>
      <w:pPr>
        <w:pStyle w:val="Bibliography"/>
      </w:pPr>
      <w:r>
        <w:t xml:space="preserve">19.</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228">
        <w:r>
          <w:rPr>
            <w:rStyle w:val="Hyperlink"/>
          </w:rPr>
          <w:t xml:space="preserve">https://www.dst.dk/Site/Dst/SingleFiles/GetArchiveFile.aspx?fi=formid&amp;fo=medbragt-udd--pdf</w:t>
        </w:r>
      </w:hyperlink>
    </w:p>
    <w:bookmarkEnd w:id="229"/>
    <w:bookmarkStart w:id="231" w:name="ref-migrantsdenmark2019"/>
    <w:p>
      <w:pPr>
        <w:pStyle w:val="Bibliography"/>
      </w:pPr>
      <w:r>
        <w:t xml:space="preserve">20.</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230">
        <w:r>
          <w:rPr>
            <w:rStyle w:val="Hyperlink"/>
          </w:rPr>
          <w:t xml:space="preserve">https://www.dst.dk/Site/Dst/Udgivelser/GetPubFile.aspx?id=29446&amp;sid=indv2019</w:t>
        </w:r>
      </w:hyperlink>
    </w:p>
    <w:bookmarkEnd w:id="231"/>
    <w:bookmarkStart w:id="233" w:name="ref-dst2022migrants"/>
    <w:p>
      <w:pPr>
        <w:pStyle w:val="Bibliography"/>
      </w:pPr>
      <w:r>
        <w:t xml:space="preserve">21.</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232">
        <w:r>
          <w:rPr>
            <w:rStyle w:val="Hyperlink"/>
          </w:rPr>
          <w:t xml:space="preserve">https://www.dst.dk/da/Statistik/nyheder-analyser-publ/bagtal/2022/2022-08-18-fakta-om-indvandrere</w:t>
        </w:r>
      </w:hyperlink>
    </w:p>
    <w:bookmarkEnd w:id="233"/>
    <w:bookmarkStart w:id="234" w:name="ref-challengesdatamultiethnic"/>
    <w:p>
      <w:pPr>
        <w:pStyle w:val="Bibliography"/>
      </w:pPr>
      <w:r>
        <w:t xml:space="preserve">22.</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234"/>
    <w:bookmarkStart w:id="236" w:name="ref-m49"/>
    <w:p>
      <w:pPr>
        <w:pStyle w:val="Bibliography"/>
      </w:pPr>
      <w:r>
        <w:t xml:space="preserve">23.</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235">
        <w:r>
          <w:rPr>
            <w:rStyle w:val="Hyperlink"/>
          </w:rPr>
          <w:t xml:space="preserve">https://unstats.un.org/unsd/methodology/m49/</w:t>
        </w:r>
      </w:hyperlink>
    </w:p>
    <w:bookmarkEnd w:id="236"/>
    <w:bookmarkStart w:id="238" w:name="ref-docmigrants"/>
    <w:p>
      <w:pPr>
        <w:pStyle w:val="Bibliography"/>
      </w:pPr>
      <w:r>
        <w:t xml:space="preserve">24.</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237">
        <w:r>
          <w:rPr>
            <w:rStyle w:val="Hyperlink"/>
          </w:rPr>
          <w:t xml:space="preserve">https://www.dst.dk/Site/Dst/SingleFiles/GetArchiveFile.aspx?fi=49459100303&amp;fo=0&amp;ext=kvaldel</w:t>
        </w:r>
      </w:hyperlink>
    </w:p>
    <w:bookmarkEnd w:id="238"/>
    <w:bookmarkStart w:id="240" w:name="ref-bennetfirstsecondgen"/>
    <w:p>
      <w:pPr>
        <w:pStyle w:val="Bibliography"/>
      </w:pPr>
      <w:r>
        <w:t xml:space="preserve">25.</w:t>
      </w:r>
      <w:r>
        <w:t xml:space="preserve"> </w:t>
      </w:r>
      <w:r>
        <w:t xml:space="preserve">	</w:t>
      </w:r>
      <w:r>
        <w:t xml:space="preserve">Bennet L, Udumyan R, Östgren CJ, Rolandsson O, Jansson SPO, Wändell P.</w:t>
      </w:r>
      <w:r>
        <w:t xml:space="preserve"> </w:t>
      </w:r>
      <w:hyperlink r:id="rId239">
        <w:r>
          <w:rPr>
            <w:rStyle w:val="Hyperlink"/>
          </w:rPr>
          <w:t xml:space="preserve">Mortality in first- and second-generation immigrants to sweden diagnosed with type 2 diabetes: A 10 year nationwide cohort study</w:t>
        </w:r>
      </w:hyperlink>
      <w:r>
        <w:t xml:space="preserve">. Diabetologia 2021;64(1):95–108.</w:t>
      </w:r>
      <w:r>
        <w:t xml:space="preserve"> </w:t>
      </w:r>
    </w:p>
    <w:bookmarkEnd w:id="240"/>
    <w:bookmarkStart w:id="242" w:name="ref-ADA2022"/>
    <w:p>
      <w:pPr>
        <w:pStyle w:val="Bibliography"/>
      </w:pPr>
      <w:r>
        <w:t xml:space="preserve">26.</w:t>
      </w:r>
      <w:r>
        <w:t xml:space="preserve"> </w:t>
      </w:r>
      <w:r>
        <w:t xml:space="preserve">	</w:t>
      </w:r>
      <w:r>
        <w:t xml:space="preserve">American Diabetes Association Professional Practice Committee.</w:t>
      </w:r>
      <w:r>
        <w:t xml:space="preserve"> </w:t>
      </w:r>
      <w:r>
        <w:t xml:space="preserve">2. Classification and Diagnosis of Diabetes: Standards of Medical Care in Diabetes—2022</w:t>
      </w:r>
      <w:r>
        <w:t xml:space="preserve">. Diabetes Care [Internet] 2021;45(Supplement_1):S17–38. Available from:</w:t>
      </w:r>
      <w:r>
        <w:t xml:space="preserve"> </w:t>
      </w:r>
      <w:hyperlink r:id="rId241">
        <w:r>
          <w:rPr>
            <w:rStyle w:val="Hyperlink"/>
          </w:rPr>
          <w:t xml:space="preserve">https://doi.org/10.2337/dc22-S002</w:t>
        </w:r>
      </w:hyperlink>
    </w:p>
    <w:bookmarkEnd w:id="242"/>
    <w:bookmarkStart w:id="244" w:name="ref-Holm2018"/>
    <w:p>
      <w:pPr>
        <w:pStyle w:val="Bibliography"/>
      </w:pPr>
      <w:r>
        <w:t xml:space="preserve">27.</w:t>
      </w:r>
      <w:r>
        <w:t xml:space="preserve"> </w:t>
      </w:r>
      <w:r>
        <w:t xml:space="preserve">	</w:t>
      </w:r>
      <w:r>
        <w:t xml:space="preserve">Holm AL, Andersen GS, Diderichsen F, Jørgensen ME.</w:t>
      </w:r>
      <w:r>
        <w:t xml:space="preserve"> </w:t>
      </w:r>
      <w:hyperlink r:id="rId243">
        <w:r>
          <w:rPr>
            <w:rStyle w:val="Hyperlink"/>
          </w:rPr>
          <w:t xml:space="preserve">Is the Rule of Halves framework relevant for diabetes care in</w:t>
        </w:r>
        <w:r>
          <w:rPr>
            <w:rStyle w:val="Hyperlink"/>
          </w:rPr>
          <w:t xml:space="preserve"> </w:t>
        </w:r>
        <w:r>
          <w:rPr>
            <w:rStyle w:val="Hyperlink"/>
          </w:rPr>
          <w:t xml:space="preserve">Copenhagen</w:t>
        </w:r>
        <w:r>
          <w:rPr>
            <w:rStyle w:val="Hyperlink"/>
          </w:rPr>
          <w:t xml:space="preserve"> </w:t>
        </w:r>
        <w:r>
          <w:rPr>
            <w:rStyle w:val="Hyperlink"/>
          </w:rPr>
          <w:t xml:space="preserve">today? A register-based cross-sectional study</w:t>
        </w:r>
      </w:hyperlink>
      <w:r>
        <w:t xml:space="preserve">. BMJ Open 2018;8:e023211.</w:t>
      </w:r>
      <w:r>
        <w:t xml:space="preserve"> </w:t>
      </w:r>
    </w:p>
    <w:bookmarkEnd w:id="244"/>
    <w:bookmarkStart w:id="246" w:name="ref-Kristensen2007"/>
    <w:p>
      <w:pPr>
        <w:pStyle w:val="Bibliography"/>
      </w:pPr>
      <w:r>
        <w:t xml:space="preserve">28.</w:t>
      </w:r>
      <w:r>
        <w:t xml:space="preserve"> </w:t>
      </w:r>
      <w:r>
        <w:t xml:space="preserve">	</w:t>
      </w:r>
      <w:r>
        <w:t xml:space="preserve">Kristensen J, Bak J, Wittrup I, Lauritzen T.</w:t>
      </w:r>
      <w:r>
        <w:t xml:space="preserve"> </w:t>
      </w:r>
      <w:hyperlink r:id="rId245">
        <w:r>
          <w:rPr>
            <w:rStyle w:val="Hyperlink"/>
          </w:rPr>
          <w:t xml:space="preserve">Diabetes prevalence and quality of diabetes care among Lebanese or Turkish immigrants compared to a native Danish population</w:t>
        </w:r>
      </w:hyperlink>
      <w:r>
        <w:t xml:space="preserve">. Prim Care Diabetes 2007;Sep:1(3):159–65.</w:t>
      </w:r>
      <w:r>
        <w:t xml:space="preserve"> </w:t>
      </w:r>
    </w:p>
    <w:bookmarkEnd w:id="246"/>
    <w:bookmarkStart w:id="248" w:name="ref-Tran2010"/>
    <w:p>
      <w:pPr>
        <w:pStyle w:val="Bibliography"/>
      </w:pPr>
      <w:r>
        <w:t xml:space="preserve">29.</w:t>
      </w:r>
      <w:r>
        <w:t xml:space="preserve"> </w:t>
      </w:r>
      <w:r>
        <w:t xml:space="preserve">	</w:t>
      </w:r>
      <w:r>
        <w:t xml:space="preserve">Tran AT, Diep LM, Cooper JG, et al.</w:t>
      </w:r>
      <w:r>
        <w:t xml:space="preserve"> </w:t>
      </w:r>
      <w:hyperlink r:id="rId247">
        <w:r>
          <w:rPr>
            <w:rStyle w:val="Hyperlink"/>
          </w:rPr>
          <w:t xml:space="preserve">Quality of care for patients with type 2 diabetes in general practice according to patients’ ethnic background: a cross-sectional study from Oslo, Norway</w:t>
        </w:r>
      </w:hyperlink>
      <w:r>
        <w:t xml:space="preserve">. BMC Health Serv Res 2010;10, 145.</w:t>
      </w:r>
      <w:r>
        <w:t xml:space="preserve"> </w:t>
      </w:r>
    </w:p>
    <w:bookmarkEnd w:id="248"/>
    <w:bookmarkStart w:id="250" w:name="ref-Negandhi2013"/>
    <w:p>
      <w:pPr>
        <w:pStyle w:val="Bibliography"/>
      </w:pPr>
      <w:r>
        <w:t xml:space="preserve">30.</w:t>
      </w:r>
      <w:r>
        <w:t xml:space="preserve"> </w:t>
      </w:r>
      <w:r>
        <w:t xml:space="preserve">	</w:t>
      </w:r>
      <w:r>
        <w:t xml:space="preserve">Negandhi PH, Ghouri N, Colhoun HM, et al.</w:t>
      </w:r>
      <w:r>
        <w:t xml:space="preserve"> </w:t>
      </w:r>
      <w:hyperlink r:id="rId249">
        <w:r>
          <w:rPr>
            <w:rStyle w:val="Hyperlink"/>
          </w:rPr>
          <w:t xml:space="preserve">Ethnic Differences in Glycaemic Control in People with Type 2 Diabetes Mellitus Living in Scotland</w:t>
        </w:r>
      </w:hyperlink>
      <w:r>
        <w:t xml:space="preserve">. PLoS ONE 2013;8.</w:t>
      </w:r>
      <w:r>
        <w:t xml:space="preserve"> </w:t>
      </w:r>
    </w:p>
    <w:bookmarkEnd w:id="250"/>
    <w:bookmarkStart w:id="252" w:name="ref-Rawshani2015"/>
    <w:p>
      <w:pPr>
        <w:pStyle w:val="Bibliography"/>
      </w:pPr>
      <w:r>
        <w:t xml:space="preserve">31.</w:t>
      </w:r>
      <w:r>
        <w:t xml:space="preserve"> </w:t>
      </w:r>
      <w:r>
        <w:t xml:space="preserve">	</w:t>
      </w:r>
      <w:r>
        <w:t xml:space="preserve">Rawshani A, Svensson A, Rosengren A, Zethelius B, Eliasson B, Gudbjörnsdottir S.</w:t>
      </w:r>
      <w:r>
        <w:t xml:space="preserve"> </w:t>
      </w:r>
      <w:hyperlink r:id="rId251">
        <w:r>
          <w:rPr>
            <w:rStyle w:val="Hyperlink"/>
          </w:rPr>
          <w:t xml:space="preserve">Impact of ethnicity on progress of glycaemic control in 131935 newly diagnosed patients with type 2 diabetes: a nationwide observational study from the Swedish National Diabetes Register</w:t>
        </w:r>
      </w:hyperlink>
      <w:r>
        <w:t xml:space="preserve">. BMJ Open 2015;5;e007599.</w:t>
      </w:r>
      <w:r>
        <w:t xml:space="preserve"> </w:t>
      </w:r>
    </w:p>
    <w:bookmarkEnd w:id="252"/>
    <w:bookmarkStart w:id="254" w:name="ref-Whyte2019"/>
    <w:p>
      <w:pPr>
        <w:pStyle w:val="Bibliography"/>
      </w:pPr>
      <w:r>
        <w:t xml:space="preserve">32.</w:t>
      </w:r>
      <w:r>
        <w:t xml:space="preserve"> </w:t>
      </w:r>
      <w:r>
        <w:t xml:space="preserve">	</w:t>
      </w:r>
      <w:r>
        <w:t xml:space="preserve">Whyte MB, Hinton W, McGovern A, et al.</w:t>
      </w:r>
      <w:r>
        <w:t xml:space="preserve"> </w:t>
      </w:r>
      <w:hyperlink r:id="rId253">
        <w:r>
          <w:rPr>
            <w:rStyle w:val="Hyperlink"/>
          </w:rPr>
          <w:t xml:space="preserve">Disparities in glycaemic control, monitoring, and treatment of type 2 diabetes in England: A retrospective cohort analysis</w:t>
        </w:r>
      </w:hyperlink>
      <w:r>
        <w:t xml:space="preserve">. PLoS Med 2019;Oct 7; 16(10):e1002942.</w:t>
      </w:r>
      <w:r>
        <w:t xml:space="preserve"> </w:t>
      </w:r>
    </w:p>
    <w:bookmarkEnd w:id="254"/>
    <w:bookmarkStart w:id="256" w:name="ref-Eastwood2021"/>
    <w:p>
      <w:pPr>
        <w:pStyle w:val="Bibliography"/>
      </w:pPr>
      <w:r>
        <w:t xml:space="preserve">33.</w:t>
      </w:r>
      <w:r>
        <w:t xml:space="preserve"> </w:t>
      </w:r>
      <w:r>
        <w:t xml:space="preserve">	</w:t>
      </w:r>
      <w:r>
        <w:t xml:space="preserve">Eastwood SV, Mathur R, Sattar N, Smeeth L, Bhaskaran K, Chaturvedi N.</w:t>
      </w:r>
      <w:r>
        <w:t xml:space="preserve"> </w:t>
      </w:r>
      <w:hyperlink r:id="rId255">
        <w:r>
          <w:rPr>
            <w:rStyle w:val="Hyperlink"/>
          </w:rPr>
          <w:t xml:space="preserve">Ethnic differences in guideline-indicated statin initiation for people with type 2 diabetes in UK primary care, 2006-2019: A cohort study</w:t>
        </w:r>
      </w:hyperlink>
      <w:r>
        <w:t xml:space="preserve">. PLoS Med 2021;18.</w:t>
      </w:r>
      <w:r>
        <w:t xml:space="preserve"> </w:t>
      </w:r>
    </w:p>
    <w:bookmarkEnd w:id="256"/>
    <w:bookmarkStart w:id="258" w:name="ref-Vandenheede2012"/>
    <w:p>
      <w:pPr>
        <w:pStyle w:val="Bibliography"/>
      </w:pPr>
      <w:r>
        <w:t xml:space="preserve">34.</w:t>
      </w:r>
      <w:r>
        <w:t xml:space="preserve"> </w:t>
      </w:r>
      <w:r>
        <w:t xml:space="preserve">	</w:t>
      </w:r>
      <w:r>
        <w:t xml:space="preserve">Vandenheede H, Deboosere P, Stirbu I, et al.</w:t>
      </w:r>
      <w:r>
        <w:t xml:space="preserve"> </w:t>
      </w:r>
      <w:hyperlink r:id="rId257">
        <w:r>
          <w:rPr>
            <w:rStyle w:val="Hyperlink"/>
          </w:rPr>
          <w:t xml:space="preserve">Migrant mortality from diabetes mellitus across Europe: the importance of socio-economic change</w:t>
        </w:r>
      </w:hyperlink>
      <w:r>
        <w:t xml:space="preserve">. Eur J Epidemiol 2012;Feb; 27(2):109-17.</w:t>
      </w:r>
      <w:r>
        <w:t xml:space="preserve"> </w:t>
      </w:r>
    </w:p>
    <w:bookmarkEnd w:id="258"/>
    <w:bookmarkStart w:id="260" w:name="ref-haller2011arb"/>
    <w:p>
      <w:pPr>
        <w:pStyle w:val="Bibliography"/>
      </w:pPr>
      <w:r>
        <w:t xml:space="preserve">35.</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259">
        <w:r>
          <w:rPr>
            <w:rStyle w:val="Hyperlink"/>
          </w:rPr>
          <w:t xml:space="preserve">https://doi.org/10.1056/NEJMoa1007994</w:t>
        </w:r>
      </w:hyperlink>
    </w:p>
    <w:bookmarkEnd w:id="260"/>
    <w:bookmarkStart w:id="262" w:name="ref-zoungas2011advance"/>
    <w:p>
      <w:pPr>
        <w:pStyle w:val="Bibliography"/>
      </w:pPr>
      <w:r>
        <w:t xml:space="preserve">36.</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261">
        <w:r>
          <w:rPr>
            <w:rStyle w:val="Hyperlink"/>
          </w:rPr>
          <w:t xml:space="preserve">https://doi.org/10.2337/dc09-0959</w:t>
        </w:r>
      </w:hyperlink>
    </w:p>
    <w:bookmarkEnd w:id="262"/>
    <w:bookmarkStart w:id="264" w:name="ref-fbv2022"/>
    <w:p>
      <w:pPr>
        <w:pStyle w:val="Bibliography"/>
      </w:pPr>
      <w:r>
        <w:t xml:space="preserve">37.</w:t>
      </w:r>
      <w:r>
        <w:t xml:space="preserve"> </w:t>
      </w:r>
      <w:r>
        <w:t xml:space="preserve">	</w:t>
      </w:r>
      <w:r>
        <w:t xml:space="preserve">Dansk Selskab for Almen Medicin &amp; Dansk Endokrinologisk Selskab [English: The Danish College of General Practitioners &amp; The Danish Endocrine Society.</w:t>
      </w:r>
      <w:r>
        <w:t xml:space="preserve"> </w:t>
      </w:r>
      <w:r>
        <w:t xml:space="preserve">Farmakologisk behandling af type 2-diabetes [English: Pharmacological treatment of type 2 diabetes]</w:t>
      </w:r>
      <w:r>
        <w:t xml:space="preserve"> </w:t>
      </w:r>
      <w:r>
        <w:t xml:space="preserve">[Internet]. {2022; 2023 revision};Available from:</w:t>
      </w:r>
      <w:r>
        <w:t xml:space="preserve"> </w:t>
      </w:r>
      <w:hyperlink r:id="rId263">
        <w:r>
          <w:rPr>
            <w:rStyle w:val="Hyperlink"/>
          </w:rPr>
          <w:t xml:space="preserve">https://vejledninger.dsam.dk/fbv-t2dm/</w:t>
        </w:r>
      </w:hyperlink>
    </w:p>
    <w:bookmarkEnd w:id="264"/>
    <w:bookmarkStart w:id="266" w:name="ref-swedenguidelines"/>
    <w:p>
      <w:pPr>
        <w:pStyle w:val="Bibliography"/>
      </w:pPr>
      <w:r>
        <w:t xml:space="preserve">38.</w:t>
      </w:r>
      <w:r>
        <w:t xml:space="preserve"> </w:t>
      </w:r>
      <w:r>
        <w:t xml:space="preserve">	</w:t>
      </w:r>
      <w:r>
        <w:t xml:space="preserve">Socialstyrelsen [English: The National Board of Health and Welfare].</w:t>
      </w:r>
      <w:r>
        <w:t xml:space="preserve"> </w:t>
      </w:r>
      <w:r>
        <w:t xml:space="preserve">Nationella riktlinjer för diabetesvård [English: National guidelines for diabetes care]</w:t>
      </w:r>
      <w:r>
        <w:t xml:space="preserve"> </w:t>
      </w:r>
      <w:r>
        <w:t xml:space="preserve">[Internet]. 2018;Available from:</w:t>
      </w:r>
      <w:r>
        <w:t xml:space="preserve"> </w:t>
      </w:r>
      <w:hyperlink r:id="rId265">
        <w:r>
          <w:rPr>
            <w:rStyle w:val="Hyperlink"/>
          </w:rPr>
          <w:t xml:space="preserve">https://www.socialstyrelsen.se/kunskapsstod-och-regler/regler-och-riktlinjer/nationella-riktlinjer/riktlinjer-och-utvarderingar/diabetes/</w:t>
        </w:r>
      </w:hyperlink>
    </w:p>
    <w:bookmarkEnd w:id="266"/>
    <w:bookmarkStart w:id="268" w:name="ref-germanguidelines"/>
    <w:p>
      <w:pPr>
        <w:pStyle w:val="Bibliography"/>
      </w:pPr>
      <w:r>
        <w:t xml:space="preserve">39.</w:t>
      </w:r>
      <w:r>
        <w:t xml:space="preserve"> </w:t>
      </w:r>
      <w:r>
        <w:t xml:space="preserve">	</w:t>
      </w:r>
      <w:r>
        <w:t xml:space="preserve">Nationale VersorgungsLeitlinie [English: National Care Guidelines].</w:t>
      </w:r>
      <w:r>
        <w:t xml:space="preserve"> </w:t>
      </w:r>
      <w:r>
        <w:t xml:space="preserve">NVL Typ-2-Diabetes</w:t>
      </w:r>
      <w:r>
        <w:t xml:space="preserve"> </w:t>
      </w:r>
      <w:r>
        <w:t xml:space="preserve">[Internet]. 2021;Available from:</w:t>
      </w:r>
      <w:r>
        <w:t xml:space="preserve"> </w:t>
      </w:r>
      <w:hyperlink r:id="rId267">
        <w:r>
          <w:rPr>
            <w:rStyle w:val="Hyperlink"/>
          </w:rPr>
          <w:t xml:space="preserve">https://www.leitlinien.de/themen/diabetes/2-auflage/</w:t>
        </w:r>
      </w:hyperlink>
    </w:p>
    <w:bookmarkEnd w:id="268"/>
    <w:bookmarkStart w:id="270" w:name="ref-dutchguidelines"/>
    <w:p>
      <w:pPr>
        <w:pStyle w:val="Bibliography"/>
      </w:pPr>
      <w:r>
        <w:t xml:space="preserve">40.</w:t>
      </w:r>
      <w:r>
        <w:t xml:space="preserve"> </w:t>
      </w:r>
      <w:r>
        <w:t xml:space="preserve">	</w:t>
      </w:r>
      <w:r>
        <w:t xml:space="preserve">Nederlands Huisarten Genootschap [English: Dutch College of General Practitioners].</w:t>
      </w:r>
      <w:r>
        <w:t xml:space="preserve"> </w:t>
      </w:r>
      <w:r>
        <w:t xml:space="preserve">NHG STANDARD: Diabetes mellitus type 2</w:t>
      </w:r>
      <w:r>
        <w:t xml:space="preserve"> </w:t>
      </w:r>
      <w:r>
        <w:t xml:space="preserve">[Internet]. {2018, latest revision January 2023};Available from:</w:t>
      </w:r>
      <w:r>
        <w:t xml:space="preserve"> </w:t>
      </w:r>
      <w:hyperlink r:id="rId269">
        <w:r>
          <w:rPr>
            <w:rStyle w:val="Hyperlink"/>
          </w:rPr>
          <w:t xml:space="preserve">https://richtlijnen.nhg.org/standaarden/diabetes-mellitus-type-2</w:t>
        </w:r>
      </w:hyperlink>
    </w:p>
    <w:bookmarkEnd w:id="270"/>
    <w:bookmarkStart w:id="272" w:name="ref-niceguidelines"/>
    <w:p>
      <w:pPr>
        <w:pStyle w:val="Bibliography"/>
      </w:pPr>
      <w:r>
        <w:t xml:space="preserve">41.</w:t>
      </w:r>
      <w:r>
        <w:t xml:space="preserve"> </w:t>
      </w:r>
      <w:r>
        <w:t xml:space="preserve">	</w:t>
      </w:r>
      <w:r>
        <w:t xml:space="preserve">National Institute for Health and Care Excellence.</w:t>
      </w:r>
      <w:r>
        <w:t xml:space="preserve"> </w:t>
      </w:r>
      <w:r>
        <w:t xml:space="preserve">NICE guideline [NG28]: Type 2 diabetes in adults: management</w:t>
      </w:r>
      <w:r>
        <w:t xml:space="preserve"> </w:t>
      </w:r>
      <w:r>
        <w:t xml:space="preserve">[Internet]. {2015, latest revision June 2022};Available from:</w:t>
      </w:r>
      <w:r>
        <w:t xml:space="preserve"> </w:t>
      </w:r>
      <w:hyperlink r:id="rId271">
        <w:r>
          <w:rPr>
            <w:rStyle w:val="Hyperlink"/>
          </w:rPr>
          <w:t xml:space="preserve">https://www.nice.org.uk/guidance/ng28</w:t>
        </w:r>
      </w:hyperlink>
    </w:p>
    <w:bookmarkEnd w:id="272"/>
    <w:bookmarkStart w:id="274" w:name="ref-norwayguidelines"/>
    <w:p>
      <w:pPr>
        <w:pStyle w:val="Bibliography"/>
      </w:pPr>
      <w:r>
        <w:t xml:space="preserve">42.</w:t>
      </w:r>
      <w:r>
        <w:t xml:space="preserve"> </w:t>
      </w:r>
      <w:r>
        <w:t xml:space="preserve">	</w:t>
      </w:r>
      <w:r>
        <w:t xml:space="preserve">Helsedirektoratet [English: Norwegian Directorate of Health].</w:t>
      </w:r>
      <w:r>
        <w:t xml:space="preserve"> </w:t>
      </w:r>
      <w:r>
        <w:t xml:space="preserve">Nasjonal faglig retningslinje for diabetes [English: National professional guideline for diabetes]</w:t>
      </w:r>
      <w:r>
        <w:t xml:space="preserve"> </w:t>
      </w:r>
      <w:r>
        <w:t xml:space="preserve">[Internet]. {2016, latest revision March 2021};Available from:</w:t>
      </w:r>
      <w:r>
        <w:t xml:space="preserve"> </w:t>
      </w:r>
      <w:hyperlink r:id="rId273">
        <w:r>
          <w:rPr>
            <w:rStyle w:val="Hyperlink"/>
          </w:rPr>
          <w:t xml:space="preserve">https://www.helsedirektoratet.no/retningslinjer/diabetes</w:t>
        </w:r>
      </w:hyperlink>
    </w:p>
    <w:bookmarkEnd w:id="274"/>
    <w:bookmarkStart w:id="276" w:name="ref-dsam2004"/>
    <w:p>
      <w:pPr>
        <w:pStyle w:val="Bibliography"/>
      </w:pPr>
      <w:r>
        <w:t xml:space="preserve">43.</w:t>
      </w:r>
      <w:r>
        <w:t xml:space="preserve"> </w:t>
      </w:r>
      <w:r>
        <w:t xml:space="preserve">	</w:t>
      </w:r>
      <w:r>
        <w:t xml:space="preserve">Dansk Selskab for Almen Medicin [English: The Danish College of General Practitioners].</w:t>
      </w:r>
      <w:r>
        <w:t xml:space="preserve"> </w:t>
      </w:r>
      <w:r>
        <w:t xml:space="preserve">Type 2-diabetes i almen praksis - en evidensbaseret vejledning [English: Type 2 diabetes in general practice - an evidence-based guideline]</w:t>
      </w:r>
      <w:r>
        <w:t xml:space="preserve"> </w:t>
      </w:r>
      <w:r>
        <w:t xml:space="preserve">[Internet]. {2004; last accessed on 7 Feb 2023};Available from:</w:t>
      </w:r>
      <w:r>
        <w:t xml:space="preserve"> </w:t>
      </w:r>
      <w:hyperlink r:id="rId275">
        <w:r>
          <w:rPr>
            <w:rStyle w:val="Hyperlink"/>
          </w:rPr>
          <w:t xml:space="preserve">https://vejledninger.dsam.dk/media/files/20/type_2_diabetes_2004_rettet.pdf</w:t>
        </w:r>
      </w:hyperlink>
    </w:p>
    <w:bookmarkEnd w:id="276"/>
    <w:bookmarkStart w:id="278" w:name="ref-dsam2012"/>
    <w:p>
      <w:pPr>
        <w:pStyle w:val="Bibliography"/>
      </w:pPr>
      <w:r>
        <w:t xml:space="preserve">44.</w:t>
      </w:r>
      <w:r>
        <w:t xml:space="preserve"> </w:t>
      </w:r>
      <w:r>
        <w:t xml:space="preserve">	</w:t>
      </w:r>
      <w:r>
        <w:t xml:space="preserve">Dansk Selskab for Almen Medicin [English: The Danish College of General Practitioners].</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277">
        <w:r>
          <w:rPr>
            <w:rStyle w:val="Hyperlink"/>
          </w:rPr>
          <w:t xml:space="preserve">https://vejledninger.dsam.dk/media/files/20/type-2-diabetes-2012-med-links.pdf</w:t>
        </w:r>
      </w:hyperlink>
    </w:p>
    <w:bookmarkEnd w:id="278"/>
    <w:bookmarkStart w:id="280" w:name="ref-dsam2019"/>
    <w:p>
      <w:pPr>
        <w:pStyle w:val="Bibliography"/>
      </w:pPr>
      <w:r>
        <w:t xml:space="preserve">45.</w:t>
      </w:r>
      <w:r>
        <w:t xml:space="preserve"> </w:t>
      </w:r>
      <w:r>
        <w:t xml:space="preserve">	</w:t>
      </w:r>
      <w:r>
        <w:t xml:space="preserve">Dansk Selskab for Almen Medicin [English: The Danish College of General Practitioners].</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79">
        <w:r>
          <w:rPr>
            <w:rStyle w:val="Hyperlink"/>
          </w:rPr>
          <w:t xml:space="preserve">https://vejledninger.dsam.dk/type2/</w:t>
        </w:r>
      </w:hyperlink>
    </w:p>
    <w:bookmarkEnd w:id="280"/>
    <w:bookmarkStart w:id="282" w:name="ref-dos2018"/>
    <w:p>
      <w:pPr>
        <w:pStyle w:val="Bibliography"/>
      </w:pPr>
      <w:r>
        <w:t xml:space="preserve">46.</w:t>
      </w:r>
      <w:r>
        <w:t xml:space="preserve"> </w:t>
      </w:r>
      <w:r>
        <w:t xml:space="preserve">	</w:t>
      </w:r>
      <w:r>
        <w:t xml:space="preserve">Danish Ophthalmological Society.</w:t>
      </w:r>
      <w:r>
        <w:t xml:space="preserve"> </w:t>
      </w:r>
      <w:r>
        <w:t xml:space="preserve">National retningslinje for screening for diabetisk retinopati [English: National guideline on screening for diabetic retinopathy]</w:t>
      </w:r>
      <w:r>
        <w:t xml:space="preserve"> </w:t>
      </w:r>
      <w:r>
        <w:t xml:space="preserve">[Internet]. {2018; last accessed on 7 Feb 2023};Available from:</w:t>
      </w:r>
      <w:r>
        <w:t xml:space="preserve"> </w:t>
      </w:r>
      <w:hyperlink r:id="rId281">
        <w:r>
          <w:rPr>
            <w:rStyle w:val="Hyperlink"/>
          </w:rPr>
          <w:t xml:space="preserve">https://dansk-oftalmologisk-selskab.dk/wp-content/uploads/2021/05/National-retningslinje-for-screening-af-diabetisk-retinopati.pdf</w:t>
        </w:r>
      </w:hyperlink>
    </w:p>
    <w:bookmarkEnd w:id="282"/>
    <w:bookmarkStart w:id="284" w:name="ref-ndr"/>
    <w:p>
      <w:pPr>
        <w:pStyle w:val="Bibliography"/>
      </w:pPr>
      <w:r>
        <w:t xml:space="preserve">47.</w:t>
      </w:r>
      <w:r>
        <w:t xml:space="preserve"> </w:t>
      </w:r>
      <w:r>
        <w:t xml:space="preserve">	</w:t>
      </w:r>
      <w:r>
        <w:t xml:space="preserve">Carstensen B, Kristensen JK, Marcussen MM, Borch-Johnsen K.</w:t>
      </w:r>
      <w:r>
        <w:t xml:space="preserve"> </w:t>
      </w:r>
      <w:hyperlink r:id="rId283">
        <w:r>
          <w:rPr>
            <w:rStyle w:val="Hyperlink"/>
          </w:rPr>
          <w:t xml:space="preserve">The national diabetes register</w:t>
        </w:r>
      </w:hyperlink>
      <w:r>
        <w:t xml:space="preserve">. Scand J Public Health 2011;39(7 Suppl):58–61.</w:t>
      </w:r>
      <w:r>
        <w:t xml:space="preserve"> </w:t>
      </w:r>
    </w:p>
    <w:bookmarkEnd w:id="284"/>
    <w:bookmarkStart w:id="286" w:name="ref-validationndr"/>
    <w:p>
      <w:pPr>
        <w:pStyle w:val="Bibliography"/>
      </w:pPr>
      <w:r>
        <w:t xml:space="preserve">48.</w:t>
      </w:r>
      <w:r>
        <w:t xml:space="preserve"> </w:t>
      </w:r>
      <w:r>
        <w:t xml:space="preserve">	</w:t>
      </w:r>
      <w:r>
        <w:t xml:space="preserve">Green A, Sortsø C, Jensen PB, Emneus M. Validation of the danish national diabetes register. Clinical epidemiology [Internet] 2014;7:5–15. Available from:</w:t>
      </w:r>
      <w:r>
        <w:t xml:space="preserve"> </w:t>
      </w:r>
      <w:hyperlink r:id="rId285">
        <w:r>
          <w:rPr>
            <w:rStyle w:val="Hyperlink"/>
          </w:rPr>
          <w:t xml:space="preserve">https://www.ncbi.nlm.nih.gov/pubmed/25565889</w:t>
        </w:r>
        <w:r>
          <w:rPr>
            <w:rStyle w:val="Hyperlink"/>
          </w:rPr>
          <w:t xml:space="preserve"> </w:t>
        </w:r>
        <w:r>
          <w:rPr>
            <w:rStyle w:val="Hyperlink"/>
          </w:rPr>
          <w:t xml:space="preserve">https://www.ncbi.nlm.nih.gov/pmc/PMC4274151/</w:t>
        </w:r>
      </w:hyperlink>
    </w:p>
    <w:bookmarkEnd w:id="286"/>
    <w:bookmarkStart w:id="288" w:name="ref-ruks1doc"/>
    <w:p>
      <w:pPr>
        <w:pStyle w:val="Bibliography"/>
      </w:pPr>
      <w:r>
        <w:t xml:space="preserve">49.</w:t>
      </w:r>
      <w:r>
        <w:t xml:space="preserve"> </w:t>
      </w:r>
      <w:r>
        <w:t xml:space="preserve">	</w:t>
      </w:r>
      <w:r>
        <w:t xml:space="preserve">Sundhedsdatastyrelsen [English: Danish Health Data Authority].</w:t>
      </w:r>
      <w:r>
        <w:t xml:space="preserve"> </w:t>
      </w:r>
      <w:r>
        <w:t xml:space="preserve">Algoritmer for udvalgte kroniske sygdomme og svære psykiske lidelser [English: Algorithms for selected chronic diseases and serious mental illnesses]</w:t>
      </w:r>
      <w:r>
        <w:t xml:space="preserve"> </w:t>
      </w:r>
      <w:r>
        <w:t xml:space="preserve">[Internet]. {2016, last accessed 7 Feb 2023};Available from:</w:t>
      </w:r>
      <w:r>
        <w:t xml:space="preserve"> </w:t>
      </w:r>
      <w:hyperlink r:id="rId287">
        <w:r>
          <w:rPr>
            <w:rStyle w:val="Hyperlink"/>
          </w:rPr>
          <w:t xml:space="preserve">https://www.esundhed.dk/-/media/Files/Dokumentation/Register-for-Udvalgte-Kroniske-Sygdomme-og-Svaere-Psykiske-Lidelser/29_Algoritmer_for_RUKS.ashx</w:t>
        </w:r>
      </w:hyperlink>
    </w:p>
    <w:bookmarkEnd w:id="288"/>
    <w:bookmarkStart w:id="290" w:name="ref-rlrr"/>
    <w:p>
      <w:pPr>
        <w:pStyle w:val="Bibliography"/>
      </w:pPr>
      <w:r>
        <w:t xml:space="preserve">50.</w:t>
      </w:r>
      <w:r>
        <w:t xml:space="preserve"> </w:t>
      </w:r>
      <w:r>
        <w:t xml:space="preserve">	</w:t>
      </w:r>
      <w:r>
        <w:t xml:space="preserve">Sundhedsdatastyrelsen [English: Danish Health Data Authority].</w:t>
      </w:r>
      <w:r>
        <w:t xml:space="preserve"> </w:t>
      </w:r>
      <w:r>
        <w:t xml:space="preserve">Dokumentation af Laboratoriedatabasens Forskertabel – Version 1.3 [English: Documentation on Register of Laboratory Results for Research - version 1.3]</w:t>
      </w:r>
      <w:r>
        <w:t xml:space="preserve"> </w:t>
      </w:r>
      <w:r>
        <w:t xml:space="preserve">[Internet]. {2018, last accessed 7 Feb 2023};Available from:</w:t>
      </w:r>
      <w:r>
        <w:t xml:space="preserve"> </w:t>
      </w:r>
      <w:hyperlink r:id="rId289">
        <w:r>
          <w:rPr>
            <w:rStyle w:val="Hyperlink"/>
          </w:rPr>
          <w:t xml:space="preserve">https://sundhedsdatastyrelsen.dk/-/media/sds/filer/registre-og-services/nationale-sundhedsregistre/doedsaarsager-og-biologisk-materiale/laboratoriedatabasen/dokumentation-af-labdatabasens-forskertabel.pdf</w:t>
        </w:r>
      </w:hyperlink>
    </w:p>
    <w:bookmarkEnd w:id="290"/>
    <w:bookmarkStart w:id="292" w:name="ref-osdc"/>
    <w:p>
      <w:pPr>
        <w:pStyle w:val="Bibliography"/>
      </w:pPr>
      <w:r>
        <w:t xml:space="preserve">51.</w:t>
      </w:r>
      <w:r>
        <w:t xml:space="preserve"> </w:t>
      </w:r>
      <w:r>
        <w:t xml:space="preserve">	</w:t>
      </w:r>
      <w:r>
        <w:t xml:space="preserve">Anders Aasted Isaksen.</w:t>
      </w:r>
      <w:r>
        <w:t xml:space="preserve"> </w:t>
      </w:r>
      <w:r>
        <w:t xml:space="preserve">The Open-Source Diabetes Classifier</w:t>
      </w:r>
      <w:r>
        <w:t xml:space="preserve"> </w:t>
      </w:r>
      <w:r>
        <w:t xml:space="preserve">[Internet]. {last accessed 7 Feb 2023};Available from:</w:t>
      </w:r>
      <w:r>
        <w:t xml:space="preserve"> </w:t>
      </w:r>
      <w:hyperlink r:id="rId291">
        <w:r>
          <w:rPr>
            <w:rStyle w:val="Hyperlink"/>
          </w:rPr>
          <w:t xml:space="preserve">https://github.com/Aastedet/osdc</w:t>
        </w:r>
      </w:hyperlink>
    </w:p>
    <w:bookmarkEnd w:id="292"/>
    <w:bookmarkStart w:id="294" w:name="ref-reimbursement"/>
    <w:p>
      <w:pPr>
        <w:pStyle w:val="Bibliography"/>
      </w:pPr>
      <w:r>
        <w:t xml:space="preserve">52.</w:t>
      </w:r>
      <w:r>
        <w:t xml:space="preserve"> </w:t>
      </w:r>
      <w:r>
        <w:t xml:space="preserve">	</w:t>
      </w:r>
      <w:r>
        <w:t xml:space="preserve">Danish Medicines Agency.</w:t>
      </w:r>
      <w:r>
        <w:t xml:space="preserve"> </w:t>
      </w:r>
      <w:r>
        <w:t xml:space="preserve">Reimbursement thresholds</w:t>
      </w:r>
      <w:r>
        <w:t xml:space="preserve"> </w:t>
      </w:r>
      <w:r>
        <w:t xml:space="preserve">[Internet]. {2023; last accessed on 7 Feb 2023};Available from:</w:t>
      </w:r>
      <w:r>
        <w:t xml:space="preserve"> </w:t>
      </w:r>
      <w:hyperlink r:id="rId293">
        <w:r>
          <w:rPr>
            <w:rStyle w:val="Hyperlink"/>
          </w:rPr>
          <w:t xml:space="preserve">https://laegemiddelstyrelsen.dk/en/reimbursement/calculate-reimbursement/reimbursement-thresholds/</w:t>
        </w:r>
      </w:hyperlink>
    </w:p>
    <w:bookmarkEnd w:id="294"/>
    <w:bookmarkStart w:id="296" w:name="ref-okportal"/>
    <w:p>
      <w:pPr>
        <w:pStyle w:val="Bibliography"/>
      </w:pPr>
      <w:r>
        <w:t xml:space="preserve">53.</w:t>
      </w:r>
      <w:r>
        <w:t xml:space="preserve"> </w:t>
      </w:r>
      <w:r>
        <w:t xml:space="preserve">	</w:t>
      </w:r>
      <w:r>
        <w:t xml:space="preserve">Danish Regions.</w:t>
      </w:r>
      <w:r>
        <w:t xml:space="preserve"> </w:t>
      </w:r>
      <w:r>
        <w:t xml:space="preserve">OKPortal: Takstmapper [English: Contract agreement Portal: Rate folders]</w:t>
      </w:r>
      <w:r>
        <w:t xml:space="preserve"> </w:t>
      </w:r>
      <w:r>
        <w:t xml:space="preserve">[Internet]. {2023; last accessed on 7 Feb 2023};Available from:</w:t>
      </w:r>
      <w:r>
        <w:t xml:space="preserve"> </w:t>
      </w:r>
      <w:hyperlink r:id="rId295">
        <w:r>
          <w:rPr>
            <w:rStyle w:val="Hyperlink"/>
          </w:rPr>
          <w:t xml:space="preserve">https://okportal.dk/Default.aspx?area=Praksis&amp;type=Takstmapper</w:t>
        </w:r>
      </w:hyperlink>
    </w:p>
    <w:bookmarkEnd w:id="296"/>
    <w:bookmarkStart w:id="298" w:name="ref-regsoverview"/>
    <w:p>
      <w:pPr>
        <w:pStyle w:val="Bibliography"/>
      </w:pPr>
      <w:r>
        <w:t xml:space="preserve">54.</w:t>
      </w:r>
      <w:r>
        <w:t xml:space="preserve"> </w:t>
      </w:r>
      <w:r>
        <w:t xml:space="preserve">	</w:t>
      </w:r>
      <w:r>
        <w:t xml:space="preserve">Schmidt M, Schmidt SAJ, Adelborg K, et al.</w:t>
      </w:r>
      <w:r>
        <w:t xml:space="preserve"> </w:t>
      </w:r>
      <w:hyperlink r:id="rId297">
        <w:r>
          <w:rPr>
            <w:rStyle w:val="Hyperlink"/>
          </w:rPr>
          <w:t xml:space="preserve">The danish health care system and epidemiological research: From health care contacts to database records</w:t>
        </w:r>
      </w:hyperlink>
      <w:r>
        <w:t xml:space="preserve">. Clin Epidemiol 2019;11:563–91.</w:t>
      </w:r>
      <w:r>
        <w:t xml:space="preserve"> </w:t>
      </w:r>
    </w:p>
    <w:bookmarkEnd w:id="298"/>
    <w:bookmarkStart w:id="300" w:name="ref-eurostat_equiv"/>
    <w:p>
      <w:pPr>
        <w:pStyle w:val="Bibliography"/>
      </w:pPr>
      <w:r>
        <w:t xml:space="preserve">55.</w:t>
      </w:r>
      <w:r>
        <w:t xml:space="preserve"> </w:t>
      </w:r>
      <w:r>
        <w:t xml:space="preserve">	</w:t>
      </w:r>
      <w:r>
        <w:t xml:space="preserve">Eurostat.</w:t>
      </w:r>
      <w:r>
        <w:t xml:space="preserve"> </w:t>
      </w:r>
      <w:r>
        <w:t xml:space="preserve">Glossary: Equivalised disposable income</w:t>
      </w:r>
      <w:r>
        <w:t xml:space="preserve"> </w:t>
      </w:r>
      <w:r>
        <w:t xml:space="preserve">[Internet]. {last accessed 7 Feb 2023};Available from:</w:t>
      </w:r>
      <w:r>
        <w:t xml:space="preserve"> </w:t>
      </w:r>
      <w:hyperlink r:id="rId299">
        <w:r>
          <w:rPr>
            <w:rStyle w:val="Hyperlink"/>
          </w:rPr>
          <w:t xml:space="preserve">https://ec.europa.eu/eurostat/statistics-explained/index.php?title=Glossary:Equivalised_disposable_income</w:t>
        </w:r>
      </w:hyperlink>
    </w:p>
    <w:bookmarkEnd w:id="300"/>
    <w:bookmarkStart w:id="302" w:name="ref-icd10"/>
    <w:p>
      <w:pPr>
        <w:pStyle w:val="Bibliography"/>
      </w:pPr>
      <w:r>
        <w:t xml:space="preserve">56.</w:t>
      </w:r>
      <w:r>
        <w:t xml:space="preserve"> </w:t>
      </w:r>
      <w:r>
        <w:t xml:space="preserve">	</w:t>
      </w:r>
      <w:r>
        <w:t xml:space="preserve">World Health Organisation.</w:t>
      </w:r>
      <w:r>
        <w:t xml:space="preserve"> </w:t>
      </w:r>
      <w:r>
        <w:t xml:space="preserve">International statistical classification of diseases and related health problems, 10th revision: Instruction manual, fifth edition</w:t>
      </w:r>
      <w:r>
        <w:t xml:space="preserve"> </w:t>
      </w:r>
      <w:r>
        <w:t xml:space="preserve">[Internet]. {2016, last accessed 7 Feb 2023};Available from:</w:t>
      </w:r>
      <w:r>
        <w:t xml:space="preserve"> </w:t>
      </w:r>
      <w:hyperlink r:id="rId301">
        <w:r>
          <w:rPr>
            <w:rStyle w:val="Hyperlink"/>
          </w:rPr>
          <w:t xml:space="preserve">https://icd.who.int/browse10/Content/statichtml/ICD10Volume2_en_2019.pdf</w:t>
        </w:r>
      </w:hyperlink>
    </w:p>
    <w:bookmarkEnd w:id="302"/>
    <w:bookmarkStart w:id="303" w:name="ref-ddd"/>
    <w:p>
      <w:pPr>
        <w:pStyle w:val="Bibliography"/>
      </w:pPr>
      <w:r>
        <w:t xml:space="preserve">57.</w:t>
      </w:r>
      <w:r>
        <w:t xml:space="preserve"> </w:t>
      </w:r>
      <w:r>
        <w:t xml:space="preserve">	</w:t>
      </w:r>
      <w:r>
        <w:t xml:space="preserve">Wertheimer AI. The defined daily dose system (DDD) for drug utilization review. Hosp Pharm 1986;21(3):233–4, 239–41, 258.</w:t>
      </w:r>
      <w:r>
        <w:t xml:space="preserve"> </w:t>
      </w:r>
    </w:p>
    <w:bookmarkEnd w:id="303"/>
    <w:bookmarkStart w:id="305" w:name="ref-hicd"/>
    <w:p>
      <w:pPr>
        <w:pStyle w:val="Bibliography"/>
      </w:pPr>
      <w:r>
        <w:t xml:space="preserve">58.</w:t>
      </w:r>
      <w:r>
        <w:t xml:space="preserve"> </w:t>
      </w:r>
      <w:r>
        <w:t xml:space="preserve">	</w:t>
      </w:r>
      <w:r>
        <w:t xml:space="preserve">Bjerg L, Dalsgaard E-M, Norman K, Isaksen AA, Sandbæk A. Cohort profile: Health in central denmark (HICD) cohort - a register-based questionnaire survey on diabetes and related complications in the central denmark region. BMJ Open [Internet] 2022;12(7):e060410. Available from:</w:t>
      </w:r>
      <w:r>
        <w:t xml:space="preserve"> </w:t>
      </w:r>
      <w:hyperlink r:id="rId304">
        <w:r>
          <w:rPr>
            <w:rStyle w:val="Hyperlink"/>
          </w:rPr>
          <w:t xml:space="preserve">http://bmjopen.bmj.com/content/12/7/e060410.abstract</w:t>
        </w:r>
      </w:hyperlink>
    </w:p>
    <w:bookmarkEnd w:id="305"/>
    <w:bookmarkStart w:id="307" w:name="ref-nhs"/>
    <w:p>
      <w:pPr>
        <w:pStyle w:val="Bibliography"/>
      </w:pPr>
      <w:r>
        <w:t xml:space="preserve">59.</w:t>
      </w:r>
      <w:r>
        <w:t xml:space="preserve"> </w:t>
      </w:r>
      <w:r>
        <w:t xml:space="preserve">	</w:t>
      </w:r>
      <w:r>
        <w:t xml:space="preserve">Christensen AI, Ekholm O, Glümer C, et al. The danish national health survey 2010. Study design and respondent characteristics. Scandinavian Journal of Public Health [Internet] 2012;40(4):391–7. Available from:</w:t>
      </w:r>
      <w:r>
        <w:t xml:space="preserve"> </w:t>
      </w:r>
      <w:hyperlink r:id="rId306">
        <w:r>
          <w:rPr>
            <w:rStyle w:val="Hyperlink"/>
          </w:rPr>
          <w:t xml:space="preserve">https://doi.org/10.1177/1403494812451412</w:t>
        </w:r>
      </w:hyperlink>
    </w:p>
    <w:bookmarkEnd w:id="307"/>
    <w:bookmarkStart w:id="309" w:name="ref-RStudio"/>
    <w:p>
      <w:pPr>
        <w:pStyle w:val="Bibliography"/>
      </w:pPr>
      <w:r>
        <w:t xml:space="preserve">60.</w:t>
      </w:r>
      <w:r>
        <w:t xml:space="preserve"> </w:t>
      </w:r>
      <w:r>
        <w:t xml:space="preserve">	</w:t>
      </w:r>
      <w:r>
        <w:t xml:space="preserve">RStudio Team. RStudio: Integrated development environment for r [Internet]. Boston, MA: RStudio, PBC; 2021. Available from:</w:t>
      </w:r>
      <w:r>
        <w:t xml:space="preserve"> </w:t>
      </w:r>
      <w:hyperlink r:id="rId308">
        <w:r>
          <w:rPr>
            <w:rStyle w:val="Hyperlink"/>
          </w:rPr>
          <w:t xml:space="preserve">http://www.rstudio.com/</w:t>
        </w:r>
      </w:hyperlink>
    </w:p>
    <w:bookmarkEnd w:id="309"/>
    <w:bookmarkStart w:id="311" w:name="ref-R"/>
    <w:p>
      <w:pPr>
        <w:pStyle w:val="Bibliography"/>
      </w:pPr>
      <w:r>
        <w:t xml:space="preserve">61.</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310">
        <w:r>
          <w:rPr>
            <w:rStyle w:val="Hyperlink"/>
          </w:rPr>
          <w:t xml:space="preserve">https://www.R-project.org/</w:t>
        </w:r>
      </w:hyperlink>
    </w:p>
    <w:bookmarkEnd w:id="311"/>
    <w:bookmarkStart w:id="313" w:name="ref-datatable"/>
    <w:p>
      <w:pPr>
        <w:pStyle w:val="Bibliography"/>
      </w:pPr>
      <w:r>
        <w:t xml:space="preserve">62.</w:t>
      </w:r>
      <w:r>
        <w:t xml:space="preserve"> </w:t>
      </w:r>
      <w:r>
        <w:t xml:space="preserve">	</w:t>
      </w:r>
      <w:r>
        <w:t xml:space="preserve">Dowle M, Srinivasan A. Data.table: Extension of ‘data.frame‘ [Internet]. 2021. Available from:</w:t>
      </w:r>
      <w:r>
        <w:t xml:space="preserve"> </w:t>
      </w:r>
      <w:hyperlink r:id="rId312">
        <w:r>
          <w:rPr>
            <w:rStyle w:val="Hyperlink"/>
          </w:rPr>
          <w:t xml:space="preserve">https://CRAN.R-project.org/package=data.table</w:t>
        </w:r>
      </w:hyperlink>
    </w:p>
    <w:bookmarkEnd w:id="313"/>
    <w:bookmarkStart w:id="315" w:name="ref-Epi"/>
    <w:p>
      <w:pPr>
        <w:pStyle w:val="Bibliography"/>
      </w:pPr>
      <w:r>
        <w:t xml:space="preserve">63.</w:t>
      </w:r>
      <w:r>
        <w:t xml:space="preserve"> </w:t>
      </w:r>
      <w:r>
        <w:t xml:space="preserve">	</w:t>
      </w:r>
      <w:r>
        <w:t xml:space="preserve">Carstensen B, Plummer M, Laara E, Hills M.</w:t>
      </w:r>
      <w:r>
        <w:t xml:space="preserve"> </w:t>
      </w:r>
      <w:r>
        <w:t xml:space="preserve">Epi</w:t>
      </w:r>
      <w:r>
        <w:t xml:space="preserve">: A package for statistical analysis in epidemiology [Internet]. 2021. Available from:</w:t>
      </w:r>
      <w:r>
        <w:t xml:space="preserve"> </w:t>
      </w:r>
      <w:hyperlink r:id="rId314">
        <w:r>
          <w:rPr>
            <w:rStyle w:val="Hyperlink"/>
          </w:rPr>
          <w:t xml:space="preserve">https://CRAN.R-project.org/package=Epi</w:t>
        </w:r>
      </w:hyperlink>
    </w:p>
    <w:bookmarkEnd w:id="315"/>
    <w:bookmarkStart w:id="317" w:name="ref-finalfit"/>
    <w:p>
      <w:pPr>
        <w:pStyle w:val="Bibliography"/>
      </w:pPr>
      <w:r>
        <w:t xml:space="preserve">64.</w:t>
      </w:r>
      <w:r>
        <w:t xml:space="preserve"> </w:t>
      </w:r>
      <w:r>
        <w:t xml:space="preserve">	</w:t>
      </w:r>
      <w:r>
        <w:t xml:space="preserve">Harrison E, Drake T, Ots R. Finalfit: Quickly create elegant regression results tables and plots when modelling [Internet]. 2021. Available from:</w:t>
      </w:r>
      <w:r>
        <w:t xml:space="preserve"> </w:t>
      </w:r>
      <w:hyperlink r:id="rId316">
        <w:r>
          <w:rPr>
            <w:rStyle w:val="Hyperlink"/>
          </w:rPr>
          <w:t xml:space="preserve">https://CRAN.R-project.org/package=finalfit</w:t>
        </w:r>
      </w:hyperlink>
    </w:p>
    <w:bookmarkEnd w:id="317"/>
    <w:bookmarkStart w:id="319" w:name="ref-tidyverse"/>
    <w:p>
      <w:pPr>
        <w:pStyle w:val="Bibliography"/>
      </w:pPr>
      <w:r>
        <w:t xml:space="preserve">65.</w:t>
      </w:r>
      <w:r>
        <w:t xml:space="preserve"> </w:t>
      </w:r>
      <w:r>
        <w:t xml:space="preserve">	</w:t>
      </w:r>
      <w:r>
        <w:t xml:space="preserve">Wickham H, Averick M, Bryan J, et al.</w:t>
      </w:r>
      <w:r>
        <w:t xml:space="preserve"> </w:t>
      </w:r>
      <w:hyperlink r:id="rId318">
        <w:r>
          <w:rPr>
            <w:rStyle w:val="Hyperlink"/>
          </w:rPr>
          <w:t xml:space="preserve">Welcome to the</w:t>
        </w:r>
        <w:r>
          <w:rPr>
            <w:rStyle w:val="Hyperlink"/>
          </w:rPr>
          <w:t xml:space="preserve"> </w:t>
        </w:r>
        <w:r>
          <w:rPr>
            <w:rStyle w:val="Hyperlink"/>
          </w:rPr>
          <w:t xml:space="preserve">tidyverse</w:t>
        </w:r>
      </w:hyperlink>
      <w:r>
        <w:t xml:space="preserve">. Journal of Open Source Software 2019;4(43):1686.</w:t>
      </w:r>
      <w:r>
        <w:t xml:space="preserve"> </w:t>
      </w:r>
    </w:p>
    <w:bookmarkEnd w:id="319"/>
    <w:bookmarkStart w:id="320" w:name="ref-geepack"/>
    <w:p>
      <w:pPr>
        <w:pStyle w:val="Bibliography"/>
      </w:pPr>
      <w:r>
        <w:t xml:space="preserve">66.</w:t>
      </w:r>
      <w:r>
        <w:t xml:space="preserve"> </w:t>
      </w:r>
      <w:r>
        <w:t xml:space="preserve">	</w:t>
      </w:r>
      <w:r>
        <w:t xml:space="preserve">Halekoh U, Højsgaard S, Yan J. The r package geepack for generalized estimating equations. Journal of Statistical Software 2006;15/2:1–11.</w:t>
      </w:r>
      <w:r>
        <w:t xml:space="preserve"> </w:t>
      </w:r>
    </w:p>
    <w:bookmarkEnd w:id="320"/>
    <w:bookmarkStart w:id="322" w:name="ref-diagrammer"/>
    <w:p>
      <w:pPr>
        <w:pStyle w:val="Bibliography"/>
      </w:pPr>
      <w:r>
        <w:t xml:space="preserve">67.</w:t>
      </w:r>
      <w:r>
        <w:t xml:space="preserve"> </w:t>
      </w:r>
      <w:r>
        <w:t xml:space="preserve">	</w:t>
      </w:r>
      <w:r>
        <w:t xml:space="preserve">Iannone R. DiagrammeR: Graph/network visualization [Internet]. 2020. Available from:</w:t>
      </w:r>
      <w:r>
        <w:t xml:space="preserve"> </w:t>
      </w:r>
      <w:hyperlink r:id="rId321">
        <w:r>
          <w:rPr>
            <w:rStyle w:val="Hyperlink"/>
          </w:rPr>
          <w:t xml:space="preserve">https://CRAN.R-project.org/package=DiagrammeR</w:t>
        </w:r>
      </w:hyperlink>
    </w:p>
    <w:bookmarkEnd w:id="322"/>
    <w:bookmarkStart w:id="324" w:name="ref-khroma"/>
    <w:p>
      <w:pPr>
        <w:pStyle w:val="Bibliography"/>
      </w:pPr>
      <w:r>
        <w:t xml:space="preserve">68.</w:t>
      </w:r>
      <w:r>
        <w:t xml:space="preserve"> </w:t>
      </w:r>
      <w:r>
        <w:t xml:space="preserve">	</w:t>
      </w:r>
      <w:r>
        <w:t xml:space="preserve">Frerebeau N. Khroma: Colour schemes for scientific data visualization [Internet]. Pessac, France: Université Bordeaux Montaigne; 2021. Available from:</w:t>
      </w:r>
      <w:r>
        <w:t xml:space="preserve"> </w:t>
      </w:r>
      <w:hyperlink r:id="rId323">
        <w:r>
          <w:rPr>
            <w:rStyle w:val="Hyperlink"/>
          </w:rPr>
          <w:t xml:space="preserve">https://doi.org/10.5281/zenodo.1472077</w:t>
        </w:r>
      </w:hyperlink>
    </w:p>
    <w:bookmarkEnd w:id="324"/>
    <w:bookmarkStart w:id="326" w:name="ref-Grant2014"/>
    <w:p>
      <w:pPr>
        <w:pStyle w:val="Bibliography"/>
      </w:pPr>
      <w:r>
        <w:t xml:space="preserve">69.</w:t>
      </w:r>
      <w:r>
        <w:t xml:space="preserve"> </w:t>
      </w:r>
      <w:r>
        <w:t xml:space="preserve">	</w:t>
      </w:r>
      <w:r>
        <w:t xml:space="preserve">Grant RL.</w:t>
      </w:r>
      <w:r>
        <w:t xml:space="preserve"> </w:t>
      </w:r>
      <w:hyperlink r:id="rId325">
        <w:r>
          <w:rPr>
            <w:rStyle w:val="Hyperlink"/>
          </w:rPr>
          <w:t xml:space="preserve">Converting an odds ratio to a range of plausible relative risks for better communication of research findings</w:t>
        </w:r>
      </w:hyperlink>
      <w:r>
        <w:t xml:space="preserve">. BMJ 2014;348.</w:t>
      </w:r>
      <w:r>
        <w:t xml:space="preserve"> </w:t>
      </w:r>
    </w:p>
    <w:bookmarkEnd w:id="326"/>
    <w:bookmarkStart w:id="328" w:name="ref-convergencefail"/>
    <w:p>
      <w:pPr>
        <w:pStyle w:val="Bibliography"/>
      </w:pPr>
      <w:r>
        <w:t xml:space="preserve">70.</w:t>
      </w:r>
      <w:r>
        <w:t xml:space="preserve"> </w:t>
      </w:r>
      <w:r>
        <w:t xml:space="preserve">	</w:t>
      </w:r>
      <w:r>
        <w:t xml:space="preserve">Williamson T, Eliasziw M, Fick GH. Log-binomial models: Exploring failed convergence. Emerging Themes in Epidemiology [Internet] 2013;10(1):14. Available from:</w:t>
      </w:r>
      <w:r>
        <w:t xml:space="preserve"> </w:t>
      </w:r>
      <w:hyperlink r:id="rId327">
        <w:r>
          <w:rPr>
            <w:rStyle w:val="Hyperlink"/>
          </w:rPr>
          <w:t xml:space="preserve">https://doi.org/10.1186/1742-7622-10-14</w:t>
        </w:r>
      </w:hyperlink>
    </w:p>
    <w:bookmarkEnd w:id="328"/>
    <w:bookmarkStart w:id="330" w:name="ref-Zou2004"/>
    <w:p>
      <w:pPr>
        <w:pStyle w:val="Bibliography"/>
      </w:pPr>
      <w:r>
        <w:t xml:space="preserve">71.</w:t>
      </w:r>
      <w:r>
        <w:t xml:space="preserve"> </w:t>
      </w:r>
      <w:r>
        <w:t xml:space="preserve">	</w:t>
      </w:r>
      <w:r>
        <w:t xml:space="preserve">Zou G.</w:t>
      </w:r>
      <w:r>
        <w:t xml:space="preserve"> </w:t>
      </w:r>
      <w:hyperlink r:id="rId329">
        <w:r>
          <w:rPr>
            <w:rStyle w:val="Hyperlink"/>
          </w:rPr>
          <w:t xml:space="preserve">A Modified Poisson Regression Approach to Prospective Studies with Binary Data</w:t>
        </w:r>
      </w:hyperlink>
      <w:r>
        <w:t xml:space="preserve">. American Journal of Epidemiology 2004;159:702–6.</w:t>
      </w:r>
      <w:r>
        <w:t xml:space="preserve"> </w:t>
      </w:r>
    </w:p>
    <w:bookmarkEnd w:id="330"/>
    <w:bookmarkStart w:id="332" w:name="ref-regresscounts"/>
    <w:p>
      <w:pPr>
        <w:pStyle w:val="Bibliography"/>
      </w:pPr>
      <w:r>
        <w:t xml:space="preserve">72.</w:t>
      </w:r>
      <w:r>
        <w:t xml:space="preserve"> </w:t>
      </w:r>
      <w:r>
        <w:t xml:space="preserve">	</w:t>
      </w:r>
      <w:r>
        <w:t xml:space="preserve">Zeileis, Achim and Kleiber, Christian and Jackman, Simon.</w:t>
      </w:r>
      <w:r>
        <w:t xml:space="preserve"> </w:t>
      </w:r>
      <w:r>
        <w:t xml:space="preserve">Regression Models for Count Data in R</w:t>
      </w:r>
      <w:r>
        <w:t xml:space="preserve"> </w:t>
      </w:r>
      <w:r>
        <w:t xml:space="preserve">[Internet]. {last accessed 7 Feb 2023};Available from:</w:t>
      </w:r>
      <w:r>
        <w:t xml:space="preserve"> </w:t>
      </w:r>
      <w:hyperlink r:id="rId331">
        <w:r>
          <w:rPr>
            <w:rStyle w:val="Hyperlink"/>
          </w:rPr>
          <w:t xml:space="preserve">https://cran.r-project.org/web/packages/pscl/vignettes/countreg.pdf</w:t>
        </w:r>
      </w:hyperlink>
    </w:p>
    <w:bookmarkEnd w:id="332"/>
    <w:bookmarkStart w:id="334" w:name="ref-Greenland2004"/>
    <w:p>
      <w:pPr>
        <w:pStyle w:val="Bibliography"/>
      </w:pPr>
      <w:r>
        <w:t xml:space="preserve">73.</w:t>
      </w:r>
      <w:r>
        <w:t xml:space="preserve"> </w:t>
      </w:r>
      <w:r>
        <w:t xml:space="preserve">	</w:t>
      </w:r>
      <w:r>
        <w:t xml:space="preserve">Greenland, Sander.</w:t>
      </w:r>
      <w:r>
        <w:t xml:space="preserve"> </w:t>
      </w:r>
      <w:hyperlink r:id="rId333">
        <w:r>
          <w:rPr>
            <w:rStyle w:val="Hyperlink"/>
          </w:rPr>
          <w:t xml:space="preserve">Model-based Estimation of Relative Risks and Other Epidemiologic Measures in Studies of Common Outcomes and in Case-Control Studies</w:t>
        </w:r>
      </w:hyperlink>
      <w:r>
        <w:t xml:space="preserve">. American Journal of Epidemiology 2004;160(4):301–5.</w:t>
      </w:r>
      <w:r>
        <w:t xml:space="preserve"> </w:t>
      </w:r>
    </w:p>
    <w:bookmarkEnd w:id="334"/>
    <w:bookmarkStart w:id="336" w:name="ref-compareperformance"/>
    <w:p>
      <w:pPr>
        <w:pStyle w:val="Bibliography"/>
      </w:pPr>
      <w:r>
        <w:t xml:space="preserve">74.</w:t>
      </w:r>
      <w:r>
        <w:t xml:space="preserve"> </w:t>
      </w:r>
      <w:r>
        <w:t xml:space="preserve">	</w:t>
      </w:r>
      <w:r>
        <w:t xml:space="preserve">Chen W, Qian L, Shi J, Franklin M. Comparing performance between log-binomial and robust poisson regression models for estimating risk ratios under model misspecification. BMC Medical Research Methodology [Internet] 2018;18(1):63. Available from:</w:t>
      </w:r>
      <w:r>
        <w:t xml:space="preserve"> </w:t>
      </w:r>
      <w:hyperlink r:id="rId335">
        <w:r>
          <w:rPr>
            <w:rStyle w:val="Hyperlink"/>
          </w:rPr>
          <w:t xml:space="preserve">https://doi.org/10.1186/s12874-018-0519-5</w:t>
        </w:r>
      </w:hyperlink>
    </w:p>
    <w:bookmarkEnd w:id="336"/>
    <w:bookmarkStart w:id="338" w:name="ref-ruks5doc"/>
    <w:p>
      <w:pPr>
        <w:pStyle w:val="Bibliography"/>
      </w:pPr>
      <w:r>
        <w:t xml:space="preserve">75.</w:t>
      </w:r>
      <w:r>
        <w:t xml:space="preserve"> </w:t>
      </w:r>
      <w:r>
        <w:t xml:space="preserve">	</w:t>
      </w:r>
      <w:r>
        <w:t xml:space="preserve">Sundhedsdatastyrelsen [English: Danish Health Data Authority].</w:t>
      </w:r>
      <w:r>
        <w:t xml:space="preserve"> </w:t>
      </w:r>
      <w:r>
        <w:t xml:space="preserve">Algoritmer for udvalgte kroniske sygdomme og svære psykiske lidelser [English: Algorithms for selected chronic diseases and serious mental illnesses]</w:t>
      </w:r>
      <w:r>
        <w:t xml:space="preserve"> </w:t>
      </w:r>
      <w:r>
        <w:t xml:space="preserve">[Internet]. {2022, last accessed 7 Feb 2023};Available from:</w:t>
      </w:r>
      <w:r>
        <w:t xml:space="preserve"> </w:t>
      </w:r>
      <w:hyperlink r:id="rId337">
        <w:r>
          <w:rPr>
            <w:rStyle w:val="Hyperlink"/>
          </w:rPr>
          <w:t xml:space="preserve">https://www.esundhed.dk/-/media/Files/Publikationer/Emner/Operationer-og-diagnoser/Udvalgte-kroniske-sygdomme-svaere-psykiske-lidelser/Algoritmer-for-Udvalgte-Kroniske-Sygdomme-og-svre-psykiske-lidelser-RUKS-2022.ashx</w:t>
        </w:r>
      </w:hyperlink>
    </w:p>
    <w:bookmarkEnd w:id="338"/>
    <w:bookmarkEnd w:id="339"/>
    <w:bookmarkEnd w:id="340"/>
    <w:bookmarkStart w:id="341" w:name="english-summary"/>
    <w:p>
      <w:pPr>
        <w:pStyle w:val="Heading1"/>
      </w:pPr>
      <w:r>
        <w:t xml:space="preserve">English summary</w:t>
      </w:r>
    </w:p>
    <w:p>
      <w:pPr>
        <w:pStyle w:val="FirstParagraph"/>
      </w:pPr>
      <w:r>
        <w:t xml:space="preserve">This is what I spent three years on…</w:t>
      </w:r>
    </w:p>
    <w:bookmarkEnd w:id="341"/>
    <w:bookmarkStart w:id="342" w:name="dansk-resumé"/>
    <w:p>
      <w:pPr>
        <w:pStyle w:val="Heading1"/>
      </w:pPr>
      <w:r>
        <w:t xml:space="preserve">Dansk resumé</w:t>
      </w:r>
    </w:p>
    <w:p>
      <w:pPr>
        <w:pStyle w:val="FirstParagraph"/>
      </w:pPr>
      <w:r>
        <w:t xml:space="preserve">Det her brugte jeg tre år på…</w:t>
      </w:r>
    </w:p>
    <w:bookmarkEnd w:id="342"/>
    <w:bookmarkStart w:id="344" w:name="sec-papers"/>
    <w:p>
      <w:pPr>
        <w:pStyle w:val="Heading1"/>
      </w:pPr>
      <w:r>
        <w:t xml:space="preserve">Appendix A — Appendix A</w:t>
      </w:r>
    </w:p>
    <w:bookmarkStart w:id="343" w:name="X411e6e56093eaf64d150ada82c848ec2f598166"/>
    <w:p>
      <w:pPr>
        <w:pStyle w:val="Heading2"/>
      </w:pPr>
      <w:r>
        <w:t xml:space="preserve">A.1 Papers associated with the dissertation</w:t>
      </w:r>
    </w:p>
    <w:bookmarkEnd w:id="343"/>
    <w:bookmarkEnd w:id="344"/>
    <w:bookmarkStart w:id="362" w:name="sec-supplementary-material"/>
    <w:p>
      <w:pPr>
        <w:pStyle w:val="Heading1"/>
      </w:pPr>
      <w:r>
        <w:t xml:space="preserve">Appendix B — Appendix B</w:t>
      </w:r>
    </w:p>
    <w:bookmarkStart w:id="354" w:name="supplementary-material"/>
    <w:p>
      <w:pPr>
        <w:pStyle w:val="Heading2"/>
      </w:pPr>
      <w:r>
        <w:t xml:space="preserve">B.1 Supplementary material</w:t>
      </w:r>
    </w:p>
    <w:bookmarkStart w:id="347" w:name="study-i-5"/>
    <w:p>
      <w:pPr>
        <w:pStyle w:val="Heading3"/>
      </w:pPr>
      <w:r>
        <w:t xml:space="preserve">B.1.1 Study I</w:t>
      </w:r>
    </w:p>
    <w:bookmarkStart w:id="345" w:name="coding-scheme"/>
    <w:p>
      <w:pPr>
        <w:pStyle w:val="Heading4"/>
      </w:pPr>
      <w:r>
        <w:t xml:space="preserve">Coding scheme</w:t>
      </w:r>
    </w:p>
    <w:p>
      <w:pPr>
        <w:pStyle w:val="FirstParagraph"/>
      </w:pPr>
      <w:r>
        <w:t xml:space="preserve">Link to blob</w:t>
      </w:r>
    </w:p>
    <w:bookmarkEnd w:id="345"/>
    <w:bookmarkStart w:id="346" w:name="supplementary-analyses"/>
    <w:p>
      <w:pPr>
        <w:pStyle w:val="Heading4"/>
      </w:pPr>
      <w:r>
        <w:t xml:space="preserve">Supplementary analyses</w:t>
      </w:r>
    </w:p>
    <w:p>
      <w:pPr>
        <w:pStyle w:val="FirstParagraph"/>
      </w:pPr>
      <w:r>
        <w:t xml:space="preserve">Link to blob</w:t>
      </w:r>
    </w:p>
    <w:bookmarkEnd w:id="346"/>
    <w:bookmarkEnd w:id="347"/>
    <w:bookmarkStart w:id="350" w:name="study-ii-5"/>
    <w:p>
      <w:pPr>
        <w:pStyle w:val="Heading3"/>
      </w:pPr>
      <w:r>
        <w:t xml:space="preserve">B.1.2 Study II</w:t>
      </w:r>
    </w:p>
    <w:bookmarkStart w:id="348" w:name="coding-scheme-1"/>
    <w:p>
      <w:pPr>
        <w:pStyle w:val="Heading4"/>
      </w:pPr>
      <w:r>
        <w:t xml:space="preserve">Coding scheme</w:t>
      </w:r>
    </w:p>
    <w:p>
      <w:pPr>
        <w:pStyle w:val="FirstParagraph"/>
      </w:pPr>
      <w:r>
        <w:t xml:space="preserve">Link to blob</w:t>
      </w:r>
    </w:p>
    <w:bookmarkEnd w:id="348"/>
    <w:bookmarkStart w:id="349" w:name="supplementary-analyses-1"/>
    <w:p>
      <w:pPr>
        <w:pStyle w:val="Heading4"/>
      </w:pPr>
      <w:r>
        <w:t xml:space="preserve">Supplementary analyses</w:t>
      </w:r>
    </w:p>
    <w:p>
      <w:pPr>
        <w:pStyle w:val="FirstParagraph"/>
      </w:pPr>
      <w:r>
        <w:t xml:space="preserve">Link to blob</w:t>
      </w:r>
    </w:p>
    <w:bookmarkEnd w:id="349"/>
    <w:bookmarkEnd w:id="350"/>
    <w:bookmarkStart w:id="353" w:name="study-iii-5"/>
    <w:p>
      <w:pPr>
        <w:pStyle w:val="Heading3"/>
      </w:pPr>
      <w:r>
        <w:t xml:space="preserve">B.1.3 Study III</w:t>
      </w:r>
    </w:p>
    <w:bookmarkStart w:id="351" w:name="coding-scheme-2"/>
    <w:p>
      <w:pPr>
        <w:pStyle w:val="Heading4"/>
      </w:pPr>
      <w:r>
        <w:t xml:space="preserve">Coding scheme</w:t>
      </w:r>
    </w:p>
    <w:p>
      <w:pPr>
        <w:pStyle w:val="FirstParagraph"/>
      </w:pPr>
      <w:r>
        <w:t xml:space="preserve">Link to blob</w:t>
      </w:r>
    </w:p>
    <w:bookmarkEnd w:id="351"/>
    <w:bookmarkStart w:id="352" w:name="supplementary-analyses-2"/>
    <w:p>
      <w:pPr>
        <w:pStyle w:val="Heading4"/>
      </w:pPr>
      <w:r>
        <w:t xml:space="preserve">Supplementary analyses</w:t>
      </w:r>
    </w:p>
    <w:p>
      <w:pPr>
        <w:pStyle w:val="FirstParagraph"/>
      </w:pPr>
      <w:r>
        <w:t xml:space="preserve">Link to blob</w:t>
      </w:r>
    </w:p>
    <w:bookmarkEnd w:id="352"/>
    <w:bookmarkEnd w:id="353"/>
    <w:bookmarkEnd w:id="354"/>
    <w:bookmarkStart w:id="361" w:name="to-doquestions"/>
    <w:p>
      <w:pPr>
        <w:pStyle w:val="Heading2"/>
      </w:pPr>
      <w:r>
        <w:t xml:space="preserve">B.2 To do/Questions:</w:t>
      </w:r>
    </w:p>
    <w:p>
      <w:pPr>
        <w:numPr>
          <w:ilvl w:val="0"/>
          <w:numId w:val="1024"/>
        </w:numPr>
        <w:pStyle w:val="Compact"/>
      </w:pPr>
      <w:r>
        <w:t xml:space="preserve">Revisit the prefacing section of each chapter after revisions</w:t>
      </w:r>
    </w:p>
    <w:p>
      <w:pPr>
        <w:numPr>
          <w:ilvl w:val="0"/>
          <w:numId w:val="1024"/>
        </w:numPr>
        <w:pStyle w:val="Compact"/>
      </w:pPr>
      <w:r>
        <w:t xml:space="preserve">Figures of OSDC logic flow need nationwide counts</w:t>
      </w:r>
    </w:p>
    <w:p>
      <w:pPr>
        <w:numPr>
          <w:ilvl w:val="1"/>
          <w:numId w:val="1025"/>
        </w:numPr>
      </w:pPr>
      <w:r>
        <w:t xml:space="preserve">Update main text in results chapter accordingly.</w:t>
      </w:r>
    </w:p>
    <w:p>
      <w:pPr>
        <w:numPr>
          <w:ilvl w:val="2"/>
          <w:numId w:val="1026"/>
        </w:numPr>
        <w:pStyle w:val="Compact"/>
      </w:pPr>
      <w:r>
        <w:t xml:space="preserve">And each inclusion criteria should perhaps also show counts of unique contributions?</w:t>
      </w:r>
    </w:p>
    <w:p>
      <w:pPr>
        <w:numPr>
          <w:ilvl w:val="0"/>
          <w:numId w:val="1024"/>
        </w:numPr>
        <w:pStyle w:val="Compact"/>
      </w:pPr>
      <w:r>
        <w:t xml:space="preserve">Consider revising classifierdiffs figures for improve legibility/nationwide counts.</w:t>
      </w:r>
    </w:p>
    <w:p>
      <w:pPr>
        <w:numPr>
          <w:ilvl w:val="0"/>
          <w:numId w:val="1024"/>
        </w:numPr>
        <w:pStyle w:val="Compact"/>
      </w:pPr>
      <w:r>
        <w:t xml:space="preserve">Translate/revise figures from DST</w:t>
      </w:r>
    </w:p>
    <w:p>
      <w:pPr>
        <w:numPr>
          <w:ilvl w:val="0"/>
          <w:numId w:val="1024"/>
        </w:numPr>
        <w:pStyle w:val="Compact"/>
      </w:pPr>
      <w:r>
        <w:t xml:space="preserve">Tilføj NHS analyser fra methods selection bias discussion i (separat?) supplementary?</w:t>
      </w:r>
    </w:p>
    <w:p>
      <w:pPr>
        <w:numPr>
          <w:ilvl w:val="0"/>
          <w:numId w:val="1024"/>
        </w:numPr>
        <w:pStyle w:val="Compact"/>
      </w:pPr>
      <w:r>
        <w:t xml:space="preserve">Statistical analyses section describes only main analyses. Should a summary of supplementary/sensitivity analyses be included (elsewhere?)?</w:t>
      </w:r>
    </w:p>
    <w:bookmarkStart w:id="356" w:name="introduction"/>
    <w:p>
      <w:pPr>
        <w:pStyle w:val="Heading3"/>
      </w:pPr>
      <w:r>
        <w:t xml:space="preserve">B.2.1 Introduction:</w:t>
      </w:r>
    </w:p>
    <w:bookmarkStart w:id="355" w:name="clinical-guidelines"/>
    <w:p>
      <w:pPr>
        <w:pStyle w:val="Heading4"/>
      </w:pPr>
      <w:r>
        <w:t xml:space="preserve">Clinical guidelines:</w:t>
      </w:r>
    </w:p>
    <w:p>
      <w:pPr>
        <w:pStyle w:val="FirstParagraph"/>
      </w:pPr>
      <w:r>
        <w:rPr>
          <w:iCs/>
          <w:i/>
        </w:rPr>
        <w:t xml:space="preserve">Social ulighed: Beskriv evt. kort begreb og relation/forskelle ift. projektet. Henvis til supplementary analyser i results?</w:t>
      </w:r>
    </w:p>
    <w:p>
      <w:pPr>
        <w:pStyle w:val="BodyText"/>
      </w:pPr>
      <w:r>
        <w:t xml:space="preserve">Fig. 1.3: Indvandringsår: Skal den med, og hvor meget skal der skrives for at redde den.</w:t>
      </w:r>
    </w:p>
    <w:bookmarkEnd w:id="355"/>
    <w:bookmarkEnd w:id="356"/>
    <w:bookmarkStart w:id="357" w:name="methods"/>
    <w:p>
      <w:pPr>
        <w:pStyle w:val="Heading3"/>
      </w:pPr>
      <w:r>
        <w:t xml:space="preserve">B.2.2 Methods</w:t>
      </w:r>
    </w:p>
    <w:p>
      <w:pPr>
        <w:pStyle w:val="FirstParagraph"/>
      </w:pPr>
      <w:r>
        <w:t xml:space="preserve">Table: Overview of 3 studies</w:t>
      </w:r>
    </w:p>
    <w:bookmarkEnd w:id="357"/>
    <w:bookmarkStart w:id="359" w:name="results"/>
    <w:p>
      <w:pPr>
        <w:pStyle w:val="Heading3"/>
      </w:pPr>
      <w:r>
        <w:t xml:space="preserve">B.2.3 Results</w:t>
      </w:r>
    </w:p>
    <w:p>
      <w:pPr>
        <w:pStyle w:val="FirstParagraph"/>
      </w:pPr>
      <w:r>
        <w:t xml:space="preserve">Ret tal</w:t>
      </w:r>
    </w:p>
    <w:p>
      <w:pPr>
        <w:pStyle w:val="BodyText"/>
      </w:pPr>
      <w:r>
        <w:t xml:space="preserve">Fortløbende figurer 1 - Inf, eller samlet optælling af figurer + tabeller i TOC?</w:t>
      </w:r>
    </w:p>
    <w:p>
      <w:pPr>
        <w:pStyle w:val="BodyText"/>
      </w:pPr>
      <w:r>
        <w:t xml:space="preserve">Hvor meget skal med? Alle figurerne fra artiklerne, så man kan få et overblik over alle hoved-resultaterne ét sted (minus ECD-grafer for HbA1c og LDL-C).</w:t>
      </w:r>
    </w:p>
    <w:p>
      <w:pPr>
        <w:pStyle w:val="BodyText"/>
      </w:pPr>
      <w:r>
        <w:t xml:space="preserve">Opbryd teksten med figurerne for hvert outcome.</w:t>
      </w:r>
    </w:p>
    <w:bookmarkStart w:id="358" w:name="study-i-6"/>
    <w:p>
      <w:pPr>
        <w:pStyle w:val="Heading4"/>
      </w:pPr>
      <w:r>
        <w:t xml:space="preserve">Study I:</w:t>
      </w:r>
    </w:p>
    <w:p>
      <w:pPr>
        <w:pStyle w:val="FirstParagraph"/>
      </w:pPr>
      <w:r>
        <w:t xml:space="preserve">4.1: Flyttes til diskussion. Erstattes af den endelige algoritme, pastelflowchart osv.: Sådan har vi defineret T2D, og sådan påvirker designet den endelige population undervejs.</w:t>
      </w:r>
    </w:p>
    <w:p>
      <w:pPr>
        <w:pStyle w:val="BodyText"/>
      </w:pPr>
      <w:r>
        <w:t xml:space="preserve">Alle resultater som i artiklen, eller mere overfladisk som i det øverste og nederste afsnit?</w:t>
      </w:r>
    </w:p>
    <w:bookmarkEnd w:id="358"/>
    <w:bookmarkEnd w:id="359"/>
    <w:bookmarkStart w:id="360" w:name="discussion"/>
    <w:p>
      <w:pPr>
        <w:pStyle w:val="Heading3"/>
      </w:pPr>
      <w:r>
        <w:t xml:space="preserve">B.2.4 Discussion</w:t>
      </w:r>
    </w:p>
    <w:p>
      <w:pPr>
        <w:pStyle w:val="FirstParagraph"/>
      </w:pPr>
      <w:r>
        <w:t xml:space="preserve">Diskutér det forskellige fokus fra studie 2 til 3: Guideline-anbefalinger er mere absolutte, derfor primært fokus på ujusterede estimater i studie II. Der er ikke sort-hvide mål for kombinationsbehandling/præparatvalg, så behandlingen hviler på et samlet klinisk billede, hvorfor det primære fokus på justerede estimater i studie III.</w:t>
      </w:r>
    </w:p>
    <w:p>
      <w:pPr>
        <w:pStyle w:val="BodyText"/>
      </w:pPr>
      <w:r>
        <w:t xml:space="preserve">OSDC: Censoring of PCOS: incidens-spike ved 40-års alder, evt. histogram for incidente cases 2012/16 og frem.</w:t>
      </w:r>
    </w:p>
    <w:p>
      <w:pPr>
        <w:pStyle w:val="BodyText"/>
      </w:pPr>
      <w:r>
        <w:t xml:space="preserve">Migrants: Some of the risks in migrants are due to other clinical and socioeconomic risk factors that are more prevalent in migrants compared to native Danes. These risk factors are not the focus of this dissertation and are not presented in the main results. However, these risk factors are of key importance in a greater scope of equity in T2D care provision, and readers are urged to explore the online appendix, where they are presented. The following section provides a brief summary of overall patterns found among covariates of analyses:</w:t>
      </w:r>
    </w:p>
    <w:p>
      <w:pPr>
        <w:pStyle w:val="BodyText"/>
      </w:pPr>
      <w:r>
        <w:t xml:space="preserve">BLOB:</w:t>
      </w:r>
    </w:p>
    <w:p>
      <w:pPr>
        <w:pStyle w:val="BodyText"/>
      </w:pPr>
      <w:r>
        <w:t xml:space="preserve">Kap 5.1.2: PCOS:</w:t>
      </w:r>
    </w:p>
    <w:p>
      <w:pPr>
        <w:pStyle w:val="BodyText"/>
      </w:pPr>
      <w:r>
        <w:t xml:space="preserve">The age-based censoring constituted the vast majority of censored events, as data on indication codes was available in only a minority of prescriptions (contrary to the 72% of all prescriptions described by official documentation).[@lmdbdoc]</w:t>
      </w:r>
    </w:p>
    <w:bookmarkEnd w:id="360"/>
    <w:bookmarkEnd w:id="361"/>
    <w:bookmarkEnd w:id="3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164" Target="media/rId164.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65" Target="media/rId65.png" /><Relationship Type="http://schemas.openxmlformats.org/officeDocument/2006/relationships/hyperlink" Id="rId304" Target="http://bmjopen.bmj.com/content/12/7/e060410.abstract" TargetMode="External" /><Relationship Type="http://schemas.openxmlformats.org/officeDocument/2006/relationships/hyperlink" Id="rId308" Target="http://www.rstudio.com/" TargetMode="External" /><Relationship Type="http://schemas.openxmlformats.org/officeDocument/2006/relationships/hyperlink" Id="rId321" Target="https://CRAN.R-project.org/package=DiagrammeR" TargetMode="External" /><Relationship Type="http://schemas.openxmlformats.org/officeDocument/2006/relationships/hyperlink" Id="rId314" Target="https://CRAN.R-project.org/package=Epi" TargetMode="External" /><Relationship Type="http://schemas.openxmlformats.org/officeDocument/2006/relationships/hyperlink" Id="rId312" Target="https://CRAN.R-project.org/package=data.table" TargetMode="External" /><Relationship Type="http://schemas.openxmlformats.org/officeDocument/2006/relationships/hyperlink" Id="rId316" Target="https://CRAN.R-project.org/package=finalfit" TargetMode="External" /><Relationship Type="http://schemas.openxmlformats.org/officeDocument/2006/relationships/hyperlink" Id="rId40" Target="https://aastedet.github.io/dissertation/" TargetMode="External" /><Relationship Type="http://schemas.openxmlformats.org/officeDocument/2006/relationships/hyperlink" Id="rId135" Target="https://commons.wikimedia.org/w/index.php?curid=100175653" TargetMode="External" /><Relationship Type="http://schemas.openxmlformats.org/officeDocument/2006/relationships/hyperlink" Id="rId331" Target="https://cran.r-project.org/web/packages/pscl/vignettes/countreg.pdf" TargetMode="External" /><Relationship Type="http://schemas.openxmlformats.org/officeDocument/2006/relationships/hyperlink" Id="rId281" Target="https://dansk-oftalmologisk-selskab.dk/wp-content/uploads/2021/05/National-retningslinje-for-screening-af-diabetisk-retinopati.pdf" TargetMode="External" /><Relationship Type="http://schemas.openxmlformats.org/officeDocument/2006/relationships/hyperlink" Id="rId79" Target="https://dmsjournal.biomedcentral.com/articles/10.1186/s13098-019-0428-8" TargetMode="External" /><Relationship Type="http://schemas.openxmlformats.org/officeDocument/2006/relationships/hyperlink" Id="rId239" Target="https://doi.org/10.1007/s00125-020-05279-1" TargetMode="External" /><Relationship Type="http://schemas.openxmlformats.org/officeDocument/2006/relationships/hyperlink" Id="rId257" Target="https://doi.org/10.1007/s10654-011-9638-6" TargetMode="External" /><Relationship Type="http://schemas.openxmlformats.org/officeDocument/2006/relationships/hyperlink" Id="rId202" Target="https://doi.org/10.1007/s11739-015-1302-9" TargetMode="External" /><Relationship Type="http://schemas.openxmlformats.org/officeDocument/2006/relationships/hyperlink" Id="rId204" Target="https://doi.org/10.1016/j.diabres.2016.09.020" TargetMode="External" /><Relationship Type="http://schemas.openxmlformats.org/officeDocument/2006/relationships/hyperlink" Id="rId245" Target="https://doi.org/10.1016/j.pcd.2007.07.007" TargetMode="External" /><Relationship Type="http://schemas.openxmlformats.org/officeDocument/2006/relationships/hyperlink" Id="rId259" Target="https://doi.org/10.1056/NEJMoa1007994" TargetMode="External" /><Relationship Type="http://schemas.openxmlformats.org/officeDocument/2006/relationships/hyperlink" Id="rId208" Target="https://doi.org/10.1080/13557858.2014.979768" TargetMode="External" /><Relationship Type="http://schemas.openxmlformats.org/officeDocument/2006/relationships/hyperlink" Id="rId329" Target="https://doi.org/10.1093/aje/kwh090" TargetMode="External" /><Relationship Type="http://schemas.openxmlformats.org/officeDocument/2006/relationships/hyperlink" Id="rId333" Target="https://doi.org/10.1093/aje/kwh221" TargetMode="External" /><Relationship Type="http://schemas.openxmlformats.org/officeDocument/2006/relationships/hyperlink" Id="rId192" Target="https://doi.org/10.1093/ije/dyr029" TargetMode="External" /><Relationship Type="http://schemas.openxmlformats.org/officeDocument/2006/relationships/hyperlink" Id="rId325" Target="https://doi.org/10.1136/bmj.f7450" TargetMode="External" /><Relationship Type="http://schemas.openxmlformats.org/officeDocument/2006/relationships/hyperlink" Id="rId251" Target="https://doi.org/10.1136/bmjopen-2015-007599" TargetMode="External" /><Relationship Type="http://schemas.openxmlformats.org/officeDocument/2006/relationships/hyperlink" Id="rId243" Target="https://doi.org/10.1136/bmjopen-2018-023211" TargetMode="External" /><Relationship Type="http://schemas.openxmlformats.org/officeDocument/2006/relationships/hyperlink" Id="rId283" Target="https://doi.org/10.1177/1403494811404278" TargetMode="External" /><Relationship Type="http://schemas.openxmlformats.org/officeDocument/2006/relationships/hyperlink" Id="rId306" Target="https://doi.org/10.1177/1403494812451412" TargetMode="External" /><Relationship Type="http://schemas.openxmlformats.org/officeDocument/2006/relationships/hyperlink" Id="rId247" Target="https://doi.org/10.1186/1472-6963-10-145" TargetMode="External" /><Relationship Type="http://schemas.openxmlformats.org/officeDocument/2006/relationships/hyperlink" Id="rId327" Target="https://doi.org/10.1186/1742-7622-10-14" TargetMode="External" /><Relationship Type="http://schemas.openxmlformats.org/officeDocument/2006/relationships/hyperlink" Id="rId335" Target="https://doi.org/10.1186/s12874-018-0519-5" TargetMode="External" /><Relationship Type="http://schemas.openxmlformats.org/officeDocument/2006/relationships/hyperlink" Id="rId253" Target="https://doi.org/10.1371/journal.pmed.1002942" TargetMode="External" /><Relationship Type="http://schemas.openxmlformats.org/officeDocument/2006/relationships/hyperlink" Id="rId255" Target="https://doi.org/10.1371/journal.pmed.1003672" TargetMode="External" /><Relationship Type="http://schemas.openxmlformats.org/officeDocument/2006/relationships/hyperlink" Id="rId249" Target="https://doi.org/10.1371/journal.pone.0083292" TargetMode="External" /><Relationship Type="http://schemas.openxmlformats.org/officeDocument/2006/relationships/hyperlink" Id="rId318" Target="https://doi.org/10.21105/joss.01686" TargetMode="External" /><Relationship Type="http://schemas.openxmlformats.org/officeDocument/2006/relationships/hyperlink" Id="rId297" Target="https://doi.org/10.2147/clep.S179083" TargetMode="External" /><Relationship Type="http://schemas.openxmlformats.org/officeDocument/2006/relationships/hyperlink" Id="rId261" Target="https://doi.org/10.2337/dc09-0959" TargetMode="External" /><Relationship Type="http://schemas.openxmlformats.org/officeDocument/2006/relationships/hyperlink" Id="rId241" Target="https://doi.org/10.2337/dc22-S002" TargetMode="External" /><Relationship Type="http://schemas.openxmlformats.org/officeDocument/2006/relationships/hyperlink" Id="rId323" Target="https://doi.org/10.5281/zenodo.1472077" TargetMode="External" /><Relationship Type="http://schemas.openxmlformats.org/officeDocument/2006/relationships/hyperlink" Id="rId200" Target="https://ec.europa.eu/eurostat/statistics-explained/index.php?title=Ageing_Europe_-_statistics_on_health_and_disability" TargetMode="External" /><Relationship Type="http://schemas.openxmlformats.org/officeDocument/2006/relationships/hyperlink" Id="rId299" Target="https://ec.europa.eu/eurostat/statistics-explained/index.php?title=Glossary:Equivalised_disposable_income" TargetMode="External" /><Relationship Type="http://schemas.openxmlformats.org/officeDocument/2006/relationships/hyperlink" Id="rId196" Target="https://ec.europa.eu/eurostat/statistics-explained/index.php?title=Migrant_integration_statistics" TargetMode="External" /><Relationship Type="http://schemas.openxmlformats.org/officeDocument/2006/relationships/hyperlink" Id="rId198" Target="https://ec.europa.eu/eurostat/statistics-explained/index.php?title=Population_structure_and_ageing" TargetMode="External" /><Relationship Type="http://schemas.openxmlformats.org/officeDocument/2006/relationships/hyperlink" Id="rId206" Target="https://extranet.dst.dk/pyramide/pyramide.htm#!y=2039&amp;o=2019&amp;c=4" TargetMode="External" /><Relationship Type="http://schemas.openxmlformats.org/officeDocument/2006/relationships/hyperlink" Id="rId291" Target="https://github.com/Aastedet/osdc" TargetMode="External" /><Relationship Type="http://schemas.openxmlformats.org/officeDocument/2006/relationships/hyperlink" Id="rId214" Target="https://home-affairs.ec.europa.eu/policies/migration-and-asylum/common-european-asylum-system/country-responsible-asylum-application-dublin-regulation_en" TargetMode="External" /><Relationship Type="http://schemas.openxmlformats.org/officeDocument/2006/relationships/hyperlink" Id="rId301" Target="https://icd.who.int/browse10/Content/statichtml/ICD10Volume2_en_2019.pdf" TargetMode="External" /><Relationship Type="http://schemas.openxmlformats.org/officeDocument/2006/relationships/hyperlink" Id="rId293" Target="https://laegemiddelstyrelsen.dk/en/reimbursement/calculate-reimbursement/reimbursement-thresholds/" TargetMode="External" /><Relationship Type="http://schemas.openxmlformats.org/officeDocument/2006/relationships/hyperlink" Id="rId216" Target="https://nyidanmark.dk/uk-UA/You-want-to-apply/Family" TargetMode="External" /><Relationship Type="http://schemas.openxmlformats.org/officeDocument/2006/relationships/hyperlink" Id="rId222" Target="https://nyidanmark.dk/uk-UA/You-want-to-apply/Residence-as-a-Nordic-citizen-or-EU-or-EEA-citizen/Nordic-citizens" TargetMode="External" /><Relationship Type="http://schemas.openxmlformats.org/officeDocument/2006/relationships/hyperlink" Id="rId220" Target="https://nyidanmark.dk/uk-UA/You-want-to-apply/Study" TargetMode="External" /><Relationship Type="http://schemas.openxmlformats.org/officeDocument/2006/relationships/hyperlink" Id="rId218" Target="https://nyidanmark.dk/uk-UA/You-want-to-apply/Work" TargetMode="External" /><Relationship Type="http://schemas.openxmlformats.org/officeDocument/2006/relationships/hyperlink" Id="rId295" Target="https://okportal.dk/Default.aspx?area=Praksis&amp;type=Takstmapper" TargetMode="External" /><Relationship Type="http://schemas.openxmlformats.org/officeDocument/2006/relationships/hyperlink" Id="rId269" Target="https://richtlijnen.nhg.org/standaarden/diabetes-mellitus-type-2" TargetMode="External" /><Relationship Type="http://schemas.openxmlformats.org/officeDocument/2006/relationships/hyperlink" Id="rId289"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35" Target="https://unstats.un.org/unsd/methodology/m49/" TargetMode="External" /><Relationship Type="http://schemas.openxmlformats.org/officeDocument/2006/relationships/hyperlink" Id="rId263" Target="https://vejledninger.dsam.dk/fbv-t2dm/" TargetMode="External" /><Relationship Type="http://schemas.openxmlformats.org/officeDocument/2006/relationships/hyperlink" Id="rId277" Target="https://vejledninger.dsam.dk/media/files/20/type-2-diabetes-2012-med-links.pdf" TargetMode="External" /><Relationship Type="http://schemas.openxmlformats.org/officeDocument/2006/relationships/hyperlink" Id="rId275" Target="https://vejledninger.dsam.dk/media/files/20/type_2_diabetes_2004_rettet.pdf" TargetMode="External" /><Relationship Type="http://schemas.openxmlformats.org/officeDocument/2006/relationships/hyperlink" Id="rId279" Target="https://vejledninger.dsam.dk/type2/" TargetMode="External" /><Relationship Type="http://schemas.openxmlformats.org/officeDocument/2006/relationships/hyperlink" Id="rId310" Target="https://www.R-project.org/" TargetMode="External" /><Relationship Type="http://schemas.openxmlformats.org/officeDocument/2006/relationships/hyperlink" Id="rId210" Target="https://www.ajtmh.org/view/journals/tpmd/105/6/article-p1453.xml" TargetMode="External" /><Relationship Type="http://schemas.openxmlformats.org/officeDocument/2006/relationships/hyperlink" Id="rId237" Target="https://www.dst.dk/Site/Dst/SingleFiles/GetArchiveFile.aspx?fi=49459100303&amp;fo=0&amp;ext=kvaldel" TargetMode="External" /><Relationship Type="http://schemas.openxmlformats.org/officeDocument/2006/relationships/hyperlink" Id="rId228" Target="https://www.dst.dk/Site/Dst/SingleFiles/GetArchiveFile.aspx?fi=formid&amp;fo=medbragt-udd--pdf" TargetMode="External" /><Relationship Type="http://schemas.openxmlformats.org/officeDocument/2006/relationships/hyperlink" Id="rId230" Target="https://www.dst.dk/Site/Dst/Udgivelser/GetPubFile.aspx?id=29446&amp;sid=indv2019" TargetMode="External" /><Relationship Type="http://schemas.openxmlformats.org/officeDocument/2006/relationships/hyperlink" Id="rId232" Target="https://www.dst.dk/da/Statistik/nyheder-analyser-publ/bagtal/2022/2022-08-18-fakta-om-indvandrere" TargetMode="External" /><Relationship Type="http://schemas.openxmlformats.org/officeDocument/2006/relationships/hyperlink" Id="rId287" Target="https://www.esundhed.dk/-/media/Files/Dokumentation/Register-for-Udvalgte-Kroniske-Sygdomme-og-Svaere-Psykiske-Lidelser/29_Algoritmer_for_RUKS.ashx" TargetMode="External" /><Relationship Type="http://schemas.openxmlformats.org/officeDocument/2006/relationships/hyperlink" Id="rId337" Target="https://www.esundhed.dk/-/media/Files/Publikationer/Emner/Operationer-og-diagnoser/Udvalgte-kroniske-sygdomme-svaere-psykiske-lidelser/Algoritmer-for-Udvalgte-Kroniske-Sygdomme-og-svre-psykiske-lidelser-RUKS-2022.ashx" TargetMode="External" /><Relationship Type="http://schemas.openxmlformats.org/officeDocument/2006/relationships/hyperlink" Id="rId273" Target="https://www.helsedirektoratet.no/retningslinjer/diabetes" TargetMode="External" /><Relationship Type="http://schemas.openxmlformats.org/officeDocument/2006/relationships/hyperlink" Id="rId267" Target="https://www.leitlinien.de/themen/diabetes/2-auflage/" TargetMode="External" /><Relationship Type="http://schemas.openxmlformats.org/officeDocument/2006/relationships/hyperlink" Id="rId73" Target="https://www.ncbi.nlm.nih.gov/pmc/articles/PMC8563673/" TargetMode="External" /><Relationship Type="http://schemas.openxmlformats.org/officeDocument/2006/relationships/hyperlink" Id="rId285" Target="https://www.ncbi.nlm.nih.gov/pubmed/25565889
https://www.ncbi.nlm.nih.gov/pmc/PMC4274151/" TargetMode="External" /><Relationship Type="http://schemas.openxmlformats.org/officeDocument/2006/relationships/hyperlink" Id="rId271" Target="https://www.nice.org.uk/guidance/ng28" TargetMode="External" /><Relationship Type="http://schemas.openxmlformats.org/officeDocument/2006/relationships/hyperlink" Id="rId224" Target="https://www.retsinformation.dk/eli/lta/2018/855" TargetMode="External" /><Relationship Type="http://schemas.openxmlformats.org/officeDocument/2006/relationships/hyperlink" Id="rId226" Target="https://www.retsinformation.dk/eli/retsinfo/2013/9273#Bil1" TargetMode="External" /><Relationship Type="http://schemas.openxmlformats.org/officeDocument/2006/relationships/hyperlink" Id="rId194" Target="https://www.sciencedirect.com/science/article/pii/S0168822721004782" TargetMode="External" /><Relationship Type="http://schemas.openxmlformats.org/officeDocument/2006/relationships/hyperlink" Id="rId265" Target="https://www.socialstyrelsen.se/kunskapsstod-och-regler/regler-och-riktlinjer/nationella-riktlinjer/riktlinjer-och-utvarderingar/diabetes/" TargetMode="External" /><Relationship Type="http://schemas.openxmlformats.org/officeDocument/2006/relationships/hyperlink" Id="rId212"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304" Target="http://bmjopen.bmj.com/content/12/7/e060410.abstract" TargetMode="External" /><Relationship Type="http://schemas.openxmlformats.org/officeDocument/2006/relationships/hyperlink" Id="rId308" Target="http://www.rstudio.com/" TargetMode="External" /><Relationship Type="http://schemas.openxmlformats.org/officeDocument/2006/relationships/hyperlink" Id="rId321" Target="https://CRAN.R-project.org/package=DiagrammeR" TargetMode="External" /><Relationship Type="http://schemas.openxmlformats.org/officeDocument/2006/relationships/hyperlink" Id="rId314" Target="https://CRAN.R-project.org/package=Epi" TargetMode="External" /><Relationship Type="http://schemas.openxmlformats.org/officeDocument/2006/relationships/hyperlink" Id="rId312" Target="https://CRAN.R-project.org/package=data.table" TargetMode="External" /><Relationship Type="http://schemas.openxmlformats.org/officeDocument/2006/relationships/hyperlink" Id="rId316" Target="https://CRAN.R-project.org/package=finalfit" TargetMode="External" /><Relationship Type="http://schemas.openxmlformats.org/officeDocument/2006/relationships/hyperlink" Id="rId40" Target="https://aastedet.github.io/dissertation/" TargetMode="External" /><Relationship Type="http://schemas.openxmlformats.org/officeDocument/2006/relationships/hyperlink" Id="rId135" Target="https://commons.wikimedia.org/w/index.php?curid=100175653" TargetMode="External" /><Relationship Type="http://schemas.openxmlformats.org/officeDocument/2006/relationships/hyperlink" Id="rId331" Target="https://cran.r-project.org/web/packages/pscl/vignettes/countreg.pdf" TargetMode="External" /><Relationship Type="http://schemas.openxmlformats.org/officeDocument/2006/relationships/hyperlink" Id="rId281" Target="https://dansk-oftalmologisk-selskab.dk/wp-content/uploads/2021/05/National-retningslinje-for-screening-af-diabetisk-retinopati.pdf" TargetMode="External" /><Relationship Type="http://schemas.openxmlformats.org/officeDocument/2006/relationships/hyperlink" Id="rId79" Target="https://dmsjournal.biomedcentral.com/articles/10.1186/s13098-019-0428-8" TargetMode="External" /><Relationship Type="http://schemas.openxmlformats.org/officeDocument/2006/relationships/hyperlink" Id="rId239" Target="https://doi.org/10.1007/s00125-020-05279-1" TargetMode="External" /><Relationship Type="http://schemas.openxmlformats.org/officeDocument/2006/relationships/hyperlink" Id="rId257" Target="https://doi.org/10.1007/s10654-011-9638-6" TargetMode="External" /><Relationship Type="http://schemas.openxmlformats.org/officeDocument/2006/relationships/hyperlink" Id="rId202" Target="https://doi.org/10.1007/s11739-015-1302-9" TargetMode="External" /><Relationship Type="http://schemas.openxmlformats.org/officeDocument/2006/relationships/hyperlink" Id="rId204" Target="https://doi.org/10.1016/j.diabres.2016.09.020" TargetMode="External" /><Relationship Type="http://schemas.openxmlformats.org/officeDocument/2006/relationships/hyperlink" Id="rId245" Target="https://doi.org/10.1016/j.pcd.2007.07.007" TargetMode="External" /><Relationship Type="http://schemas.openxmlformats.org/officeDocument/2006/relationships/hyperlink" Id="rId259" Target="https://doi.org/10.1056/NEJMoa1007994" TargetMode="External" /><Relationship Type="http://schemas.openxmlformats.org/officeDocument/2006/relationships/hyperlink" Id="rId208" Target="https://doi.org/10.1080/13557858.2014.979768" TargetMode="External" /><Relationship Type="http://schemas.openxmlformats.org/officeDocument/2006/relationships/hyperlink" Id="rId329" Target="https://doi.org/10.1093/aje/kwh090" TargetMode="External" /><Relationship Type="http://schemas.openxmlformats.org/officeDocument/2006/relationships/hyperlink" Id="rId333" Target="https://doi.org/10.1093/aje/kwh221" TargetMode="External" /><Relationship Type="http://schemas.openxmlformats.org/officeDocument/2006/relationships/hyperlink" Id="rId192" Target="https://doi.org/10.1093/ije/dyr029" TargetMode="External" /><Relationship Type="http://schemas.openxmlformats.org/officeDocument/2006/relationships/hyperlink" Id="rId325" Target="https://doi.org/10.1136/bmj.f7450" TargetMode="External" /><Relationship Type="http://schemas.openxmlformats.org/officeDocument/2006/relationships/hyperlink" Id="rId251" Target="https://doi.org/10.1136/bmjopen-2015-007599" TargetMode="External" /><Relationship Type="http://schemas.openxmlformats.org/officeDocument/2006/relationships/hyperlink" Id="rId243" Target="https://doi.org/10.1136/bmjopen-2018-023211" TargetMode="External" /><Relationship Type="http://schemas.openxmlformats.org/officeDocument/2006/relationships/hyperlink" Id="rId283" Target="https://doi.org/10.1177/1403494811404278" TargetMode="External" /><Relationship Type="http://schemas.openxmlformats.org/officeDocument/2006/relationships/hyperlink" Id="rId306" Target="https://doi.org/10.1177/1403494812451412" TargetMode="External" /><Relationship Type="http://schemas.openxmlformats.org/officeDocument/2006/relationships/hyperlink" Id="rId247" Target="https://doi.org/10.1186/1472-6963-10-145" TargetMode="External" /><Relationship Type="http://schemas.openxmlformats.org/officeDocument/2006/relationships/hyperlink" Id="rId327" Target="https://doi.org/10.1186/1742-7622-10-14" TargetMode="External" /><Relationship Type="http://schemas.openxmlformats.org/officeDocument/2006/relationships/hyperlink" Id="rId335" Target="https://doi.org/10.1186/s12874-018-0519-5" TargetMode="External" /><Relationship Type="http://schemas.openxmlformats.org/officeDocument/2006/relationships/hyperlink" Id="rId253" Target="https://doi.org/10.1371/journal.pmed.1002942" TargetMode="External" /><Relationship Type="http://schemas.openxmlformats.org/officeDocument/2006/relationships/hyperlink" Id="rId255" Target="https://doi.org/10.1371/journal.pmed.1003672" TargetMode="External" /><Relationship Type="http://schemas.openxmlformats.org/officeDocument/2006/relationships/hyperlink" Id="rId249" Target="https://doi.org/10.1371/journal.pone.0083292" TargetMode="External" /><Relationship Type="http://schemas.openxmlformats.org/officeDocument/2006/relationships/hyperlink" Id="rId318" Target="https://doi.org/10.21105/joss.01686" TargetMode="External" /><Relationship Type="http://schemas.openxmlformats.org/officeDocument/2006/relationships/hyperlink" Id="rId297" Target="https://doi.org/10.2147/clep.S179083" TargetMode="External" /><Relationship Type="http://schemas.openxmlformats.org/officeDocument/2006/relationships/hyperlink" Id="rId261" Target="https://doi.org/10.2337/dc09-0959" TargetMode="External" /><Relationship Type="http://schemas.openxmlformats.org/officeDocument/2006/relationships/hyperlink" Id="rId241" Target="https://doi.org/10.2337/dc22-S002" TargetMode="External" /><Relationship Type="http://schemas.openxmlformats.org/officeDocument/2006/relationships/hyperlink" Id="rId323" Target="https://doi.org/10.5281/zenodo.1472077" TargetMode="External" /><Relationship Type="http://schemas.openxmlformats.org/officeDocument/2006/relationships/hyperlink" Id="rId200" Target="https://ec.europa.eu/eurostat/statistics-explained/index.php?title=Ageing_Europe_-_statistics_on_health_and_disability" TargetMode="External" /><Relationship Type="http://schemas.openxmlformats.org/officeDocument/2006/relationships/hyperlink" Id="rId299" Target="https://ec.europa.eu/eurostat/statistics-explained/index.php?title=Glossary:Equivalised_disposable_income" TargetMode="External" /><Relationship Type="http://schemas.openxmlformats.org/officeDocument/2006/relationships/hyperlink" Id="rId196" Target="https://ec.europa.eu/eurostat/statistics-explained/index.php?title=Migrant_integration_statistics" TargetMode="External" /><Relationship Type="http://schemas.openxmlformats.org/officeDocument/2006/relationships/hyperlink" Id="rId198" Target="https://ec.europa.eu/eurostat/statistics-explained/index.php?title=Population_structure_and_ageing" TargetMode="External" /><Relationship Type="http://schemas.openxmlformats.org/officeDocument/2006/relationships/hyperlink" Id="rId206" Target="https://extranet.dst.dk/pyramide/pyramide.htm#!y=2039&amp;o=2019&amp;c=4" TargetMode="External" /><Relationship Type="http://schemas.openxmlformats.org/officeDocument/2006/relationships/hyperlink" Id="rId291" Target="https://github.com/Aastedet/osdc" TargetMode="External" /><Relationship Type="http://schemas.openxmlformats.org/officeDocument/2006/relationships/hyperlink" Id="rId214" Target="https://home-affairs.ec.europa.eu/policies/migration-and-asylum/common-european-asylum-system/country-responsible-asylum-application-dublin-regulation_en" TargetMode="External" /><Relationship Type="http://schemas.openxmlformats.org/officeDocument/2006/relationships/hyperlink" Id="rId301" Target="https://icd.who.int/browse10/Content/statichtml/ICD10Volume2_en_2019.pdf" TargetMode="External" /><Relationship Type="http://schemas.openxmlformats.org/officeDocument/2006/relationships/hyperlink" Id="rId293" Target="https://laegemiddelstyrelsen.dk/en/reimbursement/calculate-reimbursement/reimbursement-thresholds/" TargetMode="External" /><Relationship Type="http://schemas.openxmlformats.org/officeDocument/2006/relationships/hyperlink" Id="rId216" Target="https://nyidanmark.dk/uk-UA/You-want-to-apply/Family" TargetMode="External" /><Relationship Type="http://schemas.openxmlformats.org/officeDocument/2006/relationships/hyperlink" Id="rId222" Target="https://nyidanmark.dk/uk-UA/You-want-to-apply/Residence-as-a-Nordic-citizen-or-EU-or-EEA-citizen/Nordic-citizens" TargetMode="External" /><Relationship Type="http://schemas.openxmlformats.org/officeDocument/2006/relationships/hyperlink" Id="rId220" Target="https://nyidanmark.dk/uk-UA/You-want-to-apply/Study" TargetMode="External" /><Relationship Type="http://schemas.openxmlformats.org/officeDocument/2006/relationships/hyperlink" Id="rId218" Target="https://nyidanmark.dk/uk-UA/You-want-to-apply/Work" TargetMode="External" /><Relationship Type="http://schemas.openxmlformats.org/officeDocument/2006/relationships/hyperlink" Id="rId295" Target="https://okportal.dk/Default.aspx?area=Praksis&amp;type=Takstmapper" TargetMode="External" /><Relationship Type="http://schemas.openxmlformats.org/officeDocument/2006/relationships/hyperlink" Id="rId269" Target="https://richtlijnen.nhg.org/standaarden/diabetes-mellitus-type-2" TargetMode="External" /><Relationship Type="http://schemas.openxmlformats.org/officeDocument/2006/relationships/hyperlink" Id="rId289"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35" Target="https://unstats.un.org/unsd/methodology/m49/" TargetMode="External" /><Relationship Type="http://schemas.openxmlformats.org/officeDocument/2006/relationships/hyperlink" Id="rId263" Target="https://vejledninger.dsam.dk/fbv-t2dm/" TargetMode="External" /><Relationship Type="http://schemas.openxmlformats.org/officeDocument/2006/relationships/hyperlink" Id="rId277" Target="https://vejledninger.dsam.dk/media/files/20/type-2-diabetes-2012-med-links.pdf" TargetMode="External" /><Relationship Type="http://schemas.openxmlformats.org/officeDocument/2006/relationships/hyperlink" Id="rId275" Target="https://vejledninger.dsam.dk/media/files/20/type_2_diabetes_2004_rettet.pdf" TargetMode="External" /><Relationship Type="http://schemas.openxmlformats.org/officeDocument/2006/relationships/hyperlink" Id="rId279" Target="https://vejledninger.dsam.dk/type2/" TargetMode="External" /><Relationship Type="http://schemas.openxmlformats.org/officeDocument/2006/relationships/hyperlink" Id="rId310" Target="https://www.R-project.org/" TargetMode="External" /><Relationship Type="http://schemas.openxmlformats.org/officeDocument/2006/relationships/hyperlink" Id="rId210" Target="https://www.ajtmh.org/view/journals/tpmd/105/6/article-p1453.xml" TargetMode="External" /><Relationship Type="http://schemas.openxmlformats.org/officeDocument/2006/relationships/hyperlink" Id="rId237" Target="https://www.dst.dk/Site/Dst/SingleFiles/GetArchiveFile.aspx?fi=49459100303&amp;fo=0&amp;ext=kvaldel" TargetMode="External" /><Relationship Type="http://schemas.openxmlformats.org/officeDocument/2006/relationships/hyperlink" Id="rId228" Target="https://www.dst.dk/Site/Dst/SingleFiles/GetArchiveFile.aspx?fi=formid&amp;fo=medbragt-udd--pdf" TargetMode="External" /><Relationship Type="http://schemas.openxmlformats.org/officeDocument/2006/relationships/hyperlink" Id="rId230" Target="https://www.dst.dk/Site/Dst/Udgivelser/GetPubFile.aspx?id=29446&amp;sid=indv2019" TargetMode="External" /><Relationship Type="http://schemas.openxmlformats.org/officeDocument/2006/relationships/hyperlink" Id="rId232" Target="https://www.dst.dk/da/Statistik/nyheder-analyser-publ/bagtal/2022/2022-08-18-fakta-om-indvandrere" TargetMode="External" /><Relationship Type="http://schemas.openxmlformats.org/officeDocument/2006/relationships/hyperlink" Id="rId287" Target="https://www.esundhed.dk/-/media/Files/Dokumentation/Register-for-Udvalgte-Kroniske-Sygdomme-og-Svaere-Psykiske-Lidelser/29_Algoritmer_for_RUKS.ashx" TargetMode="External" /><Relationship Type="http://schemas.openxmlformats.org/officeDocument/2006/relationships/hyperlink" Id="rId337" Target="https://www.esundhed.dk/-/media/Files/Publikationer/Emner/Operationer-og-diagnoser/Udvalgte-kroniske-sygdomme-svaere-psykiske-lidelser/Algoritmer-for-Udvalgte-Kroniske-Sygdomme-og-svre-psykiske-lidelser-RUKS-2022.ashx" TargetMode="External" /><Relationship Type="http://schemas.openxmlformats.org/officeDocument/2006/relationships/hyperlink" Id="rId273" Target="https://www.helsedirektoratet.no/retningslinjer/diabetes" TargetMode="External" /><Relationship Type="http://schemas.openxmlformats.org/officeDocument/2006/relationships/hyperlink" Id="rId267" Target="https://www.leitlinien.de/themen/diabetes/2-auflage/" TargetMode="External" /><Relationship Type="http://schemas.openxmlformats.org/officeDocument/2006/relationships/hyperlink" Id="rId73" Target="https://www.ncbi.nlm.nih.gov/pmc/articles/PMC8563673/" TargetMode="External" /><Relationship Type="http://schemas.openxmlformats.org/officeDocument/2006/relationships/hyperlink" Id="rId285" Target="https://www.ncbi.nlm.nih.gov/pubmed/25565889
https://www.ncbi.nlm.nih.gov/pmc/PMC4274151/" TargetMode="External" /><Relationship Type="http://schemas.openxmlformats.org/officeDocument/2006/relationships/hyperlink" Id="rId271" Target="https://www.nice.org.uk/guidance/ng28" TargetMode="External" /><Relationship Type="http://schemas.openxmlformats.org/officeDocument/2006/relationships/hyperlink" Id="rId224" Target="https://www.retsinformation.dk/eli/lta/2018/855" TargetMode="External" /><Relationship Type="http://schemas.openxmlformats.org/officeDocument/2006/relationships/hyperlink" Id="rId226" Target="https://www.retsinformation.dk/eli/retsinfo/2013/9273#Bil1" TargetMode="External" /><Relationship Type="http://schemas.openxmlformats.org/officeDocument/2006/relationships/hyperlink" Id="rId194" Target="https://www.sciencedirect.com/science/article/pii/S0168822721004782" TargetMode="External" /><Relationship Type="http://schemas.openxmlformats.org/officeDocument/2006/relationships/hyperlink" Id="rId265" Target="https://www.socialstyrelsen.se/kunskapsstod-och-regler/regler-och-riktlinjer/nationella-riktlinjer/riktlinjer-och-utvarderingar/diabetes/" TargetMode="External" /><Relationship Type="http://schemas.openxmlformats.org/officeDocument/2006/relationships/hyperlink" Id="rId212"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2023-03-29T23:22:08Z</dcterms:created>
  <dcterms:modified xsi:type="dcterms:W3CDTF">2023-03-29T23:22:08Z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