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87" w:name="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52" w:name="migrants-in-denmark"/>
    <w:p>
      <w:pPr>
        <w:pStyle w:val="Heading2"/>
      </w:pPr>
      <w:r>
        <w:t xml:space="preserve">1.2 Migrants in Denmark</w:t>
      </w:r>
    </w:p>
    <w:p>
      <w:pPr>
        <w:pStyle w:val="FirstParagraph"/>
      </w:pPr>
      <w:r>
        <w:t xml:space="preserve">[Describe overall proportion of migrants and migration patterns/groups/causes: Summarise https://www.dst.dk/da/Statistik/nyheder-analyser-publ/bagtal/2022/2022-08-18-fakta-om-indvandrere &amp; for 2019: https://www.dst.dk/da/Statistik/nyheder-analyser-publ/Publikationer/VisPub?cid=29446]</w:t>
      </w:r>
    </w:p>
    <w:p>
      <w:pPr>
        <w:pStyle w:val="BodyText"/>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whether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w:t>
      </w:r>
    </w:p>
    <w:bookmarkStart w:id="50" w:name="X114a4da0b48dc6ed8eefa2c8ce281c705c82d6d"/>
    <w:p>
      <w:pPr>
        <w:pStyle w:val="Heading3"/>
      </w:pPr>
      <w:r>
        <w:t xml:space="preserve">1.2.1 Infrastructure of Danish data on migrants</w:t>
      </w:r>
    </w:p>
    <w:p>
      <w:pPr>
        <w:pStyle w:val="FirstParagraph"/>
      </w:pPr>
      <w:r>
        <w:t xml:space="preserve">In the context of Danish statistics and this PhD project, both refugees and immigrants are referred to as migrants after obtaining residence. In Danish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10</w:t>
      </w:r>
    </w:p>
    <w:p>
      <w:pPr>
        <w:pStyle w:val="FirstParagraph"/>
      </w:pPr>
      <w:r>
        <w:t xml:space="preserve">Civil registration data on migrants is collected during the residence application process. Generally, registrations pertaining to events that occurred prior to the migration require technical evidence or legal proof from the issuing authority of the country where the event occurred. However, in cases where such documentation is unavailable, e.g. date of birth, registrations may be supported by undocumented information provided by the migrant.</w:t>
      </w:r>
      <w:r>
        <w:rPr>
          <w:vertAlign w:val="superscript"/>
        </w:rPr>
        <w:t xml:space="preserve">11</w:t>
      </w:r>
      <w:r>
        <w:t xml:space="preserve"> </w:t>
      </w:r>
      <w:r>
        <w:t xml:space="preserve">In cases where information was not systematically collected at the time of migration, e.g. level of education attained before migration, surveys may be used to collect this data retrospectively, or it may be imputed based on the available data.</w:t>
      </w:r>
      <w:r>
        <w:rPr>
          <w:vertAlign w:val="superscript"/>
        </w:rPr>
        <w:t xml:space="preserve">12</w:t>
      </w:r>
    </w:p>
    <w:bookmarkEnd w:id="50"/>
    <w:bookmarkStart w:id="51" w:name="migrant-groups-in-denmark"/>
    <w:p>
      <w:pPr>
        <w:pStyle w:val="Heading3"/>
      </w:pPr>
      <w:r>
        <w:t xml:space="preserve">1.2.2 Migrant groups in Denmark</w:t>
      </w:r>
    </w:p>
    <w:p>
      <w:pPr>
        <w:pStyle w:val="FirstParagraph"/>
      </w:pPr>
      <w:r>
        <w:t xml:space="preserve">Migrants from more than 200 different countries of origin reside in Denmark, making it a very heterogenous group.</w:t>
      </w:r>
    </w:p>
    <w:p>
      <w:pPr>
        <w:numPr>
          <w:ilvl w:val="0"/>
          <w:numId w:val="1001"/>
        </w:numPr>
        <w:pStyle w:val="Compact"/>
      </w:pPr>
    </w:p>
    <w:p>
      <w:pPr>
        <w:numPr>
          <w:ilvl w:val="1"/>
          <w:numId w:val="1002"/>
        </w:numPr>
      </w:pPr>
      <w:r>
        <w:t xml:space="preserve">&gt;200 countries of origin among immigrants in Denmark: heterogeneous group</w:t>
      </w:r>
    </w:p>
    <w:p>
      <w:pPr>
        <w:numPr>
          <w:ilvl w:val="1"/>
          <w:numId w:val="1002"/>
        </w:numPr>
      </w:pPr>
      <w:r>
        <w:t xml:space="preserve">Migration patterns in Denmark governed by migration politics: fig. 1.11 (reason for residence permits through time)</w:t>
      </w:r>
    </w:p>
    <w:p>
      <w:pPr>
        <w:numPr>
          <w:ilvl w:val="1"/>
          <w:numId w:val="1002"/>
        </w:numPr>
      </w:pPr>
      <w:r>
        <w:t xml:space="preserve">Migrants with different origins have different contexts:</w:t>
      </w:r>
    </w:p>
    <w:p>
      <w:pPr>
        <w:numPr>
          <w:ilvl w:val="2"/>
          <w:numId w:val="1003"/>
        </w:numPr>
      </w:pPr>
      <w:r>
        <w:t xml:space="preserve">reason for residence permit (tab. 1.9 + 1.10)</w:t>
      </w:r>
    </w:p>
    <w:p>
      <w:pPr>
        <w:numPr>
          <w:ilvl w:val="3"/>
          <w:numId w:val="1004"/>
        </w:numPr>
        <w:pStyle w:val="Compact"/>
      </w:pPr>
      <w:r>
        <w:t xml:space="preserve">Reason correlates with origin</w:t>
      </w:r>
    </w:p>
    <w:p>
      <w:pPr>
        <w:numPr>
          <w:ilvl w:val="2"/>
          <w:numId w:val="1003"/>
        </w:numPr>
      </w:pPr>
      <w:r>
        <w:t xml:space="preserve">Time of migration (fig. 1.4) and current age (tab. 1.3)</w:t>
      </w:r>
    </w:p>
    <w:p>
      <w:pPr>
        <w:numPr>
          <w:ilvl w:val="0"/>
          <w:numId w:val="1001"/>
        </w:numPr>
      </w:pPr>
      <w:r>
        <w:t xml:space="preserve">Very specific categories - rarely used, and not in a population-wide study of this size?</w:t>
      </w:r>
    </w:p>
    <w:p>
      <w:pPr>
        <w:numPr>
          <w:ilvl w:val="0"/>
          <w:numId w:val="1001"/>
        </w:numPr>
      </w:pPr>
      <w:r>
        <w:t xml:space="preserve">Migrants vs. descendants:</w:t>
      </w:r>
    </w:p>
    <w:p>
      <w:pPr>
        <w:numPr>
          <w:ilvl w:val="1"/>
          <w:numId w:val="1005"/>
        </w:numPr>
      </w:pPr>
      <w:r>
        <w:t xml:space="preserve">diff. ages: fig. 1.4</w:t>
      </w:r>
    </w:p>
    <w:p>
      <w:pPr>
        <w:numPr>
          <w:ilvl w:val="1"/>
          <w:numId w:val="1005"/>
        </w:numPr>
      </w:pPr>
      <w:r>
        <w:t xml:space="preserve">Indications of different diabetes risk (Bennet)</w:t>
      </w:r>
    </w:p>
    <w:p>
      <w:pPr>
        <w:numPr>
          <w:ilvl w:val="0"/>
          <w:numId w:val="1001"/>
        </w:numPr>
      </w:pPr>
      <w:r>
        <w:t xml:space="preserve">Context of each migrant category.</w:t>
      </w:r>
    </w:p>
    <w:bookmarkEnd w:id="51"/>
    <w:bookmarkEnd w:id="52"/>
    <w:bookmarkStart w:id="64" w:name="type-2-diabetes-care"/>
    <w:p>
      <w:pPr>
        <w:pStyle w:val="Heading2"/>
      </w:pPr>
      <w:r>
        <w:t xml:space="preserve">1.3 Type 2 diabetes care</w:t>
      </w:r>
    </w:p>
    <w:bookmarkStart w:id="56" w:name="complications-and-risk-factors"/>
    <w:p>
      <w:pPr>
        <w:pStyle w:val="Heading3"/>
      </w:pPr>
      <w:r>
        <w:t xml:space="preserve">1.3.1 Complications and risk factors</w:t>
      </w:r>
    </w:p>
    <w:bookmarkStart w:id="53"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53"/>
    <w:bookmarkStart w:id="55"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54">
        <w:r>
          <w:rPr>
            <w:rStyle w:val="Hyperlink"/>
          </w:rPr>
          <w:t xml:space="preserve">refs</w:t>
        </w:r>
      </w:hyperlink>
      <w:r>
        <w:t xml:space="preserve">]</w:t>
      </w:r>
    </w:p>
    <w:bookmarkEnd w:id="55"/>
    <w:bookmarkEnd w:id="56"/>
    <w:bookmarkStart w:id="59" w:name="pharmacological-treatment"/>
    <w:p>
      <w:pPr>
        <w:pStyle w:val="Heading3"/>
      </w:pPr>
      <w:r>
        <w:t xml:space="preserve">1.3.2 Pharmacological treatment</w:t>
      </w:r>
    </w:p>
    <w:bookmarkStart w:id="57"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13,14</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57"/>
    <w:bookmarkStart w:id="58"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58"/>
    <w:bookmarkEnd w:id="59"/>
    <w:bookmarkStart w:id="63" w:name="monitoring"/>
    <w:p>
      <w:pPr>
        <w:pStyle w:val="Heading3"/>
      </w:pPr>
      <w:r>
        <w:t xml:space="preserve">1.3.3 Monitoring</w:t>
      </w:r>
    </w:p>
    <w:bookmarkStart w:id="61"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60">
        <w:r>
          <w:rPr>
            <w:rStyle w:val="Hyperlink"/>
          </w:rPr>
          <w:t xml:space="preserve">7-12</w:t>
        </w:r>
      </w:hyperlink>
      <w:r>
        <w:t xml:space="preserve">, e.g. https://doi.org/10.1093/intqhc/mzl023, , evt. DVDD rapport]*</w:t>
      </w:r>
    </w:p>
    <w:bookmarkEnd w:id="61"/>
    <w:bookmarkStart w:id="62"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62"/>
    <w:bookmarkEnd w:id="63"/>
    <w:bookmarkEnd w:id="64"/>
    <w:bookmarkStart w:id="81" w:name="Xc97c9dbd1e56f09b035b591f0a2f5a7c2b90c7a"/>
    <w:p>
      <w:pPr>
        <w:pStyle w:val="Heading2"/>
      </w:pPr>
      <w:r>
        <w:t xml:space="preserve">1.4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15</w:t>
      </w:r>
      <w:r>
        <w:t xml:space="preserve"> </w:t>
      </w:r>
      <w:r>
        <w:t xml:space="preserve">and 2019</w:t>
      </w:r>
      <w:r>
        <w:rPr>
          <w:vertAlign w:val="superscript"/>
        </w:rPr>
        <w:t xml:space="preserve">16</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67" w:name="diagnosis"/>
    <w:p>
      <w:pPr>
        <w:pStyle w:val="Heading3"/>
      </w:pPr>
      <w:r>
        <w:t xml:space="preserve">1.4.1 Diagnosis</w:t>
      </w:r>
    </w:p>
    <w:bookmarkStart w:id="65" w:name="overall-3"/>
    <w:p>
      <w:pPr>
        <w:pStyle w:val="Heading4"/>
      </w:pPr>
      <w:r>
        <w:t xml:space="preserve">Overall</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bookmarkEnd w:id="65"/>
    <w:bookmarkStart w:id="66" w:name="in-migrants-3"/>
    <w:p>
      <w:pPr>
        <w:pStyle w:val="Heading4"/>
      </w:pPr>
      <w:r>
        <w:t xml:space="preserve">In migrants</w:t>
      </w:r>
    </w:p>
    <w:p>
      <w:pPr>
        <w:pStyle w:val="FirstParagraph"/>
      </w:pPr>
      <w:r>
        <w:t xml:space="preserve">Migrant origin is mentioned as a risk factor of T2D, and guidelines recommend increased HbA1c screening in certain migrant groups.</w:t>
      </w:r>
    </w:p>
    <w:bookmarkEnd w:id="66"/>
    <w:bookmarkEnd w:id="67"/>
    <w:bookmarkStart w:id="70" w:name="monitoring-1"/>
    <w:p>
      <w:pPr>
        <w:pStyle w:val="Heading3"/>
      </w:pPr>
      <w:r>
        <w:t xml:space="preserve">1.4.2 Monitoring</w:t>
      </w:r>
    </w:p>
    <w:bookmarkStart w:id="68" w:name="overall-4"/>
    <w:p>
      <w:pPr>
        <w:pStyle w:val="Heading4"/>
      </w:pPr>
      <w:r>
        <w:t xml:space="preserve">Overall</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bookmarkEnd w:id="68"/>
    <w:bookmarkStart w:id="69" w:name="in-migrants-4"/>
    <w:p>
      <w:pPr>
        <w:pStyle w:val="Heading4"/>
      </w:pPr>
      <w:r>
        <w:t xml:space="preserve">In migrants</w:t>
      </w:r>
    </w:p>
    <w:p>
      <w:pPr>
        <w:pStyle w:val="FirstParagraph"/>
      </w:pPr>
      <w:r>
        <w:t xml:space="preserve">Guidelines provide no specific recommendations on monitoring in migrants.</w:t>
      </w:r>
    </w:p>
    <w:bookmarkEnd w:id="69"/>
    <w:bookmarkEnd w:id="70"/>
    <w:bookmarkStart w:id="73" w:name="biomarker-levels"/>
    <w:p>
      <w:pPr>
        <w:pStyle w:val="Heading3"/>
      </w:pPr>
      <w:r>
        <w:t xml:space="preserve">1.4.3 Biomarker levels</w:t>
      </w:r>
    </w:p>
    <w:bookmarkStart w:id="71" w:name="overall-5"/>
    <w:p>
      <w:pPr>
        <w:pStyle w:val="Heading4"/>
      </w:pPr>
      <w:r>
        <w:t xml:space="preserve">Overall</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bookmarkEnd w:id="71"/>
    <w:bookmarkStart w:id="72" w:name="in-migrants-5"/>
    <w:p>
      <w:pPr>
        <w:pStyle w:val="Heading4"/>
      </w:pPr>
      <w:r>
        <w:t xml:space="preserve">In migrants</w:t>
      </w:r>
    </w:p>
    <w:p>
      <w:pPr>
        <w:pStyle w:val="FirstParagraph"/>
      </w:pPr>
      <w:r>
        <w:t xml:space="preserve">Guidelines provide no specific recommendations on HbA1c or LDL-C targets in migrants.</w:t>
      </w:r>
    </w:p>
    <w:bookmarkEnd w:id="72"/>
    <w:bookmarkEnd w:id="73"/>
    <w:bookmarkStart w:id="80" w:name="pharmacological-treatment-1"/>
    <w:p>
      <w:pPr>
        <w:pStyle w:val="Heading3"/>
      </w:pPr>
      <w:r>
        <w:t xml:space="preserve">1.4.4 Pharmacological treatment</w:t>
      </w:r>
    </w:p>
    <w:bookmarkStart w:id="74" w:name="overall-6"/>
    <w:p>
      <w:pPr>
        <w:pStyle w:val="Heading4"/>
      </w:pPr>
      <w:r>
        <w:t xml:space="preserve">Overall</w:t>
      </w:r>
    </w:p>
    <w:bookmarkEnd w:id="74"/>
    <w:bookmarkStart w:id="75"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75"/>
    <w:bookmarkStart w:id="76"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76"/>
    <w:bookmarkStart w:id="77"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77"/>
    <w:bookmarkStart w:id="78"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bookmarkEnd w:id="78"/>
    <w:bookmarkStart w:id="79" w:name="in-migrants-6"/>
    <w:p>
      <w:pPr>
        <w:pStyle w:val="Heading4"/>
      </w:pPr>
      <w:r>
        <w:t xml:space="preserve">In migrants</w:t>
      </w:r>
    </w:p>
    <w:p>
      <w:pPr>
        <w:pStyle w:val="FirstParagraph"/>
      </w:pPr>
      <w:r>
        <w:t xml:space="preserve">Guidelines provide no specific recommendations on any aspect of pharmacological treatment in migrants.</w:t>
      </w:r>
    </w:p>
    <w:bookmarkEnd w:id="79"/>
    <w:bookmarkEnd w:id="80"/>
    <w:bookmarkEnd w:id="81"/>
    <w:bookmarkStart w:id="85" w:name="Xf7badec02c2ad1ff37b02ca9df251f621eb0df1"/>
    <w:p>
      <w:pPr>
        <w:pStyle w:val="Heading2"/>
      </w:pPr>
      <w:r>
        <w:t xml:space="preserve">1.5 Identification of type 2 diabetes cases in healthcare registers</w:t>
      </w:r>
    </w:p>
    <w:bookmarkStart w:id="82" w:name="benefits"/>
    <w:p>
      <w:pPr>
        <w:pStyle w:val="Heading3"/>
      </w:pPr>
      <w:r>
        <w:t xml:space="preserve">1.5.1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82"/>
    <w:bookmarkStart w:id="83" w:name="challenges"/>
    <w:p>
      <w:pPr>
        <w:pStyle w:val="Heading3"/>
      </w:pPr>
      <w:r>
        <w:t xml:space="preserve">1.5.2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83"/>
    <w:bookmarkStart w:id="84" w:name="register-based-diabetes-classifiers"/>
    <w:p>
      <w:pPr>
        <w:pStyle w:val="Heading3"/>
      </w:pPr>
      <w:r>
        <w:t xml:space="preserve">1.5.3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84"/>
    <w:bookmarkEnd w:id="85"/>
    <w:bookmarkStart w:id="86"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86"/>
    <w:bookmarkEnd w:id="87"/>
    <w:bookmarkStart w:id="90" w:name="aims"/>
    <w:p>
      <w:pPr>
        <w:pStyle w:val="Heading1"/>
      </w:pPr>
      <w:r>
        <w:t xml:space="preserve">2. Aims</w:t>
      </w:r>
    </w:p>
    <w:bookmarkStart w:id="88"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88"/>
    <w:bookmarkStart w:id="89" w:name="specific-aims"/>
    <w:p>
      <w:pPr>
        <w:pStyle w:val="Heading2"/>
      </w:pPr>
      <w:r>
        <w:t xml:space="preserve">2.2 Specific aims</w:t>
      </w:r>
    </w:p>
    <w:p>
      <w:pPr>
        <w:numPr>
          <w:ilvl w:val="0"/>
          <w:numId w:val="1006"/>
        </w:numPr>
      </w:pPr>
      <w:r>
        <w:t xml:space="preserve">Develop a register-based classification of type 1 and type 2 diabetes and make it available to other researchers.</w:t>
      </w:r>
    </w:p>
    <w:p>
      <w:pPr>
        <w:numPr>
          <w:ilvl w:val="0"/>
          <w:numId w:val="1006"/>
        </w:numPr>
      </w:pPr>
      <w:r>
        <w:t xml:space="preserve">Validate register-based diabetes classifiers available to researchers in Denmark.</w:t>
      </w:r>
    </w:p>
    <w:p>
      <w:pPr>
        <w:numPr>
          <w:ilvl w:val="0"/>
          <w:numId w:val="1006"/>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6"/>
        </w:numPr>
      </w:pPr>
      <w:r>
        <w:t xml:space="preserve">Evaluate disparities in the quality of glucose-lowering pharmacological treatment between migrants and native Danes in terms of combination therapy and drug types.</w:t>
      </w:r>
    </w:p>
    <w:bookmarkEnd w:id="89"/>
    <w:bookmarkEnd w:id="90"/>
    <w:bookmarkStart w:id="122" w:name="material-and-methods"/>
    <w:p>
      <w:pPr>
        <w:pStyle w:val="Heading1"/>
      </w:pPr>
      <w:r>
        <w:t xml:space="preserve">3. Material and methods</w:t>
      </w:r>
    </w:p>
    <w:bookmarkStart w:id="92" w:name="setting"/>
    <w:p>
      <w:pPr>
        <w:pStyle w:val="Heading2"/>
      </w:pPr>
      <w:r>
        <w:t xml:space="preserve">3.1 Setting</w:t>
      </w:r>
    </w:p>
    <w:bookmarkStart w:id="91" w:name="the-danish-healthcare-system"/>
    <w:p>
      <w:pPr>
        <w:pStyle w:val="Heading3"/>
      </w:pPr>
      <w:r>
        <w:t xml:space="preserve">3.1.1 The Danish healthcare system</w:t>
      </w:r>
    </w:p>
    <w:p>
      <w:pPr>
        <w:pStyle w:val="FirstParagraph"/>
      </w:pPr>
      <w:r>
        <w:rPr>
          <w:iCs/>
          <w:i/>
        </w:rPr>
        <w:t xml:space="preserve">[Describe the danish public healthcare system: sectors, actors, reimbursement and patient-incurred costs.]</w:t>
      </w:r>
    </w:p>
    <w:p>
      <w:pPr>
        <w:pStyle w:val="BodyText"/>
      </w:pPr>
      <w:r>
        <w:t xml:space="preserve">Denmark has a population of approximately 5.8 million residents (2019 numbers), of whom 600.000 (10%) are migrants, and 1 million (18%) are aged 66 years and older.</w:t>
      </w:r>
      <w:r>
        <w:rPr>
          <w:vertAlign w:val="superscript"/>
        </w:rPr>
        <w:t xml:space="preserve">2</w:t>
      </w:r>
      <w:r>
        <w:t xml:space="preserve"> </w:t>
      </w:r>
      <w:r>
        <w:t xml:space="preserve">The country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the tax-funded Danish public healthcare system, services are provided to citizens and migrants with residence permits free of charge, although T2D patients incur some out-of-pocket copayments for podiatrist care and prescription drug purchases at pharmacies. Patients with T2D are primarily treated at the GP, which native Danes and migrants with residence permits have free access to.</w:t>
      </w:r>
    </w:p>
    <w:p>
      <w:pPr>
        <w:pStyle w:val="BodyText"/>
      </w:pPr>
      <w:r>
        <w:t xml:space="preserve">Contrast age migrants and native Danes (pyramid-site)</w:t>
      </w:r>
    </w:p>
    <w:bookmarkEnd w:id="91"/>
    <w:bookmarkEnd w:id="92"/>
    <w:bookmarkStart w:id="99" w:name="data-sources"/>
    <w:p>
      <w:pPr>
        <w:pStyle w:val="Heading2"/>
      </w:pPr>
      <w:r>
        <w:t xml:space="preserve">3.2 Data sources</w:t>
      </w:r>
    </w:p>
    <w:p>
      <w:pPr>
        <w:pStyle w:val="FirstParagraph"/>
      </w:pPr>
      <w:r>
        <w:t xml:space="preserve">Describe the overall CPR number system and acquisition and how it related to civil registration, healthcare contacts and prescription drug use, and how it allows linkage of the data sources.</w:t>
      </w:r>
    </w:p>
    <w:bookmarkStart w:id="93" w:name="the-danish-civil-registration-system"/>
    <w:p>
      <w:pPr>
        <w:pStyle w:val="Heading3"/>
      </w:pPr>
      <w:r>
        <w:t xml:space="preserve">3.2.1 The Danish Civil Registration System</w:t>
      </w:r>
    </w:p>
    <w:p>
      <w:pPr>
        <w:pStyle w:val="FirstParagraph"/>
      </w:pPr>
      <w:r>
        <w:t xml:space="preserve">CRS ref</w:t>
      </w:r>
    </w:p>
    <w:bookmarkEnd w:id="93"/>
    <w:bookmarkStart w:id="94"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94"/>
    <w:bookmarkStart w:id="95" w:name="X3af9b7ed1d5e0ff0cd6d4bfe5d0d681376b15e6"/>
    <w:p>
      <w:pPr>
        <w:pStyle w:val="Heading3"/>
      </w:pPr>
      <w:r>
        <w:t xml:space="preserve">3.2.3 The Danish National Health Service Register</w:t>
      </w:r>
    </w:p>
    <w:p>
      <w:pPr>
        <w:pStyle w:val="FirstParagraph"/>
      </w:pPr>
      <w:r>
        <w:t xml:space="preserve">NHSR ref</w:t>
      </w:r>
    </w:p>
    <w:bookmarkEnd w:id="95"/>
    <w:bookmarkStart w:id="96" w:name="Xf0a2e503b1a86ac13ab9589644b273bc93749c8"/>
    <w:p>
      <w:pPr>
        <w:pStyle w:val="Heading3"/>
      </w:pPr>
      <w:r>
        <w:t xml:space="preserve">3.2.4 The Danish National Prescription Registry</w:t>
      </w:r>
    </w:p>
    <w:p>
      <w:pPr>
        <w:pStyle w:val="FirstParagraph"/>
      </w:pPr>
      <w:r>
        <w:t xml:space="preserve">NPrR ref</w:t>
      </w:r>
    </w:p>
    <w:bookmarkEnd w:id="96"/>
    <w:bookmarkStart w:id="97"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97"/>
    <w:bookmarkStart w:id="98"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98"/>
    <w:bookmarkEnd w:id="99"/>
    <w:bookmarkStart w:id="102"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100" w:name="the-open-source-diabetes-classifier"/>
    <w:p>
      <w:pPr>
        <w:pStyle w:val="Heading3"/>
      </w:pPr>
      <w:r>
        <w:t xml:space="preserve">3.3.1 The Open-Source Diabetes Classifier</w:t>
      </w:r>
    </w:p>
    <w:p>
      <w:pPr>
        <w:pStyle w:val="FirstParagraph"/>
      </w:pPr>
      <w:r>
        <w:rPr>
          <w:iCs/>
          <w:i/>
        </w:rPr>
        <w:t xml:space="preserve">[CP from validation paper]</w:t>
      </w:r>
    </w:p>
    <w:bookmarkEnd w:id="100"/>
    <w:bookmarkStart w:id="101"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101"/>
    <w:bookmarkEnd w:id="102"/>
    <w:bookmarkStart w:id="105" w:name="validation-questionnaire-data"/>
    <w:p>
      <w:pPr>
        <w:pStyle w:val="Heading2"/>
      </w:pPr>
      <w:r>
        <w:t xml:space="preserve">3.4 Validation Questionnaire data</w:t>
      </w:r>
    </w:p>
    <w:bookmarkStart w:id="103"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03"/>
    <w:bookmarkStart w:id="104"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04"/>
    <w:bookmarkEnd w:id="105"/>
    <w:bookmarkStart w:id="117"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09" w:name="study-populations"/>
    <w:p>
      <w:pPr>
        <w:pStyle w:val="Heading3"/>
      </w:pPr>
      <w:r>
        <w:t xml:space="preserve">3.5.1 Study populations</w:t>
      </w:r>
    </w:p>
    <w:bookmarkStart w:id="106"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06"/>
    <w:bookmarkStart w:id="107"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07"/>
    <w:bookmarkStart w:id="108" w:name="study-iii"/>
    <w:p>
      <w:pPr>
        <w:pStyle w:val="Heading4"/>
      </w:pPr>
      <w:r>
        <w:t xml:space="preserve">Study III</w:t>
      </w:r>
    </w:p>
    <w:p>
      <w:pPr>
        <w:pStyle w:val="FirstParagraph"/>
      </w:pPr>
      <w:r>
        <w:rPr>
          <w:iCs/>
          <w:i/>
        </w:rPr>
        <w:t xml:space="preserve">[Describe the study populations in study III]</w:t>
      </w:r>
    </w:p>
    <w:bookmarkEnd w:id="108"/>
    <w:bookmarkEnd w:id="109"/>
    <w:bookmarkStart w:id="114" w:name="outcomes"/>
    <w:p>
      <w:pPr>
        <w:pStyle w:val="Heading3"/>
      </w:pPr>
      <w:r>
        <w:t xml:space="preserve">3.5.2 Outcomes</w:t>
      </w:r>
    </w:p>
    <w:bookmarkStart w:id="110" w:name="study-i-1"/>
    <w:p>
      <w:pPr>
        <w:pStyle w:val="Heading4"/>
      </w:pPr>
      <w:r>
        <w:t xml:space="preserve">Study I</w:t>
      </w:r>
    </w:p>
    <w:p>
      <w:pPr>
        <w:pStyle w:val="FirstParagraph"/>
      </w:pPr>
      <w:r>
        <w:t xml:space="preserve">The validation outcomes</w:t>
      </w:r>
    </w:p>
    <w:bookmarkEnd w:id="110"/>
    <w:bookmarkStart w:id="111" w:name="study-ii-1"/>
    <w:p>
      <w:pPr>
        <w:pStyle w:val="Heading4"/>
      </w:pPr>
      <w:r>
        <w:t xml:space="preserve">Study II</w:t>
      </w:r>
    </w:p>
    <w:p>
      <w:pPr>
        <w:pStyle w:val="FirstParagraph"/>
      </w:pPr>
      <w:r>
        <w:t xml:space="preserve">Prevalence and the indicators of care quality</w:t>
      </w:r>
    </w:p>
    <w:bookmarkEnd w:id="111"/>
    <w:bookmarkStart w:id="112" w:name="study-iii-1"/>
    <w:p>
      <w:pPr>
        <w:pStyle w:val="Heading4"/>
      </w:pPr>
      <w:r>
        <w:t xml:space="preserve">Study III</w:t>
      </w:r>
    </w:p>
    <w:p>
      <w:pPr>
        <w:pStyle w:val="FirstParagraph"/>
      </w:pPr>
      <w:r>
        <w:rPr>
          <w:iCs/>
          <w:i/>
        </w:rPr>
        <w:t xml:space="preserve">Combinations therapy and individual drug types</w:t>
      </w:r>
    </w:p>
    <w:bookmarkEnd w:id="112"/>
    <w:bookmarkStart w:id="113" w:name="X0ac363f81297f25f6784c1716c992f920436232"/>
    <w:p>
      <w:pPr>
        <w:pStyle w:val="Heading4"/>
      </w:pPr>
      <w:r>
        <w:t xml:space="preserve">Timeline of all outcomes across the three studies</w:t>
      </w:r>
    </w:p>
    <w:p>
      <w:pPr>
        <w:pStyle w:val="FirstParagraph"/>
      </w:pPr>
      <w:r>
        <w:t xml:space="preserve">Make a figure.</w:t>
      </w:r>
    </w:p>
    <w:bookmarkEnd w:id="113"/>
    <w:bookmarkEnd w:id="114"/>
    <w:bookmarkStart w:id="115" w:name="Xc2981d17aee31a72614fb65c3ca405dc4137d16"/>
    <w:p>
      <w:pPr>
        <w:pStyle w:val="Heading3"/>
      </w:pPr>
      <w:r>
        <w:t xml:space="preserve">3.5.3 Primary variable of interest: migrant status</w:t>
      </w:r>
    </w:p>
    <w:p>
      <w:pPr>
        <w:pStyle w:val="FirstParagraph"/>
      </w:pPr>
      <w:r>
        <w:rPr>
          <w:iCs/>
          <w:i/>
        </w:rPr>
        <w:t xml:space="preserve">[CP from papers]</w:t>
      </w:r>
    </w:p>
    <w:bookmarkEnd w:id="115"/>
    <w:bookmarkStart w:id="116" w:name="other-explanatory-variables"/>
    <w:p>
      <w:pPr>
        <w:pStyle w:val="Heading3"/>
      </w:pPr>
      <w:r>
        <w:t xml:space="preserve">3.5.4 Other explanatory variables</w:t>
      </w:r>
    </w:p>
    <w:p>
      <w:pPr>
        <w:pStyle w:val="FirstParagraph"/>
      </w:pPr>
      <w:r>
        <w:rPr>
          <w:iCs/>
          <w:i/>
        </w:rPr>
        <w:t xml:space="preserve">[CP from papers]</w:t>
      </w:r>
    </w:p>
    <w:bookmarkEnd w:id="116"/>
    <w:bookmarkEnd w:id="117"/>
    <w:bookmarkStart w:id="120" w:name="statistical-analysis"/>
    <w:p>
      <w:pPr>
        <w:pStyle w:val="Heading2"/>
      </w:pPr>
      <w:r>
        <w:t xml:space="preserve">3.6 Statistical analysis</w:t>
      </w:r>
    </w:p>
    <w:bookmarkStart w:id="118" w:name="study-i-2"/>
    <w:p>
      <w:pPr>
        <w:pStyle w:val="Heading4"/>
      </w:pPr>
      <w:r>
        <w:t xml:space="preserve">Study I</w:t>
      </w:r>
    </w:p>
    <w:p>
      <w:pPr>
        <w:pStyle w:val="FirstParagraph"/>
      </w:pPr>
      <w:r>
        <w:t xml:space="preserve">Validation: Introduce sensitivity, PPV and other validation metrics.</w:t>
      </w:r>
    </w:p>
    <w:bookmarkEnd w:id="118"/>
    <w:bookmarkStart w:id="119" w:name="study-ii-iii"/>
    <w:p>
      <w:pPr>
        <w:pStyle w:val="Heading4"/>
      </w:pPr>
      <w:r>
        <w:t xml:space="preserve">Study II &amp; III</w:t>
      </w:r>
    </w:p>
    <w:p>
      <w:pPr>
        <w:pStyle w:val="FirstParagraph"/>
      </w:pPr>
      <w:r>
        <w:t xml:space="preserve">Robust poisson regression. Why we chose the models that we did.</w:t>
      </w:r>
    </w:p>
    <w:bookmarkEnd w:id="119"/>
    <w:bookmarkEnd w:id="120"/>
    <w:bookmarkStart w:id="121" w:name="ethics-and-approval"/>
    <w:p>
      <w:pPr>
        <w:pStyle w:val="Heading2"/>
      </w:pPr>
      <w:r>
        <w:t xml:space="preserve">3.7 Ethics and approval</w:t>
      </w:r>
    </w:p>
    <w:bookmarkEnd w:id="121"/>
    <w:bookmarkEnd w:id="122"/>
    <w:bookmarkStart w:id="135" w:name="results-in-summary"/>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25" w:name="study-i-3"/>
    <w:p>
      <w:pPr>
        <w:pStyle w:val="Heading2"/>
      </w:pPr>
      <w:r>
        <w:t xml:space="preserve">4.1 Study I</w:t>
      </w:r>
    </w:p>
    <w:p>
      <w:pPr>
        <w:pStyle w:val="FirstParagraph"/>
      </w:pPr>
      <w:r>
        <w:t xml:space="preserve">In this study, we identified… Number of participants, diabetes cases etc.</w:t>
      </w:r>
    </w:p>
    <w:bookmarkStart w:id="123" w:name="X2c4e00cb79465be4bd897971c25c5940539d1ce"/>
    <w:p>
      <w:pPr>
        <w:pStyle w:val="Heading3"/>
      </w:pPr>
      <w:r>
        <w:t xml:space="preserve">4.1.1 Register-based classification of type 1 diabetes</w:t>
      </w:r>
    </w:p>
    <w:p>
      <w:pPr>
        <w:pStyle w:val="FirstParagraph"/>
      </w:pPr>
      <w:r>
        <w:t xml:space="preserve">metrics</w:t>
      </w:r>
    </w:p>
    <w:bookmarkEnd w:id="123"/>
    <w:bookmarkStart w:id="124" w:name="Xcc3df92730082084de86bcf0131099cbf46b566"/>
    <w:p>
      <w:pPr>
        <w:pStyle w:val="Heading3"/>
      </w:pPr>
      <w:r>
        <w:t xml:space="preserve">4.1.2 Register-based classification of type 2 diabetes</w:t>
      </w:r>
    </w:p>
    <w:p>
      <w:pPr>
        <w:pStyle w:val="FirstParagraph"/>
      </w:pPr>
      <w:r>
        <w:t xml:space="preserve">metrics</w:t>
      </w:r>
    </w:p>
    <w:bookmarkEnd w:id="124"/>
    <w:bookmarkEnd w:id="125"/>
    <w:bookmarkStart w:id="131" w:name="study-ii-2"/>
    <w:p>
      <w:pPr>
        <w:pStyle w:val="Heading2"/>
      </w:pPr>
      <w:r>
        <w:t xml:space="preserve">4.2 Study II</w:t>
      </w:r>
    </w:p>
    <w:p>
      <w:pPr>
        <w:pStyle w:val="FirstParagraph"/>
      </w:pPr>
      <w:r>
        <w:t xml:space="preserve">[Maybe for each outcome?] In this study, we identified… Number of participants, diabetes cases etc.</w:t>
      </w:r>
    </w:p>
    <w:bookmarkStart w:id="126" w:name="prevalence"/>
    <w:p>
      <w:pPr>
        <w:pStyle w:val="Heading3"/>
      </w:pPr>
      <w:r>
        <w:t xml:space="preserve">4.2.1 Prevalence</w:t>
      </w:r>
    </w:p>
    <w:bookmarkEnd w:id="126"/>
    <w:bookmarkStart w:id="127" w:name="monitoring-2"/>
    <w:p>
      <w:pPr>
        <w:pStyle w:val="Heading3"/>
      </w:pPr>
      <w:r>
        <w:t xml:space="preserve">4.2.2 Monitoring</w:t>
      </w:r>
    </w:p>
    <w:bookmarkEnd w:id="127"/>
    <w:bookmarkStart w:id="128" w:name="biomarker-control"/>
    <w:p>
      <w:pPr>
        <w:pStyle w:val="Heading3"/>
      </w:pPr>
      <w:r>
        <w:t xml:space="preserve">4.2.3 Biomarker control</w:t>
      </w:r>
    </w:p>
    <w:bookmarkEnd w:id="128"/>
    <w:bookmarkStart w:id="129" w:name="pharmacological-treatment-2"/>
    <w:p>
      <w:pPr>
        <w:pStyle w:val="Heading3"/>
      </w:pPr>
      <w:r>
        <w:t xml:space="preserve">4.2.4 Pharmacological treatment</w:t>
      </w:r>
    </w:p>
    <w:bookmarkEnd w:id="129"/>
    <w:bookmarkStart w:id="130" w:name="section"/>
    <w:p>
      <w:pPr>
        <w:pStyle w:val="Heading3"/>
      </w:pPr>
      <w:r>
        <w:t xml:space="preserve">4.2.5</w:t>
      </w:r>
      <w:r>
        <w:t xml:space="preserve"> </w:t>
      </w:r>
    </w:p>
    <w:bookmarkEnd w:id="130"/>
    <w:bookmarkEnd w:id="131"/>
    <w:bookmarkStart w:id="134" w:name="study-iii-2"/>
    <w:p>
      <w:pPr>
        <w:pStyle w:val="Heading2"/>
      </w:pPr>
      <w:r>
        <w:t xml:space="preserve">4.3 Study III</w:t>
      </w:r>
    </w:p>
    <w:p>
      <w:pPr>
        <w:pStyle w:val="FirstParagraph"/>
      </w:pPr>
      <w:r>
        <w:t xml:space="preserve">In this study, we identified… Number of participants, diabetes cases etc.</w:t>
      </w:r>
    </w:p>
    <w:bookmarkStart w:id="132" w:name="combination-therapy"/>
    <w:p>
      <w:pPr>
        <w:pStyle w:val="Heading3"/>
      </w:pPr>
      <w:r>
        <w:t xml:space="preserve">4.3.1 Combination therapy</w:t>
      </w:r>
    </w:p>
    <w:bookmarkEnd w:id="132"/>
    <w:bookmarkStart w:id="133" w:name="drug-types"/>
    <w:p>
      <w:pPr>
        <w:pStyle w:val="Heading3"/>
      </w:pPr>
      <w:r>
        <w:t xml:space="preserve">4.3.2 Drug types</w:t>
      </w:r>
    </w:p>
    <w:bookmarkEnd w:id="133"/>
    <w:bookmarkEnd w:id="134"/>
    <w:bookmarkEnd w:id="135"/>
    <w:bookmarkStart w:id="144" w:name="discussion-of-methods"/>
    <w:p>
      <w:pPr>
        <w:pStyle w:val="Heading1"/>
      </w:pPr>
      <w:r>
        <w:t xml:space="preserve">5. Discussion of methods</w:t>
      </w:r>
    </w:p>
    <w:bookmarkStart w:id="136" w:name="study-designs"/>
    <w:p>
      <w:pPr>
        <w:pStyle w:val="Heading2"/>
      </w:pPr>
      <w:r>
        <w:t xml:space="preserve">5.1 Study designs</w:t>
      </w:r>
    </w:p>
    <w:bookmarkEnd w:id="136"/>
    <w:bookmarkStart w:id="140" w:name="internal-validity"/>
    <w:p>
      <w:pPr>
        <w:pStyle w:val="Heading2"/>
      </w:pPr>
      <w:r>
        <w:t xml:space="preserve">5.2 Internal validity</w:t>
      </w:r>
    </w:p>
    <w:bookmarkStart w:id="137" w:name="selection-bias"/>
    <w:p>
      <w:pPr>
        <w:pStyle w:val="Heading3"/>
      </w:pPr>
      <w:r>
        <w:t xml:space="preserve">5.2.1 Selection bias</w:t>
      </w:r>
    </w:p>
    <w:bookmarkEnd w:id="137"/>
    <w:bookmarkStart w:id="138"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38"/>
    <w:bookmarkStart w:id="139" w:name="confounding"/>
    <w:p>
      <w:pPr>
        <w:pStyle w:val="Heading3"/>
      </w:pPr>
      <w:r>
        <w:t xml:space="preserve">5.2.3 Confounding</w:t>
      </w:r>
    </w:p>
    <w:p>
      <w:pPr>
        <w:pStyle w:val="FirstParagraph"/>
      </w:pPr>
      <w:r>
        <w:t xml:space="preserve">Studies II and III mapped risks, not causal associations</w:t>
      </w:r>
    </w:p>
    <w:bookmarkEnd w:id="139"/>
    <w:bookmarkEnd w:id="140"/>
    <w:bookmarkStart w:id="142" w:name="external-validity"/>
    <w:p>
      <w:pPr>
        <w:pStyle w:val="Heading2"/>
      </w:pPr>
      <w:r>
        <w:t xml:space="preserve">5.3 External validity</w:t>
      </w:r>
    </w:p>
    <w:bookmarkStart w:id="141"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41"/>
    <w:bookmarkEnd w:id="142"/>
    <w:bookmarkStart w:id="143"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43"/>
    <w:bookmarkEnd w:id="144"/>
    <w:bookmarkStart w:id="149" w:name="discussion-of-results"/>
    <w:p>
      <w:pPr>
        <w:pStyle w:val="Heading1"/>
      </w:pPr>
      <w:r>
        <w:t xml:space="preserve">6. Discussion of results</w:t>
      </w:r>
    </w:p>
    <w:bookmarkStart w:id="148"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45" w:name="study-i-4"/>
    <w:p>
      <w:pPr>
        <w:pStyle w:val="Heading3"/>
      </w:pPr>
      <w:r>
        <w:t xml:space="preserve">6.1.1 Study I</w:t>
      </w:r>
    </w:p>
    <w:p>
      <w:pPr>
        <w:pStyle w:val="FirstParagraph"/>
      </w:pPr>
      <w:r>
        <w:rPr>
          <w:iCs/>
          <w:i/>
        </w:rPr>
        <w:t xml:space="preserve">[probably mostly CP from paper?]</w:t>
      </w:r>
    </w:p>
    <w:bookmarkEnd w:id="145"/>
    <w:bookmarkStart w:id="146" w:name="study-ii-3"/>
    <w:p>
      <w:pPr>
        <w:pStyle w:val="Heading3"/>
      </w:pPr>
      <w:r>
        <w:t xml:space="preserve">6.1.2 Study II</w:t>
      </w:r>
    </w:p>
    <w:p>
      <w:pPr>
        <w:pStyle w:val="FirstParagraph"/>
      </w:pPr>
      <w:r>
        <w:rPr>
          <w:iCs/>
          <w:i/>
        </w:rPr>
        <w:t xml:space="preserve">[probably mostly CP from paper?]</w:t>
      </w:r>
    </w:p>
    <w:bookmarkEnd w:id="146"/>
    <w:bookmarkStart w:id="147" w:name="study-iii-3"/>
    <w:p>
      <w:pPr>
        <w:pStyle w:val="Heading3"/>
      </w:pPr>
      <w:r>
        <w:t xml:space="preserve">6.1.3 Study III</w:t>
      </w:r>
    </w:p>
    <w:p>
      <w:pPr>
        <w:pStyle w:val="FirstParagraph"/>
      </w:pPr>
      <w:r>
        <w:rPr>
          <w:iCs/>
          <w:i/>
        </w:rPr>
        <w:t xml:space="preserve">[probably mostly CP from paper?]</w:t>
      </w:r>
    </w:p>
    <w:bookmarkEnd w:id="147"/>
    <w:bookmarkEnd w:id="148"/>
    <w:bookmarkEnd w:id="149"/>
    <w:bookmarkStart w:id="152" w:name="conclusions-and-implications"/>
    <w:p>
      <w:pPr>
        <w:pStyle w:val="Heading1"/>
      </w:pPr>
      <w:r>
        <w:t xml:space="preserve">7. Conclusions and implications</w:t>
      </w:r>
    </w:p>
    <w:bookmarkStart w:id="150" w:name="main-conclusions"/>
    <w:p>
      <w:pPr>
        <w:pStyle w:val="Heading2"/>
      </w:pPr>
      <w:r>
        <w:t xml:space="preserve">7.1 Main conclusions</w:t>
      </w:r>
    </w:p>
    <w:p>
      <w:pPr>
        <w:pStyle w:val="FirstParagraph"/>
      </w:pPr>
      <w:r>
        <w:rPr>
          <w:iCs/>
          <w:i/>
        </w:rPr>
        <w:t xml:space="preserve">[probably mostly CP from papers]</w:t>
      </w:r>
    </w:p>
    <w:bookmarkEnd w:id="150"/>
    <w:bookmarkStart w:id="151"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51"/>
    <w:bookmarkEnd w:id="152"/>
    <w:bookmarkStart w:id="155" w:name="perspectives-and-future-research"/>
    <w:p>
      <w:pPr>
        <w:pStyle w:val="Heading1"/>
      </w:pPr>
      <w:r>
        <w:t xml:space="preserve">8. Perspectives and future research</w:t>
      </w:r>
    </w:p>
    <w:bookmarkStart w:id="153"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53"/>
    <w:bookmarkStart w:id="154"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54"/>
    <w:bookmarkEnd w:id="155"/>
    <w:bookmarkStart w:id="189" w:name="references"/>
    <w:p>
      <w:pPr>
        <w:pStyle w:val="Heading1"/>
      </w:pPr>
      <w:r>
        <w:t xml:space="preserve">References</w:t>
      </w:r>
    </w:p>
    <w:bookmarkStart w:id="188" w:name="refs"/>
    <w:bookmarkStart w:id="157"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56">
        <w:r>
          <w:rPr>
            <w:rStyle w:val="Hyperlink"/>
          </w:rPr>
          <w:t xml:space="preserve">https://www.sciencedirect.com/science/article/pii/S0168822721004782</w:t>
        </w:r>
      </w:hyperlink>
    </w:p>
    <w:bookmarkEnd w:id="157"/>
    <w:bookmarkStart w:id="159"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[Danish]</w:t>
      </w:r>
      <w:r>
        <w:t xml:space="preserve"> </w:t>
      </w:r>
      <w:r>
        <w:t xml:space="preserve">[Internet]. {2019-2039; last accessed on 7 Feb 2023};Available from:</w:t>
      </w:r>
      <w:r>
        <w:t xml:space="preserve"> </w:t>
      </w:r>
      <w:hyperlink r:id="rId158">
        <w:r>
          <w:rPr>
            <w:rStyle w:val="Hyperlink"/>
          </w:rPr>
          <w:t xml:space="preserve">https://extranet.dst.dk/pyramide/pyramide.htm#!y=2039&amp;o=2019&amp;c=4</w:t>
        </w:r>
      </w:hyperlink>
    </w:p>
    <w:bookmarkEnd w:id="159"/>
    <w:bookmarkStart w:id="161"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60">
        <w:r>
          <w:rPr>
            <w:rStyle w:val="Hyperlink"/>
          </w:rPr>
          <w:t xml:space="preserve">https://www.ajtmh.org/view/journals/tpmd/105/6/article-p1453.xml</w:t>
        </w:r>
      </w:hyperlink>
    </w:p>
    <w:bookmarkEnd w:id="161"/>
    <w:bookmarkStart w:id="163"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62">
        <w:r>
          <w:rPr>
            <w:rStyle w:val="Hyperlink"/>
          </w:rPr>
          <w:t xml:space="preserve">https://www.unhcr.org/en-us/news/latest/2016/3/56e95c676/refugees-migrants-frequently-asked-questions-faqs.html</w:t>
        </w:r>
      </w:hyperlink>
    </w:p>
    <w:bookmarkEnd w:id="163"/>
    <w:bookmarkStart w:id="165"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164">
        <w:r>
          <w:rPr>
            <w:rStyle w:val="Hyperlink"/>
          </w:rPr>
          <w:t xml:space="preserve">https://home-affairs.ec.europa.eu/policies/migration-and-asylum/common-european-asylum-system/country-responsible-asylum-application-dublin-regulation_en</w:t>
        </w:r>
      </w:hyperlink>
    </w:p>
    <w:bookmarkEnd w:id="165"/>
    <w:bookmarkStart w:id="167"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166">
        <w:r>
          <w:rPr>
            <w:rStyle w:val="Hyperlink"/>
          </w:rPr>
          <w:t xml:space="preserve">https://nyidanmark.dk/uk-UA/You-want-to-apply/Family</w:t>
        </w:r>
      </w:hyperlink>
    </w:p>
    <w:bookmarkEnd w:id="167"/>
    <w:bookmarkStart w:id="169"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168">
        <w:r>
          <w:rPr>
            <w:rStyle w:val="Hyperlink"/>
          </w:rPr>
          <w:t xml:space="preserve">https://nyidanmark.dk/uk-UA/You-want-to-apply/Work</w:t>
        </w:r>
      </w:hyperlink>
    </w:p>
    <w:bookmarkEnd w:id="169"/>
    <w:bookmarkStart w:id="171"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170">
        <w:r>
          <w:rPr>
            <w:rStyle w:val="Hyperlink"/>
          </w:rPr>
          <w:t xml:space="preserve">https://nyidanmark.dk/uk-UA/You-want-to-apply/Study</w:t>
        </w:r>
      </w:hyperlink>
    </w:p>
    <w:bookmarkEnd w:id="171"/>
    <w:bookmarkStart w:id="173"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172">
        <w:r>
          <w:rPr>
            <w:rStyle w:val="Hyperlink"/>
          </w:rPr>
          <w:t xml:space="preserve">https://nyidanmark.dk/uk-UA/You-want-to-apply/Residence-as-a-Nordic-citizen-or-EU-or-EEA-citizen/Nordic-citizens</w:t>
        </w:r>
      </w:hyperlink>
    </w:p>
    <w:bookmarkEnd w:id="173"/>
    <w:bookmarkStart w:id="175" w:name="ref-migrantsdenmark2019"/>
    <w:p>
      <w:pPr>
        <w:pStyle w:val="Bibliography"/>
      </w:pPr>
      <w:r>
        <w:t xml:space="preserve">10.</w:t>
      </w:r>
      <w:r>
        <w:t xml:space="preserve"> </w:t>
      </w:r>
      <w:r>
        <w:t xml:space="preserve">	</w:t>
      </w:r>
      <w:r>
        <w:t xml:space="preserve">Danmarks Statistik [Danish: Statistics Denmark].</w:t>
      </w:r>
      <w:r>
        <w:t xml:space="preserve"> </w:t>
      </w:r>
      <w:r>
        <w:t xml:space="preserve">‘Indvandrere i Danmark 2019 [Danish: Immigrants in Denmark 2019]</w:t>
      </w:r>
      <w:r>
        <w:t xml:space="preserve"> </w:t>
      </w:r>
      <w:r>
        <w:t xml:space="preserve">[Internet]. {2019; last accessed on 7 Feb 2023};Available from:</w:t>
      </w:r>
      <w:r>
        <w:t xml:space="preserve"> </w:t>
      </w:r>
      <w:hyperlink r:id="rId174">
        <w:r>
          <w:rPr>
            <w:rStyle w:val="Hyperlink"/>
          </w:rPr>
          <w:t xml:space="preserve">https://www.dst.dk/Site/Dst/Udgivelser/GetPubFile.aspx?id=29446&amp;sid=indv2019</w:t>
        </w:r>
      </w:hyperlink>
    </w:p>
    <w:bookmarkEnd w:id="175"/>
    <w:bookmarkStart w:id="177" w:name="ref-eventsabroad"/>
    <w:p>
      <w:pPr>
        <w:pStyle w:val="Bibliography"/>
      </w:pPr>
      <w:r>
        <w:t xml:space="preserve">11.</w:t>
      </w:r>
      <w:r>
        <w:t xml:space="preserve"> </w:t>
      </w:r>
      <w:r>
        <w:t xml:space="preserve">	</w:t>
      </w:r>
      <w:r>
        <w:t xml:space="preserve">Indenrigs- og Boligministeriet [Danish: Ministry of the Interior and Housing].</w:t>
      </w:r>
      <w:r>
        <w:t xml:space="preserve"> </w:t>
      </w:r>
      <w:r>
        <w:t xml:space="preserve">‘Vejledning om folkeregistrering, bilag 1: Registrering af hændelser i udlandet [Danish: Civil registration guidelines, appendix 1: Registration of events abroad]</w:t>
      </w:r>
      <w:r>
        <w:t xml:space="preserve"> </w:t>
      </w:r>
      <w:r>
        <w:t xml:space="preserve">[Internet]. {2013; last accessed on 7 Feb 2023};Available from:</w:t>
      </w:r>
      <w:r>
        <w:t xml:space="preserve"> </w:t>
      </w:r>
      <w:hyperlink r:id="rId176">
        <w:r>
          <w:rPr>
            <w:rStyle w:val="Hyperlink"/>
          </w:rPr>
          <w:t xml:space="preserve">https://www.retsinformation.dk/eli/retsinfo/2013/9273#Bil1</w:t>
        </w:r>
      </w:hyperlink>
    </w:p>
    <w:bookmarkEnd w:id="177"/>
    <w:bookmarkStart w:id="179" w:name="ref-educationmigrants"/>
    <w:p>
      <w:pPr>
        <w:pStyle w:val="Bibliography"/>
      </w:pPr>
      <w:r>
        <w:t xml:space="preserve">12.</w:t>
      </w:r>
      <w:r>
        <w:t xml:space="preserve"> </w:t>
      </w:r>
      <w:r>
        <w:t xml:space="preserve">	</w:t>
      </w:r>
      <w:r>
        <w:t xml:space="preserve">Danmarks Statistik [Danish: Statistics Denmark].</w:t>
      </w:r>
      <w:r>
        <w:t xml:space="preserve"> </w:t>
      </w:r>
      <w:r>
        <w:t xml:space="preserve">‘Indvandrernes medbragte uddannelse [Danish: Education carried by immigrants]</w:t>
      </w:r>
      <w:r>
        <w:t xml:space="preserve"> </w:t>
      </w:r>
      <w:r>
        <w:t xml:space="preserve">[Internet]. {2020; last accessed on 7 Feb 2023};Available from:</w:t>
      </w:r>
      <w:hyperlink r:id="rId178">
        <w:r>
          <w:rPr>
            <w:rStyle w:val="Hyperlink"/>
          </w:rPr>
          <w:t xml:space="preserve"> </w:t>
        </w:r>
        <w:r>
          <w:rPr>
            <w:rStyle w:val="Hyperlink"/>
          </w:rPr>
          <w:t xml:space="preserve">https://www.dst.dk/Site/Dst/SingleFiles/GetArchiveFile.aspx?fi=formid&amp;fo=medbragt-udd--pdf&amp;ext={2}</w:t>
        </w:r>
      </w:hyperlink>
    </w:p>
    <w:bookmarkEnd w:id="179"/>
    <w:bookmarkStart w:id="181" w:name="ref-haller2011arb"/>
    <w:p>
      <w:pPr>
        <w:pStyle w:val="Bibliography"/>
      </w:pPr>
      <w:r>
        <w:t xml:space="preserve">13.</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180">
        <w:r>
          <w:rPr>
            <w:rStyle w:val="Hyperlink"/>
          </w:rPr>
          <w:t xml:space="preserve">https://doi.org/10.1056/NEJMoa1007994</w:t>
        </w:r>
      </w:hyperlink>
    </w:p>
    <w:bookmarkEnd w:id="181"/>
    <w:bookmarkStart w:id="183" w:name="ref-zoungas2011advance"/>
    <w:p>
      <w:pPr>
        <w:pStyle w:val="Bibliography"/>
      </w:pPr>
      <w:r>
        <w:t xml:space="preserve">14.</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182">
        <w:r>
          <w:rPr>
            <w:rStyle w:val="Hyperlink"/>
          </w:rPr>
          <w:t xml:space="preserve">https://doi.org/10.2337/dc09-0959</w:t>
        </w:r>
      </w:hyperlink>
    </w:p>
    <w:bookmarkEnd w:id="183"/>
    <w:bookmarkStart w:id="185" w:name="ref-dsam2012"/>
    <w:p>
      <w:pPr>
        <w:pStyle w:val="Bibliography"/>
      </w:pPr>
      <w:r>
        <w:t xml:space="preserve">15.</w:t>
      </w:r>
      <w:r>
        <w:t xml:space="preserve"> </w:t>
      </w:r>
      <w:r>
        <w:t xml:space="preserve">	</w:t>
      </w:r>
      <w:r>
        <w:t xml:space="preserve">The Danish College of General Practitioners [Dansk Selskab for Almen Medicin].</w:t>
      </w:r>
      <w:r>
        <w:t xml:space="preserve"> </w:t>
      </w:r>
      <w:r>
        <w:t xml:space="preserve">Type 2-diabetes - et metabolisk syndrom [Danish]</w:t>
      </w:r>
      <w:r>
        <w:t xml:space="preserve"> </w:t>
      </w:r>
      <w:r>
        <w:t xml:space="preserve">[Internet]. {2012; last accessed on 7 Feb 2023};Available from:</w:t>
      </w:r>
      <w:r>
        <w:t xml:space="preserve"> </w:t>
      </w:r>
      <w:hyperlink r:id="rId184">
        <w:r>
          <w:rPr>
            <w:rStyle w:val="Hyperlink"/>
          </w:rPr>
          <w:t xml:space="preserve">https://vejledninger.dsam.dk/media/files/20/type-2-diabetes-2012-med-links.pdf</w:t>
        </w:r>
      </w:hyperlink>
    </w:p>
    <w:bookmarkEnd w:id="185"/>
    <w:bookmarkStart w:id="187" w:name="ref-dsam2019"/>
    <w:p>
      <w:pPr>
        <w:pStyle w:val="Bibliography"/>
      </w:pPr>
      <w:r>
        <w:t xml:space="preserve">16.</w:t>
      </w:r>
      <w:r>
        <w:t xml:space="preserve"> </w:t>
      </w:r>
      <w:r>
        <w:t xml:space="preserve">	</w:t>
      </w:r>
      <w:r>
        <w:t xml:space="preserve">The Danish College of General Practitioners [Dansk Selskab for Almen Medicin].</w:t>
      </w:r>
      <w:r>
        <w:t xml:space="preserve"> </w:t>
      </w:r>
      <w:r>
        <w:t xml:space="preserve">Type 2-diabetes - opfølgning og behandling [Danish]</w:t>
      </w:r>
      <w:r>
        <w:t xml:space="preserve"> </w:t>
      </w:r>
      <w:r>
        <w:t xml:space="preserve">[Internet]. {2019; last accessed on 7 Feb 2023};Available from:</w:t>
      </w:r>
      <w:r>
        <w:t xml:space="preserve"> </w:t>
      </w:r>
      <w:hyperlink r:id="rId186">
        <w:r>
          <w:rPr>
            <w:rStyle w:val="Hyperlink"/>
          </w:rPr>
          <w:t xml:space="preserve">https://vejledninger.dsam.dk/type2/</w:t>
        </w:r>
      </w:hyperlink>
    </w:p>
    <w:bookmarkEnd w:id="187"/>
    <w:bookmarkEnd w:id="188"/>
    <w:bookmarkEnd w:id="189"/>
    <w:bookmarkStart w:id="190" w:name="english-summary"/>
    <w:p>
      <w:pPr>
        <w:pStyle w:val="Heading1"/>
      </w:pPr>
      <w:r>
        <w:t xml:space="preserve">English summary</w:t>
      </w:r>
    </w:p>
    <w:p>
      <w:pPr>
        <w:pStyle w:val="FirstParagraph"/>
      </w:pPr>
      <w:r>
        <w:t xml:space="preserve">This is what I spent three years on…</w:t>
      </w:r>
    </w:p>
    <w:bookmarkEnd w:id="190"/>
    <w:bookmarkStart w:id="191" w:name="dansk-resumé"/>
    <w:p>
      <w:pPr>
        <w:pStyle w:val="Heading1"/>
      </w:pPr>
      <w:r>
        <w:t xml:space="preserve">Dansk resumé</w:t>
      </w:r>
    </w:p>
    <w:p>
      <w:pPr>
        <w:pStyle w:val="FirstParagraph"/>
      </w:pPr>
      <w:r>
        <w:t xml:space="preserve">Det her brugte jeg tre år på…</w:t>
      </w:r>
    </w:p>
    <w:bookmarkEnd w:id="191"/>
    <w:bookmarkStart w:id="197" w:name="sec-supmat"/>
    <w:p>
      <w:pPr>
        <w:pStyle w:val="Heading1"/>
      </w:pPr>
      <w:r>
        <w:t xml:space="preserve">Appendix A — Supplementary material</w:t>
      </w:r>
    </w:p>
    <w:p>
      <w:pPr>
        <w:pStyle w:val="FirstParagraph"/>
      </w:pPr>
      <w:r>
        <w:t xml:space="preserve">Some results that wouldn’t fit into the main thesis</w:t>
      </w:r>
    </w:p>
    <w:bookmarkStart w:id="195" w:name="to-doquestions"/>
    <w:p>
      <w:pPr>
        <w:pStyle w:val="Heading2"/>
      </w:pPr>
      <w:r>
        <w:t xml:space="preserve">A.1 To do/Questions:</w:t>
      </w:r>
    </w:p>
    <w:p>
      <w:pPr>
        <w:pStyle w:val="FirstParagraph"/>
      </w:pPr>
      <w:r>
        <w:t xml:space="preserve">Introduction:</w:t>
      </w:r>
    </w:p>
    <w:p>
      <w:pPr>
        <w:pStyle w:val="BodyText"/>
      </w:pPr>
      <w:r>
        <w:t xml:space="preserve">Definition af migranter</w:t>
      </w:r>
    </w:p>
    <w:p>
      <w:pPr>
        <w:pStyle w:val="BodyText"/>
      </w:pPr>
      <w:r>
        <w:t xml:space="preserve">migrationer globalt: UNSD</w:t>
      </w:r>
    </w:p>
    <w:p>
      <w:pPr>
        <w:pStyle w:val="BodyText"/>
      </w:pPr>
      <w:r>
        <w:t xml:space="preserve">grupperne i Danmark</w:t>
      </w:r>
    </w:p>
    <w:p>
      <w:pPr>
        <w:pStyle w:val="BodyText"/>
      </w:pPr>
      <w:r>
        <w:t xml:space="preserve">hvad har drevet dem, og hvornår er de kommet</w:t>
      </w:r>
    </w:p>
    <w:p>
      <w:pPr>
        <w:pStyle w:val="BodyText"/>
      </w:pPr>
      <w:r>
        <w:t xml:space="preserve">Indvandrere vs. efterkommere</w:t>
      </w:r>
    </w:p>
    <w:p>
      <w:pPr>
        <w:pStyle w:val="BodyText"/>
      </w:pPr>
      <w:r>
        <w:t xml:space="preserve">DST fig. opholdsgrundlag vestlig + ikke-vestlig</w:t>
      </w:r>
    </w:p>
    <w:bookmarkStart w:id="192" w:name="clinical-guidelines"/>
    <w:p>
      <w:pPr>
        <w:pStyle w:val="Heading4"/>
      </w:pPr>
      <w:r>
        <w:t xml:space="preserve">Clinical guidelines:</w:t>
      </w:r>
    </w:p>
    <w:p>
      <w:pPr>
        <w:pStyle w:val="FirstParagraph"/>
      </w:pPr>
      <w:r>
        <w:t xml:space="preserve">Fjern underoverskrift om migrants</w:t>
      </w:r>
    </w:p>
    <w:p>
      <w:pPr>
        <w:pStyle w:val="BodyText"/>
      </w:pPr>
      <w:r>
        <w:t xml:space="preserve">Historisk udvikling/perspektiv</w:t>
      </w:r>
    </w:p>
    <w:p>
      <w:pPr>
        <w:pStyle w:val="BodyText"/>
      </w:pPr>
      <w:r>
        <w:t xml:space="preserve">Hvordan i udlandet?</w:t>
      </w:r>
    </w:p>
    <w:p>
      <w:pPr>
        <w:pStyle w:val="BodyText"/>
      </w:pPr>
      <w:r>
        <w:t xml:space="preserve">HbA1c øget? screening</w:t>
      </w:r>
    </w:p>
    <w:p>
      <w:pPr>
        <w:pStyle w:val="BodyText"/>
      </w:pPr>
      <w:r>
        <w:t xml:space="preserve">Noget om hæmoglobinopatier og gdm.</w:t>
      </w:r>
    </w:p>
    <w:p>
      <w:pPr>
        <w:pStyle w:val="BodyText"/>
      </w:pPr>
      <w:r>
        <w:t xml:space="preserve">Individuelle mål for monitorering osv.</w:t>
      </w:r>
    </w:p>
    <w:bookmarkEnd w:id="192"/>
    <w:bookmarkStart w:id="193" w:name="register-data"/>
    <w:p>
      <w:pPr>
        <w:pStyle w:val="Heading4"/>
      </w:pPr>
      <w:r>
        <w:t xml:space="preserve">Register-data</w:t>
      </w:r>
    </w:p>
    <w:p>
      <w:pPr>
        <w:pStyle w:val="FirstParagraph"/>
      </w:pPr>
      <w:r>
        <w:t xml:space="preserve">Værdien</w:t>
      </w:r>
    </w:p>
    <w:p>
      <w:pPr>
        <w:pStyle w:val="BodyText"/>
      </w:pPr>
      <w:r>
        <w:t xml:space="preserve">Hvem/Hvordan fås adgang og hvad får man adgang til.</w:t>
      </w:r>
    </w:p>
    <w:p>
      <w:pPr>
        <w:pStyle w:val="BodyText"/>
      </w:pPr>
      <w:r>
        <w:t xml:space="preserve">Aims:</w:t>
      </w:r>
    </w:p>
    <w:p>
      <w:pPr>
        <w:pStyle w:val="BodyText"/>
      </w:pPr>
      <w:r>
        <w:t xml:space="preserve">Tilføj hvordan aims udmøntes i papers I, II og III.</w:t>
      </w:r>
    </w:p>
    <w:bookmarkEnd w:id="193"/>
    <w:bookmarkStart w:id="194" w:name="old"/>
    <w:p>
      <w:pPr>
        <w:pStyle w:val="Heading4"/>
      </w:pPr>
      <w:r>
        <w:t xml:space="preserve">Old</w:t>
      </w:r>
    </w:p>
    <w:p>
      <w:pPr>
        <w:numPr>
          <w:ilvl w:val="0"/>
          <w:numId w:val="1007"/>
        </w:numPr>
      </w:pPr>
      <w:r>
        <w:t xml:space="preserve">Intro:</w:t>
      </w:r>
    </w:p>
    <w:p>
      <w:pPr>
        <w:numPr>
          <w:ilvl w:val="0"/>
          <w:numId w:val="1007"/>
        </w:numPr>
      </w:pPr>
      <w:r>
        <w:t xml:space="preserve">1.1: Hvorfor?</w:t>
      </w:r>
    </w:p>
    <w:p>
      <w:pPr>
        <w:numPr>
          <w:ilvl w:val="0"/>
          <w:numId w:val="1007"/>
        </w:numPr>
      </w:pPr>
      <w:r>
        <w:t xml:space="preserve">1.1.1: Migrants &amp; type 2 diabetes</w:t>
      </w:r>
    </w:p>
    <w:p>
      <w:pPr>
        <w:numPr>
          <w:ilvl w:val="1"/>
          <w:numId w:val="1008"/>
        </w:numPr>
      </w:pPr>
      <w:r>
        <w:t xml:space="preserve">Prævalens af T2D er stigende: aldrende befolkning. Sundhedsvæsenets resourcer er begrænsede - hvem skal prioriteres for at resourcerne udnyttes bedst?</w:t>
      </w:r>
    </w:p>
    <w:p>
      <w:pPr>
        <w:numPr>
          <w:ilvl w:val="2"/>
          <w:numId w:val="1009"/>
        </w:numPr>
      </w:pPr>
      <w:r>
        <w:t xml:space="preserve">Kort intro: T2D rammer skævt socioøkonomisk: Livsstil, arbejde</w:t>
      </w:r>
    </w:p>
    <w:p>
      <w:pPr>
        <w:numPr>
          <w:ilvl w:val="3"/>
          <w:numId w:val="1010"/>
        </w:numPr>
        <w:pStyle w:val="Compact"/>
      </w:pPr>
      <w:r>
        <w:t xml:space="preserve">hvorfor er migranter særligt interessante? (er en sociøkonomisk skæv gruppe. Desuden højere prævalens af T2D, ung demografi -&gt; kommer til at udgøre en stigende andel af T2D i fremtiden),</w:t>
      </w:r>
    </w:p>
    <w:p>
      <w:pPr>
        <w:numPr>
          <w:ilvl w:val="0"/>
          <w:numId w:val="1007"/>
        </w:numPr>
      </w:pPr>
      <w:r>
        <w:t xml:space="preserve">1.1.2: Diabetes</w:t>
      </w:r>
    </w:p>
    <w:p>
      <w:pPr>
        <w:numPr>
          <w:ilvl w:val="1"/>
          <w:numId w:val="1011"/>
        </w:numPr>
      </w:pPr>
      <w:r>
        <w:t xml:space="preserve">prævalens</w:t>
      </w:r>
    </w:p>
    <w:p>
      <w:pPr>
        <w:numPr>
          <w:ilvl w:val="1"/>
          <w:numId w:val="1011"/>
        </w:numPr>
      </w:pPr>
      <w:r>
        <w:t xml:space="preserve">Komplikationer og risikofaktorer</w:t>
      </w:r>
    </w:p>
    <w:p>
      <w:pPr>
        <w:numPr>
          <w:ilvl w:val="2"/>
          <w:numId w:val="1012"/>
        </w:numPr>
      </w:pPr>
      <w:r>
        <w:t xml:space="preserve">Evidens generelt</w:t>
      </w:r>
    </w:p>
    <w:p>
      <w:pPr>
        <w:numPr>
          <w:ilvl w:val="2"/>
          <w:numId w:val="1012"/>
        </w:numPr>
      </w:pPr>
      <w:r>
        <w:t xml:space="preserve">Migranter</w:t>
      </w:r>
    </w:p>
    <w:p>
      <w:pPr>
        <w:numPr>
          <w:ilvl w:val="1"/>
          <w:numId w:val="1011"/>
        </w:numPr>
      </w:pPr>
      <w:r>
        <w:t xml:space="preserve">Medicinsk behandling</w:t>
      </w:r>
    </w:p>
    <w:p>
      <w:pPr>
        <w:numPr>
          <w:ilvl w:val="2"/>
          <w:numId w:val="1013"/>
        </w:numPr>
      </w:pPr>
      <w:r>
        <w:t xml:space="preserve">Evidens generelt</w:t>
      </w:r>
    </w:p>
    <w:p>
      <w:pPr>
        <w:numPr>
          <w:ilvl w:val="2"/>
          <w:numId w:val="1013"/>
        </w:numPr>
      </w:pPr>
      <w:r>
        <w:t xml:space="preserve">Migranter</w:t>
      </w:r>
    </w:p>
    <w:p>
      <w:pPr>
        <w:numPr>
          <w:ilvl w:val="1"/>
          <w:numId w:val="1011"/>
        </w:numPr>
      </w:pPr>
      <w:r>
        <w:t xml:space="preserve">Guidelines</w:t>
      </w:r>
    </w:p>
    <w:p>
      <w:pPr>
        <w:numPr>
          <w:ilvl w:val="2"/>
          <w:numId w:val="1014"/>
        </w:numPr>
      </w:pPr>
      <w:r>
        <w:t xml:space="preserve">Evidens generelt</w:t>
      </w:r>
    </w:p>
    <w:p>
      <w:pPr>
        <w:numPr>
          <w:ilvl w:val="2"/>
          <w:numId w:val="1014"/>
        </w:numPr>
      </w:pPr>
      <w:r>
        <w:t xml:space="preserve">Migranter</w:t>
      </w:r>
    </w:p>
    <w:bookmarkEnd w:id="194"/>
    <w:bookmarkEnd w:id="195"/>
    <w:bookmarkStart w:id="196"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178" Target="
https://www.dst.dk/Site/Dst/SingleFiles/GetArchiveFile.aspx?fi=formid&amp;fo=medbragt-udd--pdf&amp;ext={2}" TargetMode="External"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60" Target="https://dmsjournal.biomedcentral.com/articles/10.1186/s13098-019-0428-8" TargetMode="External" /><Relationship Type="http://schemas.openxmlformats.org/officeDocument/2006/relationships/hyperlink" Id="rId180" Target="https://doi.org/10.1056/NEJMoa1007994" TargetMode="External" /><Relationship Type="http://schemas.openxmlformats.org/officeDocument/2006/relationships/hyperlink" Id="rId182" Target="https://doi.org/10.2337/dc09-0959" TargetMode="External" /><Relationship Type="http://schemas.openxmlformats.org/officeDocument/2006/relationships/hyperlink" Id="rId158" Target="https://extranet.dst.dk/pyramide/pyramide.htm#!y=2039&amp;o=2019&amp;c=4" TargetMode="External" /><Relationship Type="http://schemas.openxmlformats.org/officeDocument/2006/relationships/hyperlink" Id="rId164" Target="https://home-affairs.ec.europa.eu/policies/migration-and-asylum/common-european-asylum-system/country-responsible-asylum-application-dublin-regulation_en" TargetMode="External" /><Relationship Type="http://schemas.openxmlformats.org/officeDocument/2006/relationships/hyperlink" Id="rId166" Target="https://nyidanmark.dk/uk-UA/You-want-to-apply/Family" TargetMode="External" /><Relationship Type="http://schemas.openxmlformats.org/officeDocument/2006/relationships/hyperlink" Id="rId172" Target="https://nyidanmark.dk/uk-UA/You-want-to-apply/Residence-as-a-Nordic-citizen-or-EU-or-EEA-citizen/Nordic-citizens" TargetMode="External" /><Relationship Type="http://schemas.openxmlformats.org/officeDocument/2006/relationships/hyperlink" Id="rId170" Target="https://nyidanmark.dk/uk-UA/You-want-to-apply/Study" TargetMode="External" /><Relationship Type="http://schemas.openxmlformats.org/officeDocument/2006/relationships/hyperlink" Id="rId168" Target="https://nyidanmark.dk/uk-UA/You-want-to-apply/Work" TargetMode="External" /><Relationship Type="http://schemas.openxmlformats.org/officeDocument/2006/relationships/hyperlink" Id="rId39" Target="https://quarto.org/" TargetMode="External" /><Relationship Type="http://schemas.openxmlformats.org/officeDocument/2006/relationships/hyperlink" Id="rId184" Target="https://vejledninger.dsam.dk/media/files/20/type-2-diabetes-2012-med-links.pdf" TargetMode="External" /><Relationship Type="http://schemas.openxmlformats.org/officeDocument/2006/relationships/hyperlink" Id="rId186" Target="https://vejledninger.dsam.dk/type2/" TargetMode="External" /><Relationship Type="http://schemas.openxmlformats.org/officeDocument/2006/relationships/hyperlink" Id="rId160" Target="https://www.ajtmh.org/view/journals/tpmd/105/6/article-p1453.xml" TargetMode="External" /><Relationship Type="http://schemas.openxmlformats.org/officeDocument/2006/relationships/hyperlink" Id="rId174" Target="https://www.dst.dk/Site/Dst/Udgivelser/GetPubFile.aspx?id=29446&amp;sid=indv2019" TargetMode="External" /><Relationship Type="http://schemas.openxmlformats.org/officeDocument/2006/relationships/hyperlink" Id="rId54" Target="https://www.ncbi.nlm.nih.gov/pmc/articles/PMC8563673/" TargetMode="External" /><Relationship Type="http://schemas.openxmlformats.org/officeDocument/2006/relationships/hyperlink" Id="rId176" Target="https://www.retsinformation.dk/eli/retsinfo/2013/9273#Bil1" TargetMode="External" /><Relationship Type="http://schemas.openxmlformats.org/officeDocument/2006/relationships/hyperlink" Id="rId156" Target="https://www.sciencedirect.com/science/article/pii/S0168822721004782" TargetMode="External" /><Relationship Type="http://schemas.openxmlformats.org/officeDocument/2006/relationships/hyperlink" Id="rId162"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178" Target="
https://www.dst.dk/Site/Dst/SingleFiles/GetArchiveFile.aspx?fi=formid&amp;fo=medbragt-udd--pdf&amp;ext={2}" TargetMode="External"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60" Target="https://dmsjournal.biomedcentral.com/articles/10.1186/s13098-019-0428-8" TargetMode="External" /><Relationship Type="http://schemas.openxmlformats.org/officeDocument/2006/relationships/hyperlink" Id="rId180" Target="https://doi.org/10.1056/NEJMoa1007994" TargetMode="External" /><Relationship Type="http://schemas.openxmlformats.org/officeDocument/2006/relationships/hyperlink" Id="rId182" Target="https://doi.org/10.2337/dc09-0959" TargetMode="External" /><Relationship Type="http://schemas.openxmlformats.org/officeDocument/2006/relationships/hyperlink" Id="rId158" Target="https://extranet.dst.dk/pyramide/pyramide.htm#!y=2039&amp;o=2019&amp;c=4" TargetMode="External" /><Relationship Type="http://schemas.openxmlformats.org/officeDocument/2006/relationships/hyperlink" Id="rId164" Target="https://home-affairs.ec.europa.eu/policies/migration-and-asylum/common-european-asylum-system/country-responsible-asylum-application-dublin-regulation_en" TargetMode="External" /><Relationship Type="http://schemas.openxmlformats.org/officeDocument/2006/relationships/hyperlink" Id="rId166" Target="https://nyidanmark.dk/uk-UA/You-want-to-apply/Family" TargetMode="External" /><Relationship Type="http://schemas.openxmlformats.org/officeDocument/2006/relationships/hyperlink" Id="rId172" Target="https://nyidanmark.dk/uk-UA/You-want-to-apply/Residence-as-a-Nordic-citizen-or-EU-or-EEA-citizen/Nordic-citizens" TargetMode="External" /><Relationship Type="http://schemas.openxmlformats.org/officeDocument/2006/relationships/hyperlink" Id="rId170" Target="https://nyidanmark.dk/uk-UA/You-want-to-apply/Study" TargetMode="External" /><Relationship Type="http://schemas.openxmlformats.org/officeDocument/2006/relationships/hyperlink" Id="rId168" Target="https://nyidanmark.dk/uk-UA/You-want-to-apply/Work" TargetMode="External" /><Relationship Type="http://schemas.openxmlformats.org/officeDocument/2006/relationships/hyperlink" Id="rId39" Target="https://quarto.org/" TargetMode="External" /><Relationship Type="http://schemas.openxmlformats.org/officeDocument/2006/relationships/hyperlink" Id="rId184" Target="https://vejledninger.dsam.dk/media/files/20/type-2-diabetes-2012-med-links.pdf" TargetMode="External" /><Relationship Type="http://schemas.openxmlformats.org/officeDocument/2006/relationships/hyperlink" Id="rId186" Target="https://vejledninger.dsam.dk/type2/" TargetMode="External" /><Relationship Type="http://schemas.openxmlformats.org/officeDocument/2006/relationships/hyperlink" Id="rId160" Target="https://www.ajtmh.org/view/journals/tpmd/105/6/article-p1453.xml" TargetMode="External" /><Relationship Type="http://schemas.openxmlformats.org/officeDocument/2006/relationships/hyperlink" Id="rId174" Target="https://www.dst.dk/Site/Dst/Udgivelser/GetPubFile.aspx?id=29446&amp;sid=indv2019" TargetMode="External" /><Relationship Type="http://schemas.openxmlformats.org/officeDocument/2006/relationships/hyperlink" Id="rId54" Target="https://www.ncbi.nlm.nih.gov/pmc/articles/PMC8563673/" TargetMode="External" /><Relationship Type="http://schemas.openxmlformats.org/officeDocument/2006/relationships/hyperlink" Id="rId176" Target="https://www.retsinformation.dk/eli/retsinfo/2013/9273#Bil1" TargetMode="External" /><Relationship Type="http://schemas.openxmlformats.org/officeDocument/2006/relationships/hyperlink" Id="rId156" Target="https://www.sciencedirect.com/science/article/pii/S0168822721004782" TargetMode="External" /><Relationship Type="http://schemas.openxmlformats.org/officeDocument/2006/relationships/hyperlink" Id="rId162"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2023-03-03T13:50:10Z</dcterms:created>
  <dcterms:modified xsi:type="dcterms:W3CDTF">2023-03-03T13:50:10Z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citestyle.csl</vt:lpwstr>
  </property>
  <property fmtid="{D5CDD505-2E9C-101B-9397-08002B2CF9AE}" pid="9" name="date">
    <vt:lpwstr>March 2023</vt:lpwstr>
  </property>
  <property fmtid="{D5CDD505-2E9C-101B-9397-08002B2CF9AE}" pid="10" name="date-format">
    <vt:lpwstr>MMMM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website">
    <vt:lpwstr/>
  </property>
</Properties>
</file>