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EXECUTIVE MEMO - COLLECTIONS PERFORMANCE</w:t>
      </w:r>
    </w:p>
    <w:p>
      <w:r>
        <w:t>Bottom line: The reported +11% MoM recovery increase is numerically correct for Feb→Mar 2026 (11.03% after payment-ID dedupe), but it is a one-month spike, not proof of sustained operational improvement. Jan-Jul clean recovery is statistically flat (trend p=0.89).</w:t>
      </w:r>
    </w:p>
    <w:p>
      <w:pPr>
        <w:pStyle w:val="Heading1"/>
      </w:pPr>
      <w:r>
        <w:t>What happened?</w:t>
      </w:r>
    </w:p>
    <w:p>
      <w:r>
        <w:t>Clean recovery rises from ₹17.01 Cr in February to ₹18.89 Cr in March. On targeted-account exposure the recovery rate moves from 1.55% to 1.95% (+25.9% relative). Standardizing March to February DPD×risk×loan mix still gives +26.2%, so those mix dimensions do not explain the spike. April then declines, and there is no sustained Jan-Jul trend.</w:t>
      </w:r>
    </w:p>
    <w:p>
      <w:pPr>
        <w:pStyle w:val="Heading1"/>
      </w:pPr>
      <w:r>
        <w:t>Why / how confident?</w:t>
      </w:r>
    </w:p>
    <w:p>
      <w:r>
        <w:t>Data quality is materially weak: event borrower identity disagrees with the account master in ~98% of event rows, duplicate payments/calls/messages exist, and master/history timestamps conflict. After correcting primary-key duplicates and using account_id as source of truth, the 11% direction remains. Bootstrap 95% interval for the targeted-rate relative Feb→Mar change is about 7.9% to 47.9%. Confidence that March improved versus February: High. Confidence that operations structurally improved: Low.</w:t>
      </w:r>
    </w:p>
    <w:p>
      <w:pPr>
        <w:pStyle w:val="Heading1"/>
      </w:pPr>
      <w:r>
        <w:t>What should we do?</w:t>
      </w:r>
    </w:p>
    <w:p>
      <w:r>
        <w:t>Choose Better Borrower Targeting as the ₹10 Cr investment area, but stage-gate deployment. Existing priority is not monotonic with recovery, indicating ranking headroom. Telephony vendor contact rates are tightly clustered and there is no direct AI-voice treatment or reliable channel cost table. The full investment needs ~0.43 pp incremental annual recovery to break even; current observational evidence does not prove this hurdle. Run a stratified randomized holdout and release funding only after the lower confidence bound clears the hurdle while complaints/PTP-kept remain stable.</w:t>
      </w:r>
    </w:p>
    <w:p>
      <w:pPr>
        <w:pStyle w:val="Heading1"/>
      </w:pPr>
      <w:r>
        <w:t>Financial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Scenario</w:t>
            </w:r>
          </w:p>
        </w:tc>
        <w:tc>
          <w:tcPr>
            <w:tcW w:type="dxa" w:w="2664"/>
          </w:tcPr>
          <w:p>
            <w:r>
              <w:t>Lift</w:t>
            </w:r>
          </w:p>
        </w:tc>
        <w:tc>
          <w:tcPr>
            <w:tcW w:type="dxa" w:w="2664"/>
          </w:tcPr>
          <w:p>
            <w:r>
              <w:t>Incremental recovery</w:t>
            </w:r>
          </w:p>
        </w:tc>
        <w:tc>
          <w:tcPr>
            <w:tcW w:type="dxa" w:w="2664"/>
          </w:tcPr>
          <w:p>
            <w:r>
              <w:t>1-year ROI</w:t>
            </w:r>
          </w:p>
        </w:tc>
      </w:tr>
      <w:tr>
        <w:tc>
          <w:tcPr>
            <w:tcW w:type="dxa" w:w="2664"/>
          </w:tcPr>
          <w:p>
            <w:r>
              <w:t>Downside</w:t>
            </w:r>
          </w:p>
        </w:tc>
        <w:tc>
          <w:tcPr>
            <w:tcW w:type="dxa" w:w="2664"/>
          </w:tcPr>
          <w:p>
            <w:r>
              <w:t>0.10 pp</w:t>
            </w:r>
          </w:p>
        </w:tc>
        <w:tc>
          <w:tcPr>
            <w:tcW w:type="dxa" w:w="2664"/>
          </w:tcPr>
          <w:p>
            <w:r>
              <w:t>₹2.35 Cr</w:t>
            </w:r>
          </w:p>
        </w:tc>
        <w:tc>
          <w:tcPr>
            <w:tcW w:type="dxa" w:w="2664"/>
          </w:tcPr>
          <w:p>
            <w:r>
              <w:t>-76.5%</w:t>
            </w:r>
          </w:p>
        </w:tc>
      </w:tr>
      <w:tr>
        <w:tc>
          <w:tcPr>
            <w:tcW w:type="dxa" w:w="2664"/>
          </w:tcPr>
          <w:p>
            <w:r>
              <w:t>Evidence-based base</w:t>
            </w:r>
          </w:p>
        </w:tc>
        <w:tc>
          <w:tcPr>
            <w:tcW w:type="dxa" w:w="2664"/>
          </w:tcPr>
          <w:p>
            <w:r>
              <w:t>0.20 pp</w:t>
            </w:r>
          </w:p>
        </w:tc>
        <w:tc>
          <w:tcPr>
            <w:tcW w:type="dxa" w:w="2664"/>
          </w:tcPr>
          <w:p>
            <w:r>
              <w:t>₹4.69 Cr</w:t>
            </w:r>
          </w:p>
        </w:tc>
        <w:tc>
          <w:tcPr>
            <w:tcW w:type="dxa" w:w="2664"/>
          </w:tcPr>
          <w:p>
            <w:r>
              <w:t>-53.1%</w:t>
            </w:r>
          </w:p>
        </w:tc>
      </w:tr>
      <w:tr>
        <w:tc>
          <w:tcPr>
            <w:tcW w:type="dxa" w:w="2664"/>
          </w:tcPr>
          <w:p>
            <w:r>
              <w:t>Upside / hurdle</w:t>
            </w:r>
          </w:p>
        </w:tc>
        <w:tc>
          <w:tcPr>
            <w:tcW w:type="dxa" w:w="2664"/>
          </w:tcPr>
          <w:p>
            <w:r>
              <w:t>0.50 pp</w:t>
            </w:r>
          </w:p>
        </w:tc>
        <w:tc>
          <w:tcPr>
            <w:tcW w:type="dxa" w:w="2664"/>
          </w:tcPr>
          <w:p>
            <w:r>
              <w:t>₹11.76 Cr</w:t>
            </w:r>
          </w:p>
        </w:tc>
        <w:tc>
          <w:tcPr>
            <w:tcW w:type="dxa" w:w="2664"/>
          </w:tcPr>
          <w:p>
            <w:r>
              <w:t>17.6%</w:t>
            </w:r>
          </w:p>
        </w:tc>
      </w:tr>
    </w:tbl>
    <w:p>
      <w:r>
        <w:t>Decision discipline: do not convert a one-month KPI increase into a structural-growth story. Fix identity/metric governance, prove targeting incrementality, then scale.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