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CredResolve Collections Analytics</w:t>
        <w:br/>
        <w:t>Forensic Data Analyst Assignment</w:t>
      </w:r>
    </w:p>
    <w:p>
      <w:pPr>
        <w:jc w:val="center"/>
      </w:pPr>
      <w:r>
        <w:rPr>
          <w:i/>
        </w:rPr>
        <w:t>Submission-ready analytical report | Synthetic 30K-account collections dataset</w:t>
      </w:r>
    </w:p>
    <w:p>
      <w:pPr>
        <w:pStyle w:val="Heading1"/>
      </w:pPr>
      <w:r>
        <w:t>Executive Summary</w:t>
      </w:r>
    </w:p>
    <w:p>
      <w:r>
        <w:t>The reported 11% month-on-month recovery increase is numerically true for February to March 2026: raw successful-payment recovery rises 10.99%, and after payment-ID deduplication it rises 11.03%. However, this is a one-month spike rather than evidence of a sustained operational improvement. On the defensible targeted-exposure denominator, the recovery rate rises 25.86% in March and remains 26.17% after standardizing to February DPD × risk × loan mix. Across complete months January-July, the recovery trend is statistically flat (p=0.89).</w:t>
      </w:r>
    </w:p>
    <w:p>
      <w:r>
        <w:t>The recommended investment area is Better Borrower Targeting, but not as an unconditional ₹10 Cr deployment. Current targeting priority is not monotonic with recovery, so ranking quality can be improved; yet the supplied data does not prove causal lift. Annualized targeted exposure is about ₹2353 Cr, so a one-year ₹10 Cr investment needs roughly 0.43 percentage points incremental recovery to break even. A randomized holdout should be the funding gate.</w:t>
      </w:r>
    </w:p>
    <w:p>
      <w:r>
        <w:drawing>
          <wp:inline xmlns:a="http://schemas.openxmlformats.org/drawingml/2006/main" xmlns:pic="http://schemas.openxmlformats.org/drawingml/2006/picture">
            <wp:extent cx="6126480" cy="3768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laim_reconcili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6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Assignment Interpretation and Analytical Philosophy</w:t>
      </w:r>
    </w:p>
    <w:p>
      <w:r>
        <w:t>The assignment is a data-forensics and business-decision exercise. The correct objective is not to reproduce existing reporting; it is to reconstruct the business truth from contradictory sources, quantify the effect of cleaning/definitions, distinguish fact from correlation, and make an investment decision with uncertainty visible.</w:t>
      </w:r>
    </w:p>
    <w:p>
      <w:pPr>
        <w:pStyle w:val="ListBullet"/>
      </w:pPr>
      <w:r>
        <w:t>Question 1 - What happened? Reconstruct trustworthy monthly performance.</w:t>
      </w:r>
    </w:p>
    <w:p>
      <w:pPr>
        <w:pStyle w:val="ListBullet"/>
      </w:pPr>
      <w:r>
        <w:t>Question 2 - Why? Decompose by portfolio, DPD, geography, agent/campaign/channel/vendor/time/frequency.</w:t>
      </w:r>
    </w:p>
    <w:p>
      <w:pPr>
        <w:pStyle w:val="ListBullet"/>
      </w:pPr>
      <w:r>
        <w:t>Question 3 - Is +11% real? Independently define recovery metrics and reconcile the claim.</w:t>
      </w:r>
    </w:p>
    <w:p>
      <w:pPr>
        <w:pStyle w:val="ListBullet"/>
      </w:pPr>
      <w:r>
        <w:t>Question 4 - Where to invest ₹10 Cr? Compare evidence, economics, downside, and confidence.</w:t>
      </w:r>
    </w:p>
    <w:p>
      <w:pPr>
        <w:pStyle w:val="Heading1"/>
      </w:pPr>
      <w:r>
        <w:t>2. Data Inventory and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  <w:vAlign w:val="center"/>
          </w:tcPr>
          <w:p>
            <w:r>
              <w:t>Dataset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t>Rows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t>Columns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t>Exact duplicates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borrowers</w:t>
            </w:r>
          </w:p>
        </w:tc>
        <w:tc>
          <w:tcPr>
            <w:tcW w:type="dxa" w:w="2592"/>
          </w:tcPr>
          <w:p>
            <w:r>
              <w:t>30,600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600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accounts</w:t>
            </w:r>
          </w:p>
        </w:tc>
        <w:tc>
          <w:tcPr>
            <w:tcW w:type="dxa" w:w="2592"/>
          </w:tcPr>
          <w:p>
            <w:r>
              <w:t>30,000</w:t>
            </w:r>
          </w:p>
        </w:tc>
        <w:tc>
          <w:tcPr>
            <w:tcW w:type="dxa" w:w="2592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agents</w:t>
            </w:r>
          </w:p>
        </w:tc>
        <w:tc>
          <w:tcPr>
            <w:tcW w:type="dxa" w:w="2592"/>
          </w:tcPr>
          <w:p>
            <w:r>
              <w:t>30,000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agent_sessions</w:t>
            </w:r>
          </w:p>
        </w:tc>
        <w:tc>
          <w:tcPr>
            <w:tcW w:type="dxa" w:w="2592"/>
          </w:tcPr>
          <w:p>
            <w:r>
              <w:t>15,000</w:t>
            </w:r>
          </w:p>
        </w:tc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campaigns</w:t>
            </w:r>
          </w:p>
        </w:tc>
        <w:tc>
          <w:tcPr>
            <w:tcW w:type="dxa" w:w="2592"/>
          </w:tcPr>
          <w:p>
            <w:r>
              <w:t>120</w:t>
            </w:r>
          </w:p>
        </w:tc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daily_targeting</w:t>
            </w:r>
          </w:p>
        </w:tc>
        <w:tc>
          <w:tcPr>
            <w:tcW w:type="dxa" w:w="2592"/>
          </w:tcPr>
          <w:p>
            <w:r>
              <w:t>45,000</w:t>
            </w:r>
          </w:p>
        </w:tc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calls</w:t>
            </w:r>
          </w:p>
        </w:tc>
        <w:tc>
          <w:tcPr>
            <w:tcW w:type="dxa" w:w="2592"/>
          </w:tcPr>
          <w:p>
            <w:r>
              <w:t>91,350</w:t>
            </w:r>
          </w:p>
        </w:tc>
        <w:tc>
          <w:tcPr>
            <w:tcW w:type="dxa" w:w="2592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1,271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call_attempts</w:t>
            </w:r>
          </w:p>
        </w:tc>
        <w:tc>
          <w:tcPr>
            <w:tcW w:type="dxa" w:w="2592"/>
          </w:tcPr>
          <w:p>
            <w:r>
              <w:t>120,000</w:t>
            </w:r>
          </w:p>
        </w:tc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call_dispositions</w:t>
            </w:r>
          </w:p>
        </w:tc>
        <w:tc>
          <w:tcPr>
            <w:tcW w:type="dxa" w:w="2592"/>
          </w:tcPr>
          <w:p>
            <w:r>
              <w:t>35,000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whatsapp_events</w:t>
            </w:r>
          </w:p>
        </w:tc>
        <w:tc>
          <w:tcPr>
            <w:tcW w:type="dxa" w:w="2592"/>
          </w:tcPr>
          <w:p>
            <w:r>
              <w:t>60,600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600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sms_events</w:t>
            </w:r>
          </w:p>
        </w:tc>
        <w:tc>
          <w:tcPr>
            <w:tcW w:type="dxa" w:w="2592"/>
          </w:tcPr>
          <w:p>
            <w:r>
              <w:t>45,000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field_visits</w:t>
            </w:r>
          </w:p>
        </w:tc>
        <w:tc>
          <w:tcPr>
            <w:tcW w:type="dxa" w:w="2592"/>
          </w:tcPr>
          <w:p>
            <w:r>
              <w:t>25,000</w:t>
            </w:r>
          </w:p>
        </w:tc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promises_to_pay</w:t>
            </w:r>
          </w:p>
        </w:tc>
        <w:tc>
          <w:tcPr>
            <w:tcW w:type="dxa" w:w="2592"/>
          </w:tcPr>
          <w:p>
            <w:r>
              <w:t>18,000</w:t>
            </w:r>
          </w:p>
        </w:tc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payments</w:t>
            </w:r>
          </w:p>
        </w:tc>
        <w:tc>
          <w:tcPr>
            <w:tcW w:type="dxa" w:w="2592"/>
          </w:tcPr>
          <w:p>
            <w:r>
              <w:t>25,500</w:t>
            </w:r>
          </w:p>
        </w:tc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486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vendor_telephony</w:t>
            </w:r>
          </w:p>
        </w:tc>
        <w:tc>
          <w:tcPr>
            <w:tcW w:type="dxa" w:w="2592"/>
          </w:tcPr>
          <w:p>
            <w:r>
              <w:t>15</w:t>
            </w:r>
          </w:p>
        </w:tc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complaints</w:t>
            </w:r>
          </w:p>
        </w:tc>
        <w:tc>
          <w:tcPr>
            <w:tcW w:type="dxa" w:w="2592"/>
          </w:tcPr>
          <w:p>
            <w:r>
              <w:t>8,000</w:t>
            </w:r>
          </w:p>
        </w:tc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account_status_history</w:t>
            </w:r>
          </w:p>
        </w:tc>
        <w:tc>
          <w:tcPr>
            <w:tcW w:type="dxa" w:w="2592"/>
          </w:tcPr>
          <w:p>
            <w:r>
              <w:t>60,000</w:t>
            </w:r>
          </w:p>
        </w:tc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0</w:t>
            </w:r>
          </w:p>
        </w:tc>
      </w:tr>
    </w:tbl>
    <w:p>
      <w:r>
        <w:t>Coverage limitation: operational events run from 1 Jan 2026 through 8 Aug 2026. This is materially shorter than the “approximately 12 months” stated in the assignment. August is a partial month and is not used for trend conclusions.</w:t>
      </w:r>
    </w:p>
    <w:p>
      <w:pPr>
        <w:pStyle w:val="Heading1"/>
      </w:pPr>
      <w:r>
        <w:t>3. Source-of-Truth and Golden Dataset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  <w:vAlign w:val="center"/>
          </w:tcPr>
          <w:p>
            <w:r>
              <w:t>Area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Decision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Reason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Entity key</w:t>
            </w:r>
          </w:p>
        </w:tc>
        <w:tc>
          <w:tcPr>
            <w:tcW w:type="dxa" w:w="3456"/>
          </w:tcPr>
          <w:p>
            <w:r>
              <w:t>account_id</w:t>
            </w:r>
          </w:p>
        </w:tc>
        <w:tc>
          <w:tcPr>
            <w:tcW w:type="dxa" w:w="3456"/>
          </w:tcPr>
          <w:p>
            <w:r>
              <w:t>Stable across event tables; event borrower_id is contradictory.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Borrower attributes</w:t>
            </w:r>
          </w:p>
        </w:tc>
        <w:tc>
          <w:tcPr>
            <w:tcW w:type="dxa" w:w="3456"/>
          </w:tcPr>
          <w:p>
            <w:r>
              <w:t>accounts.borrower_id → latest borrower master</w:t>
            </w:r>
          </w:p>
        </w:tc>
        <w:tc>
          <w:tcPr>
            <w:tcW w:type="dxa" w:w="3456"/>
          </w:tcPr>
          <w:p>
            <w:r>
              <w:t>Prevents random event borrower IDs from corrupting geography/identity.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Payment event key</w:t>
            </w:r>
          </w:p>
        </w:tc>
        <w:tc>
          <w:tcPr>
            <w:tcW w:type="dxa" w:w="3456"/>
          </w:tcPr>
          <w:p>
            <w:r>
              <w:t>payment_id</w:t>
            </w:r>
          </w:p>
        </w:tc>
        <w:tc>
          <w:tcPr>
            <w:tcW w:type="dxa" w:w="3456"/>
          </w:tcPr>
          <w:p>
            <w:r>
              <w:t>Payment reference repeats across accounts and amounts.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Valid recovery</w:t>
            </w:r>
          </w:p>
        </w:tc>
        <w:tc>
          <w:tcPr>
            <w:tcW w:type="dxa" w:w="3456"/>
          </w:tcPr>
          <w:p>
            <w:r>
              <w:t>SUCCESS only</w:t>
            </w:r>
          </w:p>
        </w:tc>
        <w:tc>
          <w:tcPr>
            <w:tcW w:type="dxa" w:w="3456"/>
          </w:tcPr>
          <w:p>
            <w:r>
              <w:t>FAILED/PENDING/REVERSED are not realized cash recovery.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Monthly denominator</w:t>
            </w:r>
          </w:p>
        </w:tc>
        <w:tc>
          <w:tcPr>
            <w:tcW w:type="dxa" w:w="3456"/>
          </w:tcPr>
          <w:p>
            <w:r>
              <w:t>Unique targeted-account outstanding exposure</w:t>
            </w:r>
          </w:p>
        </w:tc>
        <w:tc>
          <w:tcPr>
            <w:tcW w:type="dxa" w:w="3456"/>
          </w:tcPr>
          <w:p>
            <w:r>
              <w:t>Auditable operational eligibility denominator; avoids attempt/message denominator inflation.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Trend window</w:t>
            </w:r>
          </w:p>
        </w:tc>
        <w:tc>
          <w:tcPr>
            <w:tcW w:type="dxa" w:w="3456"/>
          </w:tcPr>
          <w:p>
            <w:r>
              <w:t>Jan-Jul 2026</w:t>
            </w:r>
          </w:p>
        </w:tc>
        <w:tc>
          <w:tcPr>
            <w:tcW w:type="dxa" w:w="3456"/>
          </w:tcPr>
          <w:p>
            <w:r>
              <w:t>Aug is only 8 days.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Agent identity</w:t>
            </w:r>
          </w:p>
        </w:tc>
        <w:tc>
          <w:tcPr>
            <w:tcW w:type="dxa" w:w="3456"/>
          </w:tcPr>
          <w:p>
            <w:r>
              <w:t>agent_id only</w:t>
            </w:r>
          </w:p>
        </w:tc>
        <w:tc>
          <w:tcPr>
            <w:tcW w:type="dxa" w:w="3456"/>
          </w:tcPr>
          <w:p>
            <w:r>
              <w:t>employee_code is many-to-many and unsuitable for canonical identity.</w:t>
            </w:r>
          </w:p>
        </w:tc>
      </w:tr>
    </w:tbl>
    <w:p>
      <w:r>
        <w:t>Golden grain: one row per targeted account per month. The golden table contains account/borrower attributes, targeting information, channel activity, PTP activity, recovery, and calculated recovery rate. This design makes denominators explicit and prevents event-level duplicates from multiplying account exposure.</w:t>
      </w:r>
    </w:p>
    <w:p>
      <w:pPr>
        <w:pStyle w:val="Heading1"/>
      </w:pPr>
      <w:r>
        <w:t>4. Data Quality and Forensics</w:t>
      </w:r>
    </w:p>
    <w:p>
      <w:pPr>
        <w:pStyle w:val="ListBullet"/>
      </w:pPr>
      <w:r>
        <w:t>Payments: 486 exact duplicate rows; 500 duplicated payment IDs.</w:t>
      </w:r>
    </w:p>
    <w:p>
      <w:pPr>
        <w:pStyle w:val="ListBullet"/>
      </w:pPr>
      <w:r>
        <w:t>Calls: 1,271 exact duplicate rows.</w:t>
      </w:r>
    </w:p>
    <w:p>
      <w:pPr>
        <w:pStyle w:val="ListBullet"/>
      </w:pPr>
      <w:r>
        <w:t>WhatsApp: 600 exact duplicate rows.</w:t>
      </w:r>
    </w:p>
    <w:p>
      <w:pPr>
        <w:pStyle w:val="ListBullet"/>
      </w:pPr>
      <w:r>
        <w:t>Borrower identity: event borrower_id disagrees with accounts.borrower_id in approximately 98% of event rows.</w:t>
      </w:r>
    </w:p>
    <w:p>
      <w:pPr>
        <w:pStyle w:val="ListBullet"/>
      </w:pPr>
      <w:r>
        <w:t>Timestamp contradictions: 15,354 borrower rows have updated_at before created_at; 30,191 status-history rows have recorded_at before event_at.</w:t>
      </w:r>
    </w:p>
    <w:p>
      <w:pPr>
        <w:pStyle w:val="ListBullet"/>
      </w:pPr>
      <w:r>
        <w:t>Mixed source time zones exist; calling-hour analysis is normalized to Asia/Kolkata where row timezone is available.</w:t>
      </w:r>
    </w:p>
    <w:p>
      <w:pPr>
        <w:pStyle w:val="ListBullet"/>
      </w:pPr>
      <w:r>
        <w:t>Cost data is absent; cost-per-₹ recovered cannot be directly measured without explicit assumptions.</w:t>
      </w:r>
    </w:p>
    <w:p>
      <w:r>
        <w:drawing>
          <wp:inline xmlns:a="http://schemas.openxmlformats.org/drawingml/2006/main" xmlns:pic="http://schemas.openxmlformats.org/drawingml/2006/picture">
            <wp:extent cx="6126480" cy="3000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ported_vs_cleaned_reco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KPI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  <w:vAlign w:val="center"/>
          </w:tcPr>
          <w:p>
            <w:r>
              <w:t>Metric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Definition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Why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Recovery</w:t>
            </w:r>
          </w:p>
        </w:tc>
        <w:tc>
          <w:tcPr>
            <w:tcW w:type="dxa" w:w="3456"/>
          </w:tcPr>
          <w:p>
            <w:r>
              <w:t>Sum of deduped SUCCESS payment amount</w:t>
            </w:r>
          </w:p>
        </w:tc>
        <w:tc>
          <w:tcPr>
            <w:tcW w:type="dxa" w:w="3456"/>
          </w:tcPr>
          <w:p>
            <w:r>
              <w:t>Cash-realized, reproducible.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Targeted recovery rate</w:t>
            </w:r>
          </w:p>
        </w:tc>
        <w:tc>
          <w:tcPr>
            <w:tcW w:type="dxa" w:w="3456"/>
          </w:tcPr>
          <w:p>
            <w:r>
              <w:t>Targeted-account recovery / targeted outstanding exposure</w:t>
            </w:r>
          </w:p>
        </w:tc>
        <w:tc>
          <w:tcPr>
            <w:tcW w:type="dxa" w:w="3456"/>
          </w:tcPr>
          <w:p>
            <w:r>
              <w:t>Controls operational denominator.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Contact rate</w:t>
            </w:r>
          </w:p>
        </w:tc>
        <w:tc>
          <w:tcPr>
            <w:tcW w:type="dxa" w:w="3456"/>
          </w:tcPr>
          <w:p>
            <w:r>
              <w:t>Answered calls / deduped calls</w:t>
            </w:r>
          </w:p>
        </w:tc>
        <w:tc>
          <w:tcPr>
            <w:tcW w:type="dxa" w:w="3456"/>
          </w:tcPr>
          <w:p>
            <w:r>
              <w:t>Simple telephony outcome.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RPC rate</w:t>
            </w:r>
          </w:p>
        </w:tc>
        <w:tc>
          <w:tcPr>
            <w:tcW w:type="dxa" w:w="3456"/>
          </w:tcPr>
          <w:p>
            <w:r>
              <w:t>Right-party dispositions / dispositioned calls</w:t>
            </w:r>
          </w:p>
        </w:tc>
        <w:tc>
          <w:tcPr>
            <w:tcW w:type="dxa" w:w="3456"/>
          </w:tcPr>
          <w:p>
            <w:r>
              <w:t>Avoids &gt;100% contradictions with call-status data.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PTP rate</w:t>
            </w:r>
          </w:p>
        </w:tc>
        <w:tc>
          <w:tcPr>
            <w:tcW w:type="dxa" w:w="3456"/>
          </w:tcPr>
          <w:p>
            <w:r>
              <w:t>PTP dispositions / RPC dispositions</w:t>
            </w:r>
          </w:p>
        </w:tc>
        <w:tc>
          <w:tcPr>
            <w:tcW w:type="dxa" w:w="3456"/>
          </w:tcPr>
          <w:p>
            <w:r>
              <w:t>Normalized promise generation.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PTP kept rate</w:t>
            </w:r>
          </w:p>
        </w:tc>
        <w:tc>
          <w:tcPr>
            <w:tcW w:type="dxa" w:w="3456"/>
          </w:tcPr>
          <w:p>
            <w:r>
              <w:t>KEPT / (KEPT + BROKEN) for due PTPs</w:t>
            </w:r>
          </w:p>
        </w:tc>
        <w:tc>
          <w:tcPr>
            <w:tcW w:type="dxa" w:w="3456"/>
          </w:tcPr>
          <w:p>
            <w:r>
              <w:t>Excludes open/not-yet-due promises.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Recovery/account</w:t>
            </w:r>
          </w:p>
        </w:tc>
        <w:tc>
          <w:tcPr>
            <w:tcW w:type="dxa" w:w="3456"/>
          </w:tcPr>
          <w:p>
            <w:r>
              <w:t>Recovery / targeted accounts</w:t>
            </w:r>
          </w:p>
        </w:tc>
        <w:tc>
          <w:tcPr>
            <w:tcW w:type="dxa" w:w="3456"/>
          </w:tcPr>
          <w:p>
            <w:r>
              <w:t>Portfolio-normalized productivity.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Recovery/agent-hour</w:t>
            </w:r>
          </w:p>
        </w:tc>
        <w:tc>
          <w:tcPr>
            <w:tcW w:type="dxa" w:w="3456"/>
          </w:tcPr>
          <w:p>
            <w:r>
              <w:t>Portfolio recovery / valid session hours</w:t>
            </w:r>
          </w:p>
        </w:tc>
        <w:tc>
          <w:tcPr>
            <w:tcW w:type="dxa" w:w="3456"/>
          </w:tcPr>
          <w:p>
            <w:r>
              <w:t>Proxy only; payments lack direct agent owner.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Channel conversion</w:t>
            </w:r>
          </w:p>
        </w:tc>
        <w:tc>
          <w:tcPr>
            <w:tcW w:type="dxa" w:w="3456"/>
          </w:tcPr>
          <w:p>
            <w:r>
              <w:t>7-day last meaningful touch attribution</w:t>
            </w:r>
          </w:p>
        </w:tc>
        <w:tc>
          <w:tcPr>
            <w:tcW w:type="dxa" w:w="3456"/>
          </w:tcPr>
          <w:p>
            <w:r>
              <w:t>Auditable but sensitive to window; not causal.</w:t>
            </w:r>
          </w:p>
        </w:tc>
      </w:tr>
    </w:tbl>
    <w:p>
      <w:pPr>
        <w:pStyle w:val="Heading1"/>
      </w:pPr>
      <w:r>
        <w:t>6. What Happened? - 11% Claim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  <w:vAlign w:val="center"/>
          </w:tcPr>
          <w:p>
            <w:r>
              <w:t>Measure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t>Feb 2026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t>Mar 2026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t>Change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Raw SUCCESS recovery</w:t>
            </w:r>
          </w:p>
        </w:tc>
        <w:tc>
          <w:tcPr>
            <w:tcW w:type="dxa" w:w="2592"/>
          </w:tcPr>
          <w:p>
            <w:r>
              <w:t>₹17.41 Cr</w:t>
            </w:r>
          </w:p>
        </w:tc>
        <w:tc>
          <w:tcPr>
            <w:tcW w:type="dxa" w:w="2592"/>
          </w:tcPr>
          <w:p>
            <w:r>
              <w:t>₹19.32 Cr</w:t>
            </w:r>
          </w:p>
        </w:tc>
        <w:tc>
          <w:tcPr>
            <w:tcW w:type="dxa" w:w="2592"/>
          </w:tcPr>
          <w:p>
            <w:r>
              <w:t>+10.99%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Deduped SUCCESS recovery</w:t>
            </w:r>
          </w:p>
        </w:tc>
        <w:tc>
          <w:tcPr>
            <w:tcW w:type="dxa" w:w="2592"/>
          </w:tcPr>
          <w:p>
            <w:r>
              <w:t>₹17.01 Cr</w:t>
            </w:r>
          </w:p>
        </w:tc>
        <w:tc>
          <w:tcPr>
            <w:tcW w:type="dxa" w:w="2592"/>
          </w:tcPr>
          <w:p>
            <w:r>
              <w:t>₹18.89 Cr</w:t>
            </w:r>
          </w:p>
        </w:tc>
        <w:tc>
          <w:tcPr>
            <w:tcW w:type="dxa" w:w="2592"/>
          </w:tcPr>
          <w:p>
            <w:r>
              <w:t>+11.03%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Targeted recovery rate</w:t>
            </w:r>
          </w:p>
        </w:tc>
        <w:tc>
          <w:tcPr>
            <w:tcW w:type="dxa" w:w="2592"/>
          </w:tcPr>
          <w:p>
            <w:r>
              <w:t>1.550%</w:t>
            </w:r>
          </w:p>
        </w:tc>
        <w:tc>
          <w:tcPr>
            <w:tcW w:type="dxa" w:w="2592"/>
          </w:tcPr>
          <w:p>
            <w:r>
              <w:t>1.951%</w:t>
            </w:r>
          </w:p>
        </w:tc>
        <w:tc>
          <w:tcPr>
            <w:tcW w:type="dxa" w:w="2592"/>
          </w:tcPr>
          <w:p>
            <w:r>
              <w:t>+25.86% relative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Mix-adjusted targeted rate</w:t>
            </w:r>
          </w:p>
        </w:tc>
        <w:tc>
          <w:tcPr>
            <w:tcW w:type="dxa" w:w="2592"/>
          </w:tcPr>
          <w:p>
            <w:r>
              <w:t>1.550%</w:t>
            </w:r>
          </w:p>
        </w:tc>
        <w:tc>
          <w:tcPr>
            <w:tcW w:type="dxa" w:w="2592"/>
          </w:tcPr>
          <w:p>
            <w:r>
              <w:t>1.955%</w:t>
            </w:r>
          </w:p>
        </w:tc>
        <w:tc>
          <w:tcPr>
            <w:tcW w:type="dxa" w:w="2592"/>
          </w:tcPr>
          <w:p>
            <w:r>
              <w:t>+26.17% relative</w:t>
            </w:r>
          </w:p>
        </w:tc>
      </w:tr>
    </w:tbl>
    <w:p>
      <w:r>
        <w:t>Conclusion - Fact: the +11% Feb→Mar recovery arithmetic is real after primary-key deduplication. Strong Evidence: the improvement is not explained by DPD/risk/loan mix; bootstrap 95% interval for targeted-rate relative change is approximately 7.9% to 47.9%. But the business statement “recovery is improving” is misleading if interpreted as a sustained trend: the Jan-Jul clean-recovery trend p-value is 0.89, and April falls after March.</w:t>
      </w:r>
    </w:p>
    <w:p>
      <w:r>
        <w:drawing>
          <wp:inline xmlns:a="http://schemas.openxmlformats.org/drawingml/2006/main" xmlns:pic="http://schemas.openxmlformats.org/drawingml/2006/picture">
            <wp:extent cx="6126480" cy="3000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rgeted_recovery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0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Why Did It Happen? - Driver Investigation</w:t>
      </w:r>
    </w:p>
    <w:p>
      <w:r>
        <w:t>The supplied synthetic data does not contain a single causal driver that explains March. Segment results are useful for targeting and operating design, but are classified as correlation unless randomized or identified through a credible natural experiment.</w:t>
      </w:r>
    </w:p>
    <w:p>
      <w:r>
        <w:drawing>
          <wp:inline xmlns:a="http://schemas.openxmlformats.org/drawingml/2006/main" xmlns:pic="http://schemas.openxmlformats.org/drawingml/2006/picture">
            <wp:extent cx="5852160" cy="3616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pd_recove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6160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isk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98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an_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Correlations: 31-60 DPD has the highest observed recovery rate among DPD groups, LOW/HIGH outperform NPA modestly, and AUTO/CONSUMER outperform PERSONAL/CREDIT_CARD. These are ranking signals, not causal effects.</w:t>
      </w:r>
    </w:p>
    <w:p>
      <w:r>
        <w:drawing>
          <wp:inline xmlns:a="http://schemas.openxmlformats.org/drawingml/2006/main" xmlns:pic="http://schemas.openxmlformats.org/drawingml/2006/picture">
            <wp:extent cx="5852160" cy="3206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iority_sig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Strong Evidence of targeting headroom: the existing priority field is not monotonic with observed recovery. A well-calibrated priority score should normally rank expected value more consistently; this motivates a targeting experiment.</w:t>
      </w:r>
    </w:p>
    <w:p>
      <w:r>
        <w:drawing>
          <wp:inline xmlns:a="http://schemas.openxmlformats.org/drawingml/2006/main" xmlns:pic="http://schemas.openxmlformats.org/drawingml/2006/picture">
            <wp:extent cx="5852160" cy="36160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annel_conver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Channel last-touch conversion is tightly clustered. Voice is highest in this 7-day attribution view, but only ~9% of successful payments have a meaningful interaction in the prior seven days, so channel causality cannot be claimed from last-touch attribution.</w:t>
      </w:r>
    </w:p>
    <w:p>
      <w:r>
        <w:drawing>
          <wp:inline xmlns:a="http://schemas.openxmlformats.org/drawingml/2006/main" xmlns:pic="http://schemas.openxmlformats.org/drawingml/2006/picture">
            <wp:extent cx="5852160" cy="26136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endor_contact_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Telephony vendor contact rates vary only modestly (~19-21%), providing no evidence of a system-wide telephony failure large enough to justify a ₹10 Cr infrastructure bet from this dataset alone.</w:t>
      </w:r>
    </w:p>
    <w:p>
      <w:r>
        <w:drawing>
          <wp:inline xmlns:a="http://schemas.openxmlformats.org/drawingml/2006/main" xmlns:pic="http://schemas.openxmlformats.org/drawingml/2006/picture">
            <wp:extent cx="6035040" cy="24422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lling_time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4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Calling-time patterns are normalized to IST. Use these as scheduling correlations; routing different borrower types into different hours can confound observed contact rates.</w:t>
      </w:r>
    </w:p>
    <w:p>
      <w:r>
        <w:drawing>
          <wp:inline xmlns:a="http://schemas.openxmlformats.org/drawingml/2006/main" xmlns:pic="http://schemas.openxmlformats.org/drawingml/2006/picture">
            <wp:extent cx="5852160" cy="32061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ttempt_frequen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6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Attempt frequency is also selection-biased: difficult accounts may receive more attempts. The chart is therefore diagnostic, not a causal recommendation to increase/decrease attempts.</w:t>
      </w:r>
    </w:p>
    <w:p>
      <w:pPr>
        <w:pStyle w:val="Heading1"/>
      </w:pPr>
      <w:r>
        <w:t>8. Statistical Investigation and Bias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  <w:vAlign w:val="center"/>
          </w:tcPr>
          <w:p>
            <w:r>
              <w:t>Risk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How checked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Result / treatment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Mix effects</w:t>
            </w:r>
          </w:p>
        </w:tc>
        <w:tc>
          <w:tcPr>
            <w:tcW w:type="dxa" w:w="3456"/>
          </w:tcPr>
          <w:p>
            <w:r>
              <w:t>Feb-weight standardization across DPD × risk × loan</w:t>
            </w:r>
          </w:p>
        </w:tc>
        <w:tc>
          <w:tcPr>
            <w:tcW w:type="dxa" w:w="3456"/>
          </w:tcPr>
          <w:p>
            <w:r>
              <w:t>March relative lift remains ~26.2%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Selection bias</w:t>
            </w:r>
          </w:p>
        </w:tc>
        <w:tc>
          <w:tcPr>
            <w:tcW w:type="dxa" w:w="3456"/>
          </w:tcPr>
          <w:p>
            <w:r>
              <w:t>Targeted-only denominator and explicit non-random targeting caveat</w:t>
            </w:r>
          </w:p>
        </w:tc>
        <w:tc>
          <w:tcPr>
            <w:tcW w:type="dxa" w:w="3456"/>
          </w:tcPr>
          <w:p>
            <w:r>
              <w:t>Not eliminated; experiment required.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Survivorship bias</w:t>
            </w:r>
          </w:p>
        </w:tc>
        <w:tc>
          <w:tcPr>
            <w:tcW w:type="dxa" w:w="3456"/>
          </w:tcPr>
          <w:p>
            <w:r>
              <w:t>Use targeted account-month denominator, not only contacted/paying accounts</w:t>
            </w:r>
          </w:p>
        </w:tc>
        <w:tc>
          <w:tcPr>
            <w:tcW w:type="dxa" w:w="3456"/>
          </w:tcPr>
          <w:p>
            <w:r>
              <w:t>Reduced, but historical active-status snapshots absent.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Simpson’s paradox</w:t>
            </w:r>
          </w:p>
        </w:tc>
        <w:tc>
          <w:tcPr>
            <w:tcW w:type="dxa" w:w="3456"/>
          </w:tcPr>
          <w:p>
            <w:r>
              <w:t>Compare aggregate and segment-standardized rates</w:t>
            </w:r>
          </w:p>
        </w:tc>
        <w:tc>
          <w:tcPr>
            <w:tcW w:type="dxa" w:w="3456"/>
          </w:tcPr>
          <w:p>
            <w:r>
              <w:t>No evidence that these three mix dimensions explain March spike.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Attribution-window bias</w:t>
            </w:r>
          </w:p>
        </w:tc>
        <w:tc>
          <w:tcPr>
            <w:tcW w:type="dxa" w:w="3456"/>
          </w:tcPr>
          <w:p>
            <w:r>
              <w:t>Use stated 7-day last-touch and label as non-causal</w:t>
            </w:r>
          </w:p>
        </w:tc>
        <w:tc>
          <w:tcPr>
            <w:tcW w:type="dxa" w:w="3456"/>
          </w:tcPr>
          <w:p>
            <w:r>
              <w:t>Sensitivity should be rerun at 3/14 days in production.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Time-series effects</w:t>
            </w:r>
          </w:p>
        </w:tc>
        <w:tc>
          <w:tcPr>
            <w:tcW w:type="dxa" w:w="3456"/>
          </w:tcPr>
          <w:p>
            <w:r>
              <w:t>Exclude partial Aug; Jan-Jul trend regression</w:t>
            </w:r>
          </w:p>
        </w:tc>
        <w:tc>
          <w:tcPr>
            <w:tcW w:type="dxa" w:w="3456"/>
          </w:tcPr>
          <w:p>
            <w:r>
              <w:t>No sustained trend.</w:t>
            </w:r>
          </w:p>
        </w:tc>
      </w:tr>
    </w:tbl>
    <w:p>
      <w:pPr>
        <w:pStyle w:val="Heading1"/>
      </w:pPr>
      <w:r>
        <w:t>9. Counterfactual - What If Targeting Had Not Changed?</w:t>
      </w:r>
    </w:p>
    <w:p>
      <w:r>
        <w:t>The assignment asks for a counterfactual assuming targeting changed mid-period. The delivered files do not contain a clean switch flag or a stable untreated comparison population. Therefore an apparently precise retrospective causal estimate would be fabricated. The proposed identification strategy is a stratified randomized holdout: randomize eligible accounts within DPD × risk × loan/client/geography strata; treatment receives new ranking/routing, control retains current targeting; primary outcome is 30-day recovery / opening exposure; estimate intention-to-treat lift with robust confidence intervals. Guardrails: complaints, contact frequency, PTP kept, and borrower opt-outs.</w:t>
      </w:r>
    </w:p>
    <w:p>
      <w:r>
        <w:t>If leadership insists on retrospective analysis, use matched Difference-in-Differences only after validating stable treatment assignment, overlap, and parallel pre-trends. Propensity scores can improve balance but cannot solve unmeasured confounding.</w:t>
      </w:r>
    </w:p>
    <w:p>
      <w:pPr>
        <w:pStyle w:val="Heading1"/>
      </w:pPr>
      <w:r>
        <w:t>10. ₹10 Cr Investment Recommendation</w:t>
      </w:r>
    </w:p>
    <w:p>
      <w:r>
        <w:t>Recommendation: Better Borrower Targeting - stage-gated. Reasons: (1) current priority is poorly calibrated to recovery, (2) measurable segment spread exists, (3) telephony vendor differences are small, (4) no direct AI-voice treatment exists, (5) field/digital cost data is absent, and (6) adding agents cannot be justified without marginal capacity/cost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D9EAF7"/>
            <w:vAlign w:val="center"/>
          </w:tcPr>
          <w:p>
            <w:r>
              <w:t>Scenario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Incremental lift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Annual recovery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1-year ROI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t>Break-even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Downside</w:t>
            </w:r>
          </w:p>
        </w:tc>
        <w:tc>
          <w:tcPr>
            <w:tcW w:type="dxa" w:w="2074"/>
          </w:tcPr>
          <w:p>
            <w:r>
              <w:t>0.10 pp</w:t>
            </w:r>
          </w:p>
        </w:tc>
        <w:tc>
          <w:tcPr>
            <w:tcW w:type="dxa" w:w="2074"/>
          </w:tcPr>
          <w:p>
            <w:r>
              <w:t>₹2.35 Cr</w:t>
            </w:r>
          </w:p>
        </w:tc>
        <w:tc>
          <w:tcPr>
            <w:tcW w:type="dxa" w:w="2074"/>
          </w:tcPr>
          <w:p>
            <w:r>
              <w:t>-76.5%</w:t>
            </w:r>
          </w:p>
        </w:tc>
        <w:tc>
          <w:tcPr>
            <w:tcW w:type="dxa" w:w="2074"/>
          </w:tcPr>
          <w:p>
            <w:r>
              <w:t>51.0 mo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Evidence-based base</w:t>
            </w:r>
          </w:p>
        </w:tc>
        <w:tc>
          <w:tcPr>
            <w:tcW w:type="dxa" w:w="2074"/>
          </w:tcPr>
          <w:p>
            <w:r>
              <w:t>0.20 pp</w:t>
            </w:r>
          </w:p>
        </w:tc>
        <w:tc>
          <w:tcPr>
            <w:tcW w:type="dxa" w:w="2074"/>
          </w:tcPr>
          <w:p>
            <w:r>
              <w:t>₹4.69 Cr</w:t>
            </w:r>
          </w:p>
        </w:tc>
        <w:tc>
          <w:tcPr>
            <w:tcW w:type="dxa" w:w="2074"/>
          </w:tcPr>
          <w:p>
            <w:r>
              <w:t>-53.1%</w:t>
            </w:r>
          </w:p>
        </w:tc>
        <w:tc>
          <w:tcPr>
            <w:tcW w:type="dxa" w:w="2074"/>
          </w:tcPr>
          <w:p>
            <w:r>
              <w:t>25.6 mo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t>Upside / hurdle</w:t>
            </w:r>
          </w:p>
        </w:tc>
        <w:tc>
          <w:tcPr>
            <w:tcW w:type="dxa" w:w="2074"/>
          </w:tcPr>
          <w:p>
            <w:r>
              <w:t>0.50 pp</w:t>
            </w:r>
          </w:p>
        </w:tc>
        <w:tc>
          <w:tcPr>
            <w:tcW w:type="dxa" w:w="2074"/>
          </w:tcPr>
          <w:p>
            <w:r>
              <w:t>₹11.76 Cr</w:t>
            </w:r>
          </w:p>
        </w:tc>
        <w:tc>
          <w:tcPr>
            <w:tcW w:type="dxa" w:w="2074"/>
          </w:tcPr>
          <w:p>
            <w:r>
              <w:t>17.6%</w:t>
            </w:r>
          </w:p>
        </w:tc>
        <w:tc>
          <w:tcPr>
            <w:tcW w:type="dxa" w:w="2074"/>
          </w:tcPr>
          <w:p>
            <w:r>
              <w:t>10.2 mo</w:t>
            </w:r>
          </w:p>
        </w:tc>
      </w:tr>
    </w:tbl>
    <w:p>
      <w:r>
        <w:t>Break-even hurdle: approximately 0.43 percentage points incremental recovery on annualized targeted exposure. Because the observational backtest does not prove this threshold, the optimal bank-grade decision is to reserve the ₹10 Cr budget for targeting but release it in tranches after an experiment validates lift. Confidence in “targeting is the best candidate” = Medium; confidence in a positive one-year ROI at full ₹10 Cr = Low with current data.</w:t>
      </w:r>
    </w:p>
    <w:p>
      <w:pPr>
        <w:pStyle w:val="Heading1"/>
      </w:pPr>
      <w:r>
        <w:t>11. Production Analytics Design</w:t>
      </w:r>
    </w:p>
    <w:p>
      <w:r>
        <w:drawing>
          <wp:inline xmlns:a="http://schemas.openxmlformats.org/drawingml/2006/main" xmlns:pic="http://schemas.openxmlformats.org/drawingml/2006/picture">
            <wp:extent cx="6400800" cy="18996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archite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99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Data contracts: explicit PKs, timestamp timezone, allowed statuses/disposition mappings, schema versions.</w:t>
      </w:r>
    </w:p>
    <w:p>
      <w:pPr>
        <w:pStyle w:val="ListBullet"/>
      </w:pPr>
      <w:r>
        <w:t>Primary keys: account_id, payment_id, call_id, target_id, message/event IDs; enforce uniqueness after staging.</w:t>
      </w:r>
    </w:p>
    <w:p>
      <w:pPr>
        <w:pStyle w:val="ListBullet"/>
      </w:pPr>
      <w:r>
        <w:t>Lineage: every executive KPI traces to golden account-month and source records.</w:t>
      </w:r>
    </w:p>
    <w:p>
      <w:pPr>
        <w:pStyle w:val="ListBullet"/>
      </w:pPr>
      <w:r>
        <w:t>Incremental processing: watermark by ingestion/recorded timestamp; partition events by event date.</w:t>
      </w:r>
    </w:p>
    <w:p>
      <w:pPr>
        <w:pStyle w:val="ListBullet"/>
      </w:pPr>
      <w:r>
        <w:t>Late arrivals/backfills: rolling reprocess window plus idempotent MERGE keyed by event ID.</w:t>
      </w:r>
    </w:p>
    <w:p>
      <w:pPr>
        <w:pStyle w:val="ListBullet"/>
      </w:pPr>
      <w:r>
        <w:t>Quality monitoring: uniqueness, referential integrity, borrower/account mismatch, negative/implausible time order, partial-day completeness, distribution shifts.</w:t>
      </w:r>
    </w:p>
    <w:p>
      <w:pPr>
        <w:pStyle w:val="ListBullet"/>
      </w:pPr>
      <w:r>
        <w:t>Anomaly detection: monthly/day-level recovery, target denominator, vendor contact rate, attribution share and duplicate-rate control charts.</w:t>
      </w:r>
    </w:p>
    <w:p>
      <w:pPr>
        <w:pStyle w:val="Heading1"/>
      </w:pPr>
      <w:r>
        <w:t>12. Deliverables and How to Use the Repository</w:t>
      </w:r>
    </w:p>
    <w:p>
      <w:pPr>
        <w:pStyle w:val="ListBullet"/>
      </w:pPr>
      <w:r>
        <w:t>README.md - front-page executive summary and reproducibility instructions.</w:t>
      </w:r>
    </w:p>
    <w:p>
      <w:pPr>
        <w:pStyle w:val="ListBullet"/>
      </w:pPr>
      <w:r>
        <w:t>notebooks/collections_forensic_analysis.ipynb - reasoning and evidence.</w:t>
      </w:r>
    </w:p>
    <w:p>
      <w:pPr>
        <w:pStyle w:val="ListBullet"/>
      </w:pPr>
      <w:r>
        <w:t>sql/ - production-style staging, cleaning, golden, metrics and forensic queries.</w:t>
      </w:r>
    </w:p>
    <w:p>
      <w:pPr>
        <w:pStyle w:val="ListBullet"/>
      </w:pPr>
      <w:r>
        <w:t>data/golden/golden_account_month.csv - final analytical layer.</w:t>
      </w:r>
    </w:p>
    <w:p>
      <w:pPr>
        <w:pStyle w:val="ListBullet"/>
      </w:pPr>
      <w:r>
        <w:t>reports/data_quality_summary.csv - detected issues and impact.</w:t>
      </w:r>
    </w:p>
    <w:p>
      <w:pPr>
        <w:pStyle w:val="ListBullet"/>
      </w:pPr>
      <w:r>
        <w:t>dashboard/executive_dashboard.html - hoverable one-screen CEO dashboard.</w:t>
      </w:r>
    </w:p>
    <w:p>
      <w:pPr>
        <w:pStyle w:val="ListBullet"/>
      </w:pPr>
      <w:r>
        <w:t>reports/Executive_Memo.pdf - two-page leadership memo.</w:t>
      </w:r>
    </w:p>
    <w:p>
      <w:pPr>
        <w:pStyle w:val="ListBullet"/>
      </w:pPr>
      <w:r>
        <w:t>architecture/production_architecture.png - implementation-ready flow.</w:t>
      </w:r>
    </w:p>
    <w:p>
      <w:pPr>
        <w:pStyle w:val="Heading1"/>
      </w:pPr>
      <w:r>
        <w:t>13. Final Conclusions by Assignment Part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  <w:vAlign w:val="center"/>
          </w:tcPr>
          <w:p>
            <w:r>
              <w:t>Part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What was done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t>Concluded result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Golden dataset</w:t>
            </w:r>
          </w:p>
        </w:tc>
        <w:tc>
          <w:tcPr>
            <w:tcW w:type="dxa" w:w="3456"/>
          </w:tcPr>
          <w:p>
            <w:r>
              <w:t>Defined account-month grain, canonical keys, dedupe, identity resolution and explicit denominators.</w:t>
            </w:r>
          </w:p>
        </w:tc>
        <w:tc>
          <w:tcPr>
            <w:tcW w:type="dxa" w:w="3456"/>
          </w:tcPr>
          <w:p>
            <w:r>
              <w:t>Trust account_id; event borrower_id is unusable for segmentation.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Data forensics</w:t>
            </w:r>
          </w:p>
        </w:tc>
        <w:tc>
          <w:tcPr>
            <w:tcW w:type="dxa" w:w="3456"/>
          </w:tcPr>
          <w:p>
            <w:r>
              <w:t>Audited duplicates, references, timestamps, identities, partial period and denominator risks.</w:t>
            </w:r>
          </w:p>
        </w:tc>
        <w:tc>
          <w:tcPr>
            <w:tcW w:type="dxa" w:w="3456"/>
          </w:tcPr>
          <w:p>
            <w:r>
              <w:t>Material data issues exist; cleaning changes rupee totals but not the 11% direction.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Statistical investigation</w:t>
            </w:r>
          </w:p>
        </w:tc>
        <w:tc>
          <w:tcPr>
            <w:tcW w:type="dxa" w:w="3456"/>
          </w:tcPr>
          <w:p>
            <w:r>
              <w:t>Mix standardization, bootstrap uncertainty, trend test, bias review.</w:t>
            </w:r>
          </w:p>
        </w:tc>
        <w:tc>
          <w:tcPr>
            <w:tcW w:type="dxa" w:w="3456"/>
          </w:tcPr>
          <w:p>
            <w:r>
              <w:t>March spike survives mix adjustment; no sustained Jan-Jul improvement.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11% claim</w:t>
            </w:r>
          </w:p>
        </w:tc>
        <w:tc>
          <w:tcPr>
            <w:tcW w:type="dxa" w:w="3456"/>
          </w:tcPr>
          <w:p>
            <w:r>
              <w:t>Compared raw, cleaned and targeted-exposure metrics.</w:t>
            </w:r>
          </w:p>
        </w:tc>
        <w:tc>
          <w:tcPr>
            <w:tcW w:type="dxa" w:w="3456"/>
          </w:tcPr>
          <w:p>
            <w:r>
              <w:t>Numerically true for Feb→Mar; misleading if stated as structural performance improvement.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Counterfactual</w:t>
            </w:r>
          </w:p>
        </w:tc>
        <w:tc>
          <w:tcPr>
            <w:tcW w:type="dxa" w:w="3456"/>
          </w:tcPr>
          <w:p>
            <w:r>
              <w:t>Assessed identifiability and designed randomized holdout / DiD fallback.</w:t>
            </w:r>
          </w:p>
        </w:tc>
        <w:tc>
          <w:tcPr>
            <w:tcW w:type="dxa" w:w="3456"/>
          </w:tcPr>
          <w:p>
            <w:r>
              <w:t>No defensible causal switch estimate from supplied files alone.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₹10 Cr</w:t>
            </w:r>
          </w:p>
        </w:tc>
        <w:tc>
          <w:tcPr>
            <w:tcW w:type="dxa" w:w="3456"/>
          </w:tcPr>
          <w:p>
            <w:r>
              <w:t>Compared evidence across telephony, agents, AI voice, targeting, digital and field; modeled hurdle/scenarios.</w:t>
            </w:r>
          </w:p>
        </w:tc>
        <w:tc>
          <w:tcPr>
            <w:tcW w:type="dxa" w:w="3456"/>
          </w:tcPr>
          <w:p>
            <w:r>
              <w:t>Targeting is best candidate, but stage-gate until ≥ break-even lift is proven.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Production design</w:t>
            </w:r>
          </w:p>
        </w:tc>
        <w:tc>
          <w:tcPr>
            <w:tcW w:type="dxa" w:w="3456"/>
          </w:tcPr>
          <w:p>
            <w:r>
              <w:t>Designed raw→staging→clean→golden→feature→metrics→dashboard with controls.</w:t>
            </w:r>
          </w:p>
        </w:tc>
        <w:tc>
          <w:tcPr>
            <w:tcW w:type="dxa" w:w="3456"/>
          </w:tcPr>
          <w:p>
            <w:r>
              <w:t>Practical engineering path with lineage, backfills and monitoring.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