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line="360"/>
      </w:pPr>
      <w:r>
        <w:rPr>
          <w:rFonts w:ascii="Times New Roman" w:cs="Times New Roman" w:eastAsia="Times New Roman" w:hAnsi="Times New Roman"/>
          <w:sz w:val="24"/>
          <w:szCs w:val="24"/>
        </w:rPr>
        <w:t xml:space="preserve"/>
      </w:r>
    </w:p>
    <w:p>
      <w:pPr>
        <w:spacing w:after="0" w:before="1440" w:line="360"/>
      </w:pPr>
      <w:r>
        <w:rPr>
          <w:rFonts w:ascii="Times New Roman" w:cs="Times New Roman" w:eastAsia="Times New Roman" w:hAnsi="Times New Roman"/>
          <w:sz w:val="24"/>
          <w:szCs w:val="24"/>
        </w:rPr>
        <w:t xml:space="preserve"/>
      </w:r>
    </w:p>
    <w:p>
      <w:pPr>
        <w:spacing w:after="240" w:before="0" w:line="360"/>
        <w:jc w:val="center"/>
      </w:pPr>
      <w:r>
        <w:rPr>
          <w:rFonts w:ascii="Times New Roman" w:cs="Times New Roman" w:eastAsia="Times New Roman" w:hAnsi="Times New Roman"/>
          <w:b/>
          <w:bCs/>
          <w:sz w:val="28"/>
          <w:szCs w:val="28"/>
        </w:rPr>
        <w:t xml:space="preserve">CYBERSECURITY IN THE AGE OF REMOTE WORK:</w:t>
      </w:r>
    </w:p>
    <w:p>
      <w:pPr>
        <w:spacing w:after="720" w:before="0" w:line="360"/>
        <w:jc w:val="center"/>
      </w:pPr>
      <w:r>
        <w:rPr>
          <w:rFonts w:ascii="Times New Roman" w:cs="Times New Roman" w:eastAsia="Times New Roman" w:hAnsi="Times New Roman"/>
          <w:b/>
          <w:bCs/>
          <w:sz w:val="28"/>
          <w:szCs w:val="28"/>
        </w:rPr>
        <w:t xml:space="preserve">PERILS OF WORK-FROM-HOME AND MITIGATION STRATEGIES</w:t>
      </w:r>
    </w:p>
    <w:p>
      <w:pPr>
        <w:spacing w:after="0" w:before="720" w:line="360"/>
      </w:pPr>
      <w:r>
        <w:rPr>
          <w:rFonts w:ascii="Times New Roman" w:cs="Times New Roman" w:eastAsia="Times New Roman" w:hAnsi="Times New Roman"/>
          <w:sz w:val="24"/>
          <w:szCs w:val="24"/>
        </w:rPr>
        <w:t xml:space="preserve"/>
      </w:r>
    </w:p>
    <w:p>
      <w:pPr>
        <w:spacing w:after="120" w:before="120" w:line="360"/>
        <w:jc w:val="center"/>
      </w:pPr>
      <w:r>
        <w:rPr>
          <w:rFonts w:ascii="Times New Roman" w:cs="Times New Roman" w:eastAsia="Times New Roman" w:hAnsi="Times New Roman"/>
          <w:b/>
          <w:bCs/>
          <w:sz w:val="24"/>
          <w:szCs w:val="24"/>
        </w:rPr>
        <w:t xml:space="preserve">Course Name / Code:</w:t>
      </w:r>
    </w:p>
    <w:p>
      <w:pPr>
        <w:spacing w:after="360" w:before="0" w:line="360"/>
        <w:jc w:val="center"/>
      </w:pPr>
      <w:r>
        <w:rPr>
          <w:rFonts w:ascii="Times New Roman" w:cs="Times New Roman" w:eastAsia="Times New Roman" w:hAnsi="Times New Roman"/>
          <w:sz w:val="24"/>
          <w:szCs w:val="24"/>
        </w:rPr>
        <w:t xml:space="preserve">[Course Name / Code]</w:t>
      </w:r>
    </w:p>
    <w:p>
      <w:pPr>
        <w:spacing w:after="120" w:before="0" w:line="360"/>
        <w:jc w:val="center"/>
      </w:pPr>
      <w:r>
        <w:rPr>
          <w:rFonts w:ascii="Times New Roman" w:cs="Times New Roman" w:eastAsia="Times New Roman" w:hAnsi="Times New Roman"/>
          <w:b/>
          <w:bCs/>
          <w:sz w:val="24"/>
          <w:szCs w:val="24"/>
        </w:rPr>
        <w:t xml:space="preserve">Submitted by:</w:t>
      </w:r>
    </w:p>
    <w:p>
      <w:pPr>
        <w:spacing w:after="120" w:before="0" w:line="360"/>
        <w:jc w:val="center"/>
      </w:pPr>
      <w:r>
        <w:rPr>
          <w:rFonts w:ascii="Times New Roman" w:cs="Times New Roman" w:eastAsia="Times New Roman" w:hAnsi="Times New Roman"/>
          <w:sz w:val="24"/>
          <w:szCs w:val="24"/>
        </w:rPr>
        <w:t xml:space="preserve">[Student Name]</w:t>
      </w:r>
    </w:p>
    <w:p>
      <w:pPr>
        <w:spacing w:after="360" w:before="0" w:line="360"/>
        <w:jc w:val="center"/>
      </w:pPr>
      <w:r>
        <w:rPr>
          <w:rFonts w:ascii="Times New Roman" w:cs="Times New Roman" w:eastAsia="Times New Roman" w:hAnsi="Times New Roman"/>
          <w:sz w:val="24"/>
          <w:szCs w:val="24"/>
        </w:rPr>
        <w:t xml:space="preserve">Entry Number: [XXXXXXXXX]</w:t>
      </w:r>
    </w:p>
    <w:p>
      <w:pPr>
        <w:spacing w:after="120" w:before="0" w:line="360"/>
        <w:jc w:val="center"/>
      </w:pPr>
      <w:r>
        <w:rPr>
          <w:rFonts w:ascii="Times New Roman" w:cs="Times New Roman" w:eastAsia="Times New Roman" w:hAnsi="Times New Roman"/>
          <w:sz w:val="24"/>
          <w:szCs w:val="24"/>
        </w:rPr>
        <w:t xml:space="preserve">Submission Date: 15 March 2026</w:t>
      </w:r>
    </w:p>
    <w:p>
      <w:pPr>
        <w:spacing w:line="240"/>
      </w:pPr>
      <w:r>
        <w:br w:type="page"/>
      </w:r>
    </w:p>
    <w:p>
      <w:pPr>
        <w:sectPr>
          <w:pgSz w:w="11906" w:h="16838" w:orient="portrait"/>
          <w:pgMar w:top="1440" w:right="1440" w:bottom="1440" w:left="1440" w:header="708" w:footer="708" w:gutter="0"/>
          <w:pgNumType w:start="1" w:fmt="decimal"/>
          <w:docGrid w:linePitch="360"/>
        </w:sectPr>
      </w:pPr>
    </w:p>
    <w:p>
      <w:pPr>
        <w:spacing w:after="120" w:before="240" w:line="360"/>
        <w:jc w:val="left"/>
      </w:pPr>
      <w:r>
        <w:rPr>
          <w:rFonts w:ascii="Times New Roman" w:cs="Times New Roman" w:eastAsia="Times New Roman" w:hAnsi="Times New Roman"/>
          <w:b/>
          <w:bCs/>
          <w:sz w:val="28"/>
          <w:szCs w:val="28"/>
        </w:rPr>
        <w:t xml:space="preserve">ABSTRACT</w:t>
      </w:r>
    </w:p>
    <w:p>
      <w:pPr>
        <w:spacing w:after="120" w:before="0" w:line="360"/>
      </w:pPr>
      <w:r>
        <w:rPr>
          <w:rFonts w:ascii="Times New Roman" w:cs="Times New Roman" w:eastAsia="Times New Roman" w:hAnsi="Times New Roman"/>
          <w:sz w:val="24"/>
          <w:szCs w:val="24"/>
        </w:rPr>
        <w:t xml:space="preserve">The rapid shift to remote work, accelerated by the COVID-19 pandemic, has fundamentally altered the corporate cybersecurity landscape. Work-from-Home (WFH) arrangements expand the organizational attack surface by relocating employees to uncontrolled environments — home networks, personal devices, and unsecured communication channels. This report examines the principal cybersecurity threats arising from WFH adoption, including insecure home networks, phishing and social engineering, weak credentials, Bring Your Own Device (BYOD) risks, VPN vulnerabilities, and insider threats. Four high-profile real-world case studies — the Twitter (2020) social-engineering breach, the SolarWinds (2020) supply-chain attack, the Ubiquiti (2020) insider threat, and the Ivanti (2024) VPN zero-day — illustrate how these vulnerabilities manifest in practice. The report concludes with a layered mitigation framework encompassing technical controls (Zero Trust Architecture, Multi-Factor Authentication, Endpoint Detection and Response), procedural measures (security-awareness training, phishing simulations, regular auditing), and governance policies (least-privilege access, vendor scrutiny, Data Loss Prevention). The findings emphasize that no single control is sufficient; only a holistic defence-in-depth strategy can adequately secure the distributed workforce.</w:t>
      </w:r>
    </w:p>
    <w:p>
      <w:pPr>
        <w:spacing w:after="240" w:before="120"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Work-from-Home, Cybersecurity, Remote Work, Phishing, Zero Trust, VPN, Ransomware, Insider Threat, Endpoint Security, BYOD</w:t>
      </w:r>
    </w:p>
    <w:p>
      <w:pPr>
        <w:spacing w:after="120" w:before="240" w:line="360"/>
        <w:jc w:val="left"/>
      </w:pPr>
      <w:r>
        <w:rPr>
          <w:rFonts w:ascii="Times New Roman" w:cs="Times New Roman" w:eastAsia="Times New Roman" w:hAnsi="Times New Roman"/>
          <w:b/>
          <w:bCs/>
          <w:sz w:val="28"/>
          <w:szCs w:val="28"/>
        </w:rPr>
        <w:t xml:space="preserve">1. INTRODUCTION</w:t>
      </w:r>
    </w:p>
    <w:p>
      <w:pPr>
        <w:spacing w:after="120" w:before="0" w:line="360"/>
      </w:pPr>
      <w:r>
        <w:rPr>
          <w:rFonts w:ascii="Times New Roman" w:cs="Times New Roman" w:eastAsia="Times New Roman" w:hAnsi="Times New Roman"/>
          <w:sz w:val="24"/>
          <w:szCs w:val="24"/>
        </w:rPr>
        <w:t xml:space="preserve">The COVID-19 pandemic forced organisations worldwide to adopt remote work at an unprecedented scale. While WFH has delivered productivity and flexibility benefits, it has simultaneously dismantled the traditional corporate security perimeter. Employees now access sensitive systems from home networks, personal devices, and public hotspots — environments entirely outside the organisation's direct control. According to IBM's Cost of a Data Breach Report, 86 per cent of C-level executives believe the risk of a data breach is higher when employees work remotely.</w:t>
      </w:r>
      <w:r>
        <w:rPr>
          <w:rStyle w:val="EndnoteReference"/>
        </w:rPr>
        <w:endnoteReference w:id="1"/>
      </w:r>
    </w:p>
    <w:p>
      <w:pPr>
        <w:spacing w:after="120" w:before="0" w:line="360"/>
      </w:pPr>
      <w:r>
        <w:rPr>
          <w:rFonts w:ascii="Times New Roman" w:cs="Times New Roman" w:eastAsia="Times New Roman" w:hAnsi="Times New Roman"/>
          <w:sz w:val="24"/>
          <w:szCs w:val="24"/>
        </w:rPr>
        <w:t xml:space="preserve">The Verizon Data Breach Investigations Report consistently identifies the human element as the leading factor in security incidents.</w:t>
      </w:r>
      <w:r>
        <w:rPr>
          <w:rStyle w:val="EndnoteReference"/>
        </w:rPr>
        <w:endnoteReference w:id="2"/>
      </w:r>
      <w:r>
        <w:rPr>
          <w:rFonts w:ascii="Times New Roman" w:cs="Times New Roman" w:eastAsia="Times New Roman" w:hAnsi="Times New Roman"/>
          <w:sz w:val="24"/>
          <w:szCs w:val="24"/>
        </w:rPr>
        <w:t xml:space="preserve"> In a WFH context, this human element is compounded by technological shortcomings: outdated routers, absent endpoint controls, and the blurring of personal and professional digital boundaries. This report provides a structured analysis of the major cybersecurity perils of WFH, supported by case studies, and proposes a layered mitigation framework.</w:t>
      </w:r>
    </w:p>
    <w:p>
      <w:pPr>
        <w:spacing w:after="120" w:before="240" w:line="360"/>
        <w:jc w:val="left"/>
      </w:pPr>
      <w:r>
        <w:rPr>
          <w:rFonts w:ascii="Times New Roman" w:cs="Times New Roman" w:eastAsia="Times New Roman" w:hAnsi="Times New Roman"/>
          <w:b/>
          <w:bCs/>
          <w:sz w:val="28"/>
          <w:szCs w:val="28"/>
        </w:rPr>
        <w:t xml:space="preserve">2. CYBERSECURITY PERILS OF WFH</w:t>
      </w:r>
    </w:p>
    <w:p>
      <w:pPr>
        <w:spacing w:after="80" w:before="200" w:line="360"/>
        <w:jc w:val="left"/>
      </w:pPr>
      <w:r>
        <w:rPr>
          <w:rFonts w:ascii="Times New Roman" w:cs="Times New Roman" w:eastAsia="Times New Roman" w:hAnsi="Times New Roman"/>
          <w:b/>
          <w:bCs/>
          <w:sz w:val="24"/>
          <w:szCs w:val="24"/>
          <w:u w:val="single"/>
        </w:rPr>
        <w:t xml:space="preserve">2.1 Insecure Home Networks</w:t>
      </w:r>
    </w:p>
    <w:p>
      <w:pPr>
        <w:spacing w:after="120" w:before="0" w:line="360"/>
      </w:pPr>
      <w:r>
        <w:rPr>
          <w:rFonts w:ascii="Times New Roman" w:cs="Times New Roman" w:eastAsia="Times New Roman" w:hAnsi="Times New Roman"/>
          <w:sz w:val="24"/>
          <w:szCs w:val="24"/>
        </w:rPr>
        <w:t xml:space="preserve">Home networks are inherently less secure than enterprise environments. Most consumer routers ship with default credentials, outdated firmware, and no network segmentation. Attackers exploit these weaknesses via man-in-the-middle attacks and rogue Wi-Fi access points ("evil twins"). The Cybersecurity and Infrastructure Security Agency (CISA) has issued formal guidance warning remote workers of these threats.</w:t>
      </w:r>
      <w:r>
        <w:rPr>
          <w:rStyle w:val="EndnoteReference"/>
        </w:rPr>
        <w:endnoteReference w:id="3"/>
      </w:r>
    </w:p>
    <w:p>
      <w:pPr>
        <w:spacing w:after="80" w:before="200" w:line="360"/>
        <w:jc w:val="left"/>
      </w:pPr>
      <w:r>
        <w:rPr>
          <w:rFonts w:ascii="Times New Roman" w:cs="Times New Roman" w:eastAsia="Times New Roman" w:hAnsi="Times New Roman"/>
          <w:b/>
          <w:bCs/>
          <w:sz w:val="24"/>
          <w:szCs w:val="24"/>
          <w:u w:val="single"/>
        </w:rPr>
        <w:t xml:space="preserve">2.2 Phishing and Social Engineering</w:t>
      </w:r>
    </w:p>
    <w:p>
      <w:pPr>
        <w:spacing w:after="120" w:before="0" w:line="360"/>
      </w:pPr>
      <w:r>
        <w:rPr>
          <w:rFonts w:ascii="Times New Roman" w:cs="Times New Roman" w:eastAsia="Times New Roman" w:hAnsi="Times New Roman"/>
          <w:sz w:val="24"/>
          <w:szCs w:val="24"/>
        </w:rPr>
        <w:t xml:space="preserve">Remote workers depend heavily on email, messaging applications, and video-conferencing platforms, creating fertile ground for phishing and social engineering. The absence of in-person verification makes impersonation attacks — including Business Email Compromise (BEC) and "CEO-imposter" schemes — far more effective. Studies indicate a 300 per cent increase in reported cyberattacks coinciding with the mass adoption of WFH.</w:t>
      </w:r>
    </w:p>
    <w:p>
      <w:pPr>
        <w:spacing w:after="80" w:before="200" w:line="360"/>
        <w:jc w:val="left"/>
      </w:pPr>
      <w:r>
        <w:rPr>
          <w:rFonts w:ascii="Times New Roman" w:cs="Times New Roman" w:eastAsia="Times New Roman" w:hAnsi="Times New Roman"/>
          <w:b/>
          <w:bCs/>
          <w:sz w:val="24"/>
          <w:szCs w:val="24"/>
          <w:u w:val="single"/>
        </w:rPr>
        <w:t xml:space="preserve">2.3 Weak and Reused Credentials</w:t>
      </w:r>
    </w:p>
    <w:p>
      <w:pPr>
        <w:spacing w:after="120" w:before="0" w:line="360"/>
      </w:pPr>
      <w:r>
        <w:rPr>
          <w:rFonts w:ascii="Times New Roman" w:cs="Times New Roman" w:eastAsia="Times New Roman" w:hAnsi="Times New Roman"/>
          <w:sz w:val="24"/>
          <w:szCs w:val="24"/>
        </w:rPr>
        <w:t xml:space="preserve">Password reuse across personal and corporate accounts remains endemic. Credential-stuffing attacks leverage databases of leaked passwords to compromise corporate accounts, particularly where Multi-Factor Authentication (MFA) is absent. The SolarWinds breach (discussed in Section 3.2) partly originated in an employee-level password of alarming simplicity.</w:t>
      </w:r>
    </w:p>
    <w:p>
      <w:pPr>
        <w:spacing w:after="80" w:before="200" w:line="360"/>
        <w:jc w:val="left"/>
      </w:pPr>
      <w:r>
        <w:rPr>
          <w:rFonts w:ascii="Times New Roman" w:cs="Times New Roman" w:eastAsia="Times New Roman" w:hAnsi="Times New Roman"/>
          <w:b/>
          <w:bCs/>
          <w:sz w:val="24"/>
          <w:szCs w:val="24"/>
          <w:u w:val="single"/>
        </w:rPr>
        <w:t xml:space="preserve">2.4 BYOD and Personal Device Risks</w:t>
      </w:r>
    </w:p>
    <w:p>
      <w:pPr>
        <w:spacing w:after="120" w:before="0" w:line="360"/>
      </w:pPr>
      <w:r>
        <w:rPr>
          <w:rFonts w:ascii="Times New Roman" w:cs="Times New Roman" w:eastAsia="Times New Roman" w:hAnsi="Times New Roman"/>
          <w:sz w:val="24"/>
          <w:szCs w:val="24"/>
        </w:rPr>
        <w:t xml:space="preserve">Bring Your Own Device (BYOD) policies, while cost-effective, introduce significant security gaps. Personal devices typically lack endpoint protection software, centralised patch management, and full-disk encryption. Family members sharing the same device further increase the risk of inadvertent data exposure or malware introduction.</w:t>
      </w:r>
    </w:p>
    <w:p>
      <w:pPr>
        <w:spacing w:after="80" w:before="200" w:line="360"/>
        <w:jc w:val="left"/>
      </w:pPr>
      <w:r>
        <w:rPr>
          <w:rFonts w:ascii="Times New Roman" w:cs="Times New Roman" w:eastAsia="Times New Roman" w:hAnsi="Times New Roman"/>
          <w:b/>
          <w:bCs/>
          <w:sz w:val="24"/>
          <w:szCs w:val="24"/>
          <w:u w:val="single"/>
        </w:rPr>
        <w:t xml:space="preserve">2.5 VPN Vulnerabilities</w:t>
      </w:r>
    </w:p>
    <w:p>
      <w:pPr>
        <w:spacing w:after="120" w:before="0" w:line="360"/>
      </w:pPr>
      <w:r>
        <w:rPr>
          <w:rFonts w:ascii="Times New Roman" w:cs="Times New Roman" w:eastAsia="Times New Roman" w:hAnsi="Times New Roman"/>
          <w:sz w:val="24"/>
          <w:szCs w:val="24"/>
        </w:rPr>
        <w:t xml:space="preserve">Virtual Private Networks (VPNs) are the default remote-access tool for most organisations, yet they present a growing threat surface. A 47 per cent year-on-year increase in disclosed VPN vulnerabilities was recorded in 2023, with a projected further 22 per cent rise in 2024.</w:t>
      </w:r>
      <w:r>
        <w:rPr>
          <w:rStyle w:val="EndnoteReference"/>
        </w:rPr>
        <w:endnoteReference w:id="9"/>
      </w:r>
      <w:r>
        <w:rPr>
          <w:rFonts w:ascii="Times New Roman" w:cs="Times New Roman" w:eastAsia="Times New Roman" w:hAnsi="Times New Roman"/>
          <w:sz w:val="24"/>
          <w:szCs w:val="24"/>
        </w:rPr>
        <w:t xml:space="preserve"> Attackers specifically target VPN gateways because a single compromised endpoint can provide privileged access to entire corporate networks.</w:t>
      </w:r>
    </w:p>
    <w:p>
      <w:pPr>
        <w:spacing w:after="80" w:before="200" w:line="360"/>
        <w:jc w:val="left"/>
      </w:pPr>
      <w:r>
        <w:rPr>
          <w:rFonts w:ascii="Times New Roman" w:cs="Times New Roman" w:eastAsia="Times New Roman" w:hAnsi="Times New Roman"/>
          <w:b/>
          <w:bCs/>
          <w:sz w:val="24"/>
          <w:szCs w:val="24"/>
          <w:u w:val="single"/>
        </w:rPr>
        <w:t xml:space="preserve">2.6 Insider Threats</w:t>
      </w:r>
    </w:p>
    <w:p>
      <w:pPr>
        <w:spacing w:after="120" w:before="0" w:line="360"/>
      </w:pPr>
      <w:r>
        <w:rPr>
          <w:rFonts w:ascii="Times New Roman" w:cs="Times New Roman" w:eastAsia="Times New Roman" w:hAnsi="Times New Roman"/>
          <w:sz w:val="24"/>
          <w:szCs w:val="24"/>
        </w:rPr>
        <w:t xml:space="preserve">The physical oversight mechanisms of a shared office — visible screens, proximity to colleagues, controlled access points — are absent in a remote setting. Disgruntled or malicious employees can exfiltrate data, install backdoors, or conduct extortion campaigns with significantly reduced risk of immediate detection, as illustrated by the Ubiquiti case in Section 3.3.</w:t>
      </w:r>
    </w:p>
    <w:p>
      <w:pPr>
        <w:spacing w:after="120" w:before="240" w:line="360"/>
        <w:jc w:val="left"/>
      </w:pPr>
      <w:r>
        <w:rPr>
          <w:rFonts w:ascii="Times New Roman" w:cs="Times New Roman" w:eastAsia="Times New Roman" w:hAnsi="Times New Roman"/>
          <w:b/>
          <w:bCs/>
          <w:sz w:val="28"/>
          <w:szCs w:val="28"/>
        </w:rPr>
        <w:t xml:space="preserve">3. CASE STUDIES</w:t>
      </w:r>
    </w:p>
    <w:p>
      <w:pPr>
        <w:spacing w:after="80" w:before="200" w:line="360"/>
        <w:jc w:val="left"/>
      </w:pPr>
      <w:r>
        <w:rPr>
          <w:rFonts w:ascii="Times New Roman" w:cs="Times New Roman" w:eastAsia="Times New Roman" w:hAnsi="Times New Roman"/>
          <w:b/>
          <w:bCs/>
          <w:sz w:val="24"/>
          <w:szCs w:val="24"/>
          <w:u w:val="single"/>
        </w:rPr>
        <w:t xml:space="preserve">3.1 Twitter Breach, 2020 — Social Engineering via Remote-Work Pretexts</w:t>
      </w:r>
    </w:p>
    <w:p>
      <w:pPr>
        <w:spacing w:after="120" w:before="0" w:line="360"/>
      </w:pPr>
      <w:r>
        <w:rPr>
          <w:rFonts w:ascii="Times New Roman" w:cs="Times New Roman" w:eastAsia="Times New Roman" w:hAnsi="Times New Roman"/>
          <w:sz w:val="24"/>
          <w:szCs w:val="24"/>
        </w:rPr>
        <w:t xml:space="preserve">On 15 July 2020, attackers conducted a coordinated vishing (voice phishing) campaign against Twitter employees working remotely. Posing as Twitter IT support staff, they exploited the normalisation of VPN troubleshooting calls — a routine occurrence since Twitter's WFH transition — to trick employees into entering credentials on a spoofed VPN portal. Real-time credential relay gave the attackers access to Twitter's internal admin tools. The attackers seized 130 high-profile accounts (including Barack Obama, Elon Musk, and Jeff Bezos) to run a Bitcoin scam that yielded over US$118,000. The New York Department of Financial Services investigation cited Twitter's failure to adequately address the new vulnerabilities created by pandemic-driven remote work as a core enabling factor.</w:t>
      </w:r>
      <w:r>
        <w:rPr>
          <w:rStyle w:val="EndnoteReference"/>
        </w:rPr>
        <w:endnoteReference w:id="4"/>
      </w:r>
    </w:p>
    <w:p>
      <w:pPr>
        <w:spacing w:after="120" w:before="0" w:line="360"/>
      </w:pPr>
      <w:r>
        <w:rPr>
          <w:rFonts w:ascii="Times New Roman" w:cs="Times New Roman" w:eastAsia="Times New Roman" w:hAnsi="Times New Roman"/>
          <w:sz w:val="24"/>
          <w:szCs w:val="24"/>
        </w:rPr>
        <w:t xml:space="preserve">Lesson: Remote work normalises irregular IT activity, providing attackers with credible social engineering pretexts that would be far more suspicious in an office setting.</w:t>
      </w:r>
    </w:p>
    <w:p>
      <w:pPr>
        <w:spacing w:after="80" w:before="200" w:line="360"/>
        <w:jc w:val="left"/>
      </w:pPr>
      <w:r>
        <w:rPr>
          <w:rFonts w:ascii="Times New Roman" w:cs="Times New Roman" w:eastAsia="Times New Roman" w:hAnsi="Times New Roman"/>
          <w:b/>
          <w:bCs/>
          <w:sz w:val="24"/>
          <w:szCs w:val="24"/>
          <w:u w:val="single"/>
        </w:rPr>
        <w:t xml:space="preserve">3.2 SolarWinds Supply-Chain Attack, 2020 — Remote Access as Kill Chain</w:t>
      </w:r>
    </w:p>
    <w:p>
      <w:pPr>
        <w:spacing w:after="120" w:before="0" w:line="360"/>
      </w:pPr>
      <w:r>
        <w:rPr>
          <w:rFonts w:ascii="Times New Roman" w:cs="Times New Roman" w:eastAsia="Times New Roman" w:hAnsi="Times New Roman"/>
          <w:sz w:val="24"/>
          <w:szCs w:val="24"/>
        </w:rPr>
        <w:t xml:space="preserve">In a campaign attributed to the Russian Foreign Intelligence Service (SVR), attackers injected trojanised code into SolarWinds' Orion software updates between February and June 2020. The backdoor, distributed to over 18,000 customers, enabled persistent remote access to government and corporate networks including the U.S. Departments of Homeland Security, Treasury, and Commerce, as well as Microsoft and FireEye.</w:t>
      </w:r>
      <w:r>
        <w:rPr>
          <w:rStyle w:val="EndnoteReference"/>
        </w:rPr>
        <w:endnoteReference w:id="5"/>
      </w:r>
      <w:r>
        <w:rPr>
          <w:rFonts w:ascii="Times New Roman" w:cs="Times New Roman" w:eastAsia="Times New Roman" w:hAnsi="Times New Roman"/>
          <w:sz w:val="24"/>
          <w:szCs w:val="24"/>
        </w:rPr>
        <w:t xml:space="preserve"> Post-incident investigation revealed that an employee's password was "solarwinds123", highlighting how poor credential hygiene by remote staff can enable nation-state intrusions. SolarWinds' stock declined 40 per cent in the week following disclosure.</w:t>
      </w:r>
    </w:p>
    <w:p>
      <w:pPr>
        <w:spacing w:after="120" w:before="0" w:line="360"/>
      </w:pPr>
      <w:r>
        <w:rPr>
          <w:rFonts w:ascii="Times New Roman" w:cs="Times New Roman" w:eastAsia="Times New Roman" w:hAnsi="Times New Roman"/>
          <w:sz w:val="24"/>
          <w:szCs w:val="24"/>
        </w:rPr>
        <w:t xml:space="preserve">Lesson: Remote access infrastructure is a high-value target. Credential hygiene at every level of the organisation is non-negotiable.</w:t>
      </w:r>
    </w:p>
    <w:p>
      <w:pPr>
        <w:spacing w:after="80" w:before="200" w:line="360"/>
        <w:jc w:val="left"/>
      </w:pPr>
      <w:r>
        <w:rPr>
          <w:rFonts w:ascii="Times New Roman" w:cs="Times New Roman" w:eastAsia="Times New Roman" w:hAnsi="Times New Roman"/>
          <w:b/>
          <w:bCs/>
          <w:sz w:val="24"/>
          <w:szCs w:val="24"/>
          <w:u w:val="single"/>
        </w:rPr>
        <w:t xml:space="preserve">3.3 Ubiquiti Insider Threat, 2020 — The Malicious Remote Employee</w:t>
      </w:r>
    </w:p>
    <w:p>
      <w:pPr>
        <w:spacing w:after="120" w:before="0" w:line="360"/>
      </w:pPr>
      <w:r>
        <w:rPr>
          <w:rFonts w:ascii="Times New Roman" w:cs="Times New Roman" w:eastAsia="Times New Roman" w:hAnsi="Times New Roman"/>
          <w:sz w:val="24"/>
          <w:szCs w:val="24"/>
        </w:rPr>
        <w:t xml:space="preserve">In December 2020, Nickolas Sharp, a senior developer at Ubiquiti Inc., exploited his administrative access to the company's AWS and GitHub environments to exfiltrate confidential data while simultaneously participating in the internal incident response team investigating the breach he had engineered. He demanded a US$2 million ransom; when refused, he impersonated a whistleblower to spread damaging misinformation. Ubiquiti's market capitalisation fell by over US$4 billion. Sharp was identified only because a temporary internet outage inadvertently exposed his true IP address during exfiltration. He was subsequently sentenced to six years in federal prison.</w:t>
      </w:r>
      <w:r>
        <w:rPr>
          <w:rStyle w:val="EndnoteReference"/>
        </w:rPr>
        <w:endnoteReference w:id="6"/>
      </w:r>
    </w:p>
    <w:p>
      <w:pPr>
        <w:spacing w:after="120" w:before="0" w:line="360"/>
      </w:pPr>
      <w:r>
        <w:rPr>
          <w:rFonts w:ascii="Times New Roman" w:cs="Times New Roman" w:eastAsia="Times New Roman" w:hAnsi="Times New Roman"/>
          <w:sz w:val="24"/>
          <w:szCs w:val="24"/>
        </w:rPr>
        <w:t xml:space="preserve">Lesson: Remote work eliminates natural physical-oversight mechanisms. Privileged remote access without robust monitoring, audit logging, and least-privilege enforcement dramatically amplifies insider threat risk.</w:t>
      </w:r>
    </w:p>
    <w:p>
      <w:pPr>
        <w:spacing w:after="80" w:before="200" w:line="360"/>
        <w:jc w:val="left"/>
      </w:pPr>
      <w:r>
        <w:rPr>
          <w:rFonts w:ascii="Times New Roman" w:cs="Times New Roman" w:eastAsia="Times New Roman" w:hAnsi="Times New Roman"/>
          <w:b/>
          <w:bCs/>
          <w:sz w:val="24"/>
          <w:szCs w:val="24"/>
          <w:u w:val="single"/>
        </w:rPr>
        <w:t xml:space="preserve">3.4 Ivanti VPN Zero-Days, 2024 — Remote-Access Tools as Attack Vectors</w:t>
      </w:r>
    </w:p>
    <w:p>
      <w:pPr>
        <w:spacing w:after="120" w:before="0" w:line="360"/>
      </w:pPr>
      <w:r>
        <w:rPr>
          <w:rFonts w:ascii="Times New Roman" w:cs="Times New Roman" w:eastAsia="Times New Roman" w:hAnsi="Times New Roman"/>
          <w:sz w:val="24"/>
          <w:szCs w:val="24"/>
        </w:rPr>
        <w:t xml:space="preserve">In January 2024, Ivanti disclosed two critical vulnerabilities (CVE-2023-46805 and CVE-2024-21887) in its widely deployed Connect Secure and Policy Secure remote access products. The flaws, which allowed unauthenticated command execution, were actively exploited before patches were widely applied. Threat actors implanted persistent backdoors, meaning organisations remained compromised even after applying patches without performing full factory resets.</w:t>
      </w:r>
      <w:r>
        <w:rPr>
          <w:rStyle w:val="EndnoteReference"/>
        </w:rPr>
        <w:endnoteReference w:id="7"/>
      </w:r>
    </w:p>
    <w:p>
      <w:pPr>
        <w:spacing w:after="120" w:before="0" w:line="360"/>
      </w:pPr>
      <w:r>
        <w:rPr>
          <w:rFonts w:ascii="Times New Roman" w:cs="Times New Roman" w:eastAsia="Times New Roman" w:hAnsi="Times New Roman"/>
          <w:sz w:val="24"/>
          <w:szCs w:val="24"/>
        </w:rPr>
        <w:t xml:space="preserve">Lesson: VPNs and remote-access gateways are themselves high-priority targets. Organisations must adopt aggressive patch cycles, monitor for post-exploitation persistence, and consider Zero Trust Network Access (ZTNA) as an architectural replacement.</w:t>
      </w:r>
    </w:p>
    <w:p>
      <w:pPr>
        <w:spacing w:after="120" w:before="240" w:line="360"/>
        <w:jc w:val="left"/>
      </w:pPr>
      <w:r>
        <w:rPr>
          <w:rFonts w:ascii="Times New Roman" w:cs="Times New Roman" w:eastAsia="Times New Roman" w:hAnsi="Times New Roman"/>
          <w:b/>
          <w:bCs/>
          <w:sz w:val="28"/>
          <w:szCs w:val="28"/>
        </w:rPr>
        <w:t xml:space="preserve">4. MITIGATION STRATEGIES</w:t>
      </w:r>
    </w:p>
    <w:p>
      <w:pPr>
        <w:spacing w:after="80" w:before="200" w:line="360"/>
        <w:jc w:val="left"/>
      </w:pPr>
      <w:r>
        <w:rPr>
          <w:rFonts w:ascii="Times New Roman" w:cs="Times New Roman" w:eastAsia="Times New Roman" w:hAnsi="Times New Roman"/>
          <w:b/>
          <w:bCs/>
          <w:sz w:val="24"/>
          <w:szCs w:val="24"/>
          <w:u w:val="single"/>
        </w:rPr>
        <w:t xml:space="preserve">4.1 Identity Layer — Zero Trust and MFA</w:t>
      </w:r>
    </w:p>
    <w:p>
      <w:pPr>
        <w:spacing w:after="120" w:before="0" w:line="360"/>
      </w:pPr>
      <w:r>
        <w:rPr>
          <w:rFonts w:ascii="Times New Roman" w:cs="Times New Roman" w:eastAsia="Times New Roman" w:hAnsi="Times New Roman"/>
          <w:sz w:val="24"/>
          <w:szCs w:val="24"/>
        </w:rPr>
        <w:t xml:space="preserve">The Zero Trust Architecture (ZTA) principle — "never trust, always verify" — is the most effective conceptual framework for securing distributed workforces.</w:t>
      </w:r>
      <w:r>
        <w:rPr>
          <w:rStyle w:val="EndnoteReference"/>
        </w:rPr>
        <w:endnoteReference w:id="8"/>
      </w:r>
      <w:r>
        <w:rPr>
          <w:rFonts w:ascii="Times New Roman" w:cs="Times New Roman" w:eastAsia="Times New Roman" w:hAnsi="Times New Roman"/>
          <w:sz w:val="24"/>
          <w:szCs w:val="24"/>
        </w:rPr>
        <w:t xml:space="preserve"> Every access request must be authenticated, authorised, and continuously validated regardless of network location. At minimum, all corporate applications and VPN connections should enforce MFA, which neutralises the risk of stolen credentials in isolation.</w:t>
      </w:r>
    </w:p>
    <w:p>
      <w:pPr>
        <w:spacing w:after="80" w:before="200" w:line="360"/>
        <w:jc w:val="left"/>
      </w:pPr>
      <w:r>
        <w:rPr>
          <w:rFonts w:ascii="Times New Roman" w:cs="Times New Roman" w:eastAsia="Times New Roman" w:hAnsi="Times New Roman"/>
          <w:b/>
          <w:bCs/>
          <w:sz w:val="24"/>
          <w:szCs w:val="24"/>
          <w:u w:val="single"/>
        </w:rPr>
        <w:t xml:space="preserve">4.2 Network Layer — Secure Remote Access</w:t>
      </w:r>
    </w:p>
    <w:p>
      <w:pPr>
        <w:spacing w:after="120" w:before="0" w:line="360"/>
      </w:pPr>
      <w:r>
        <w:rPr>
          <w:rFonts w:ascii="Times New Roman" w:cs="Times New Roman" w:eastAsia="Times New Roman" w:hAnsi="Times New Roman"/>
          <w:sz w:val="24"/>
          <w:szCs w:val="24"/>
        </w:rPr>
        <w:t xml:space="preserve">Organisations should transition from legacy VPN architectures to Secure Access Service Edge (SASE) or ZTNA frameworks that provide cloud-native, identity-aware access without exposing the full corporate network. Where VPNs are retained, split tunnelling should be restricted, and gateways must be patched promptly. Employees should be guided to use WPA3 encryption on home routers and to isolate work devices on a separate network segment.</w:t>
      </w:r>
    </w:p>
    <w:p>
      <w:pPr>
        <w:spacing w:after="80" w:before="200" w:line="360"/>
        <w:jc w:val="left"/>
      </w:pPr>
      <w:r>
        <w:rPr>
          <w:rFonts w:ascii="Times New Roman" w:cs="Times New Roman" w:eastAsia="Times New Roman" w:hAnsi="Times New Roman"/>
          <w:b/>
          <w:bCs/>
          <w:sz w:val="24"/>
          <w:szCs w:val="24"/>
          <w:u w:val="single"/>
        </w:rPr>
        <w:t xml:space="preserve">4.3 Endpoint Layer — EDR and MDM</w:t>
      </w:r>
    </w:p>
    <w:p>
      <w:pPr>
        <w:spacing w:after="120" w:before="0" w:line="360"/>
      </w:pPr>
      <w:r>
        <w:rPr>
          <w:rFonts w:ascii="Times New Roman" w:cs="Times New Roman" w:eastAsia="Times New Roman" w:hAnsi="Times New Roman"/>
          <w:sz w:val="24"/>
          <w:szCs w:val="24"/>
        </w:rPr>
        <w:t xml:space="preserve">Company-managed endpoints should be equipped with Endpoint Detection and Response (EDR) software, full-disk encryption, and centralised patch management. Where BYOD is unavoidable, Mobile Device Management (MDM) and containerisation solutions should enforce a logical separation between personal and corporate data, preventing cross-contamination.</w:t>
      </w:r>
    </w:p>
    <w:p>
      <w:pPr>
        <w:spacing w:after="80" w:before="200" w:line="360"/>
        <w:jc w:val="left"/>
      </w:pPr>
      <w:r>
        <w:rPr>
          <w:rFonts w:ascii="Times New Roman" w:cs="Times New Roman" w:eastAsia="Times New Roman" w:hAnsi="Times New Roman"/>
          <w:b/>
          <w:bCs/>
          <w:sz w:val="24"/>
          <w:szCs w:val="24"/>
          <w:u w:val="single"/>
        </w:rPr>
        <w:t xml:space="preserve">4.4 Human Layer — Awareness and Simulation</w:t>
      </w:r>
    </w:p>
    <w:p>
      <w:pPr>
        <w:spacing w:after="120" w:before="0" w:line="360"/>
      </w:pPr>
      <w:r>
        <w:rPr>
          <w:rFonts w:ascii="Times New Roman" w:cs="Times New Roman" w:eastAsia="Times New Roman" w:hAnsi="Times New Roman"/>
          <w:sz w:val="24"/>
          <w:szCs w:val="24"/>
        </w:rPr>
        <w:t xml:space="preserve">Technical controls are ineffective if employees remain susceptible to social engineering. Organisations should conduct regular security awareness training tailored to remote-work scenarios — including phishing simulations, vishing awareness, and safe video-conferencing practices.</w:t>
      </w:r>
      <w:r>
        <w:rPr>
          <w:rStyle w:val="EndnoteReference"/>
        </w:rPr>
        <w:endnoteReference w:id="10"/>
      </w:r>
      <w:r>
        <w:rPr>
          <w:rFonts w:ascii="Times New Roman" w:cs="Times New Roman" w:eastAsia="Times New Roman" w:hAnsi="Times New Roman"/>
          <w:sz w:val="24"/>
          <w:szCs w:val="24"/>
        </w:rPr>
        <w:t xml:space="preserve"> Reporting channels should be clearly communicated and stigma-free to encourage employees to flag suspicious contacts promptly.</w:t>
      </w:r>
    </w:p>
    <w:p>
      <w:pPr>
        <w:spacing w:after="80" w:before="200" w:line="360"/>
        <w:jc w:val="left"/>
      </w:pPr>
      <w:r>
        <w:rPr>
          <w:rFonts w:ascii="Times New Roman" w:cs="Times New Roman" w:eastAsia="Times New Roman" w:hAnsi="Times New Roman"/>
          <w:b/>
          <w:bCs/>
          <w:sz w:val="24"/>
          <w:szCs w:val="24"/>
          <w:u w:val="single"/>
        </w:rPr>
        <w:t xml:space="preserve">4.5 Governance Layer — Policy, Auditing, and Vendor Management</w:t>
      </w:r>
    </w:p>
    <w:p>
      <w:pPr>
        <w:spacing w:after="120" w:before="0" w:line="360"/>
      </w:pPr>
      <w:r>
        <w:rPr>
          <w:rFonts w:ascii="Times New Roman" w:cs="Times New Roman" w:eastAsia="Times New Roman" w:hAnsi="Times New Roman"/>
          <w:sz w:val="24"/>
          <w:szCs w:val="24"/>
        </w:rPr>
        <w:t xml:space="preserve">Least-privilege access control must be enforced rigorously, with standing administrative privileges minimised or eliminated. Regular access reviews and audit logging deter insider threats and enable rapid incident response. Supply-chain risk — demonstrated so devastatingly by SolarWinds — requires organisations to assess the security posture of all third-party software providers and apply rigorous software-bill-of-materials (SBOM) practices.</w:t>
      </w:r>
    </w:p>
    <w:p>
      <w:pPr>
        <w:spacing w:after="120" w:before="240" w:line="360"/>
        <w:jc w:val="left"/>
      </w:pPr>
      <w:r>
        <w:rPr>
          <w:rFonts w:ascii="Times New Roman" w:cs="Times New Roman" w:eastAsia="Times New Roman" w:hAnsi="Times New Roman"/>
          <w:b/>
          <w:bCs/>
          <w:sz w:val="28"/>
          <w:szCs w:val="28"/>
        </w:rPr>
        <w:t xml:space="preserve">5. CONCLUSION</w:t>
      </w:r>
    </w:p>
    <w:p>
      <w:pPr>
        <w:spacing w:after="120" w:before="0" w:line="360"/>
      </w:pPr>
      <w:r>
        <w:rPr>
          <w:rFonts w:ascii="Times New Roman" w:cs="Times New Roman" w:eastAsia="Times New Roman" w:hAnsi="Times New Roman"/>
          <w:sz w:val="24"/>
          <w:szCs w:val="24"/>
        </w:rPr>
        <w:t xml:space="preserve">The WFH era has permanently altered the organisational security perimeter. The four case studies examined in this report share a common thread: attackers rarely required sophisticated zero-day exploits when distracted remote employees, poor password hygiene, unchecked privileged access, and unpatched remote-access tools presented far easier avenues of attack. A layered, defence-in-depth approach — combining Zero Trust Architecture, mandatory MFA, robust endpoint protection, continuous security-awareness training, and proactive governance — is the only credible response to a threat landscape that has fundamentally and irreversibly changed. Cybersecurity in the age of remote work is not a technical problem alone; it is an organisational, cultural, and policy challenge requiring sustained commitment at every level.</w:t>
      </w:r>
    </w:p>
    <w:p>
      <w:pPr>
        <w:spacing w:after="0" w:before="480" w:line="240"/>
      </w:pPr>
      <w:r>
        <w:rPr>
          <w:rFonts w:ascii="Times New Roman" w:cs="Times New Roman" w:eastAsia="Times New Roman" w:hAnsi="Times New Roman"/>
          <w:sz w:val="24"/>
          <w:szCs w:val="24"/>
        </w:rPr>
        <w:t xml:space="preserve"/>
      </w:r>
    </w:p>
    <w:p>
      <w:pPr>
        <w:spacing w:after="120" w:before="120" w:line="240"/>
      </w:pPr>
      <w:r>
        <w:rPr>
          <w:rFonts w:ascii="Times New Roman" w:cs="Times New Roman" w:eastAsia="Times New Roman" w:hAnsi="Times New Roman"/>
          <w:b/>
          <w:bCs/>
          <w:sz w:val="24"/>
          <w:szCs w:val="24"/>
        </w:rPr>
        <w:t xml:space="preserve">ENDNOTES</w:t>
      </w:r>
    </w:p>
    <w:sectPr>
      <w:headerReference w:type="default" r:id="rId7"/>
      <w:pgSz w:w="11906" w:h="16838" w:orient="portrait"/>
      <w:pgMar w:top="1440" w:right="1440" w:bottom="1440" w:left="1440" w:header="708" w:footer="708" w:gutter="0"/>
      <w:pgNumType w:start="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 w:id="1">
    <w:p>
      <w:pPr>
        <w:spacing w:line="240"/>
      </w:pPr>
      <w:r>
        <w:rPr>
          <w:rStyle w:val="EndnoteReference"/>
        </w:rPr>
        <w:endnoteRef/>
      </w:r>
      <w:r>
        <w:rPr>
          <w:rFonts w:ascii="Times New Roman" w:cs="Times New Roman" w:eastAsia="Times New Roman" w:hAnsi="Times New Roman"/>
          <w:sz w:val="20"/>
          <w:szCs w:val="20"/>
        </w:rPr>
        <w:t xml:space="preserve"> IBM Security, Cost of a Data Breach Report 2023.</w:t>
      </w:r>
      <w:r>
        <w:rPr>
          <w:rFonts w:ascii="Times New Roman" w:cs="Times New Roman" w:eastAsia="Times New Roman" w:hAnsi="Times New Roman"/>
          <w:sz w:val="20"/>
          <w:szCs w:val="20"/>
        </w:rPr>
        <w:t xml:space="preserve"> </w:t>
      </w:r>
      <w:hyperlink w:history="1" r:id="rIda5f0zpoaeizitpfe8trgr">
        <w:r>
          <w:rPr>
            <w:rStyle w:val="Hyperlink"/>
            <w:rFonts w:ascii="Times New Roman" w:cs="Times New Roman" w:eastAsia="Times New Roman" w:hAnsi="Times New Roman"/>
            <w:color w:val="0563C1"/>
            <w:sz w:val="20"/>
            <w:szCs w:val="20"/>
          </w:rPr>
          <w:t xml:space="preserve">https://www.ibm.com/reports/data-breach</w:t>
        </w:r>
      </w:hyperlink>
    </w:p>
  </w:endnote>
  <w:endnote w:id="2">
    <w:p>
      <w:pPr>
        <w:spacing w:line="240"/>
      </w:pPr>
      <w:r>
        <w:rPr>
          <w:rStyle w:val="EndnoteReference"/>
        </w:rPr>
        <w:endnoteRef/>
      </w:r>
      <w:r>
        <w:rPr>
          <w:rFonts w:ascii="Times New Roman" w:cs="Times New Roman" w:eastAsia="Times New Roman" w:hAnsi="Times New Roman"/>
          <w:sz w:val="20"/>
          <w:szCs w:val="20"/>
        </w:rPr>
        <w:t xml:space="preserve"> Verizon, Data Breach Investigations Report 2023.</w:t>
      </w:r>
      <w:r>
        <w:rPr>
          <w:rFonts w:ascii="Times New Roman" w:cs="Times New Roman" w:eastAsia="Times New Roman" w:hAnsi="Times New Roman"/>
          <w:sz w:val="20"/>
          <w:szCs w:val="20"/>
        </w:rPr>
        <w:t xml:space="preserve"> </w:t>
      </w:r>
      <w:hyperlink w:history="1" r:id="rIdvcgfj7pdyftkiafqfznf3">
        <w:r>
          <w:rPr>
            <w:rStyle w:val="Hyperlink"/>
            <w:rFonts w:ascii="Times New Roman" w:cs="Times New Roman" w:eastAsia="Times New Roman" w:hAnsi="Times New Roman"/>
            <w:color w:val="0563C1"/>
            <w:sz w:val="20"/>
            <w:szCs w:val="20"/>
          </w:rPr>
          <w:t xml:space="preserve">https://www.verizon.com/business/resources/reports/dbir/</w:t>
        </w:r>
      </w:hyperlink>
    </w:p>
  </w:endnote>
  <w:endnote w:id="3">
    <w:p>
      <w:pPr>
        <w:spacing w:line="240"/>
      </w:pPr>
      <w:r>
        <w:rPr>
          <w:rStyle w:val="EndnoteReference"/>
        </w:rPr>
        <w:endnoteRef/>
      </w:r>
      <w:r>
        <w:rPr>
          <w:rFonts w:ascii="Times New Roman" w:cs="Times New Roman" w:eastAsia="Times New Roman" w:hAnsi="Times New Roman"/>
          <w:sz w:val="20"/>
          <w:szCs w:val="20"/>
        </w:rPr>
        <w:t xml:space="preserve"> CISA, Working From Home Security Tips.</w:t>
      </w:r>
      <w:r>
        <w:rPr>
          <w:rFonts w:ascii="Times New Roman" w:cs="Times New Roman" w:eastAsia="Times New Roman" w:hAnsi="Times New Roman"/>
          <w:sz w:val="20"/>
          <w:szCs w:val="20"/>
        </w:rPr>
        <w:t xml:space="preserve"> </w:t>
      </w:r>
      <w:hyperlink w:history="1" r:id="rIdsfr5uzejl-mqq3fmeuval">
        <w:r>
          <w:rPr>
            <w:rStyle w:val="Hyperlink"/>
            <w:rFonts w:ascii="Times New Roman" w:cs="Times New Roman" w:eastAsia="Times New Roman" w:hAnsi="Times New Roman"/>
            <w:color w:val="0563C1"/>
            <w:sz w:val="20"/>
            <w:szCs w:val="20"/>
          </w:rPr>
          <w:t xml:space="preserve">https://www.cisa.gov/secure-our-world/wfh</w:t>
        </w:r>
      </w:hyperlink>
    </w:p>
  </w:endnote>
  <w:endnote w:id="4">
    <w:p>
      <w:pPr>
        <w:spacing w:line="240"/>
      </w:pPr>
      <w:r>
        <w:rPr>
          <w:rStyle w:val="EndnoteReference"/>
        </w:rPr>
        <w:endnoteRef/>
      </w:r>
      <w:r>
        <w:rPr>
          <w:rFonts w:ascii="Times New Roman" w:cs="Times New Roman" w:eastAsia="Times New Roman" w:hAnsi="Times New Roman"/>
          <w:sz w:val="20"/>
          <w:szCs w:val="20"/>
        </w:rPr>
        <w:t xml:space="preserve"> NY DFS, Twitter Investigation Report, October 2020.</w:t>
      </w:r>
      <w:r>
        <w:rPr>
          <w:rFonts w:ascii="Times New Roman" w:cs="Times New Roman" w:eastAsia="Times New Roman" w:hAnsi="Times New Roman"/>
          <w:sz w:val="20"/>
          <w:szCs w:val="20"/>
        </w:rPr>
        <w:t xml:space="preserve"> </w:t>
      </w:r>
      <w:hyperlink w:history="1" r:id="rId8q0rwm0mljj7m8uksqgxi">
        <w:r>
          <w:rPr>
            <w:rStyle w:val="Hyperlink"/>
            <w:rFonts w:ascii="Times New Roman" w:cs="Times New Roman" w:eastAsia="Times New Roman" w:hAnsi="Times New Roman"/>
            <w:color w:val="0563C1"/>
            <w:sz w:val="20"/>
            <w:szCs w:val="20"/>
          </w:rPr>
          <w:t xml:space="preserve">https://www.dfs.ny.gov/Twitter_Report</w:t>
        </w:r>
      </w:hyperlink>
    </w:p>
  </w:endnote>
  <w:endnote w:id="5">
    <w:p>
      <w:pPr>
        <w:spacing w:line="240"/>
      </w:pPr>
      <w:r>
        <w:rPr>
          <w:rStyle w:val="EndnoteReference"/>
        </w:rPr>
        <w:endnoteRef/>
      </w:r>
      <w:r>
        <w:rPr>
          <w:rFonts w:ascii="Times New Roman" w:cs="Times New Roman" w:eastAsia="Times New Roman" w:hAnsi="Times New Roman"/>
          <w:sz w:val="20"/>
          <w:szCs w:val="20"/>
        </w:rPr>
        <w:t xml:space="preserve"> CISA, SolarWinds Supply Chain Attack Advisory AA20-352A, December 2020.</w:t>
      </w:r>
      <w:r>
        <w:rPr>
          <w:rFonts w:ascii="Times New Roman" w:cs="Times New Roman" w:eastAsia="Times New Roman" w:hAnsi="Times New Roman"/>
          <w:sz w:val="20"/>
          <w:szCs w:val="20"/>
        </w:rPr>
        <w:t xml:space="preserve"> </w:t>
      </w:r>
      <w:hyperlink w:history="1" r:id="rIdmsldnc_f-uzyemuuav6_4">
        <w:r>
          <w:rPr>
            <w:rStyle w:val="Hyperlink"/>
            <w:rFonts w:ascii="Times New Roman" w:cs="Times New Roman" w:eastAsia="Times New Roman" w:hAnsi="Times New Roman"/>
            <w:color w:val="0563C1"/>
            <w:sz w:val="20"/>
            <w:szCs w:val="20"/>
          </w:rPr>
          <w:t xml:space="preserve">https://www.cisa.gov/news-events/cybersecurity-advisories/aa20-352a</w:t>
        </w:r>
      </w:hyperlink>
    </w:p>
  </w:endnote>
  <w:endnote w:id="6">
    <w:p>
      <w:pPr>
        <w:spacing w:line="240"/>
      </w:pPr>
      <w:r>
        <w:rPr>
          <w:rStyle w:val="EndnoteReference"/>
        </w:rPr>
        <w:endnoteRef/>
      </w:r>
      <w:r>
        <w:rPr>
          <w:rFonts w:ascii="Times New Roman" w:cs="Times New Roman" w:eastAsia="Times New Roman" w:hAnsi="Times New Roman"/>
          <w:sz w:val="20"/>
          <w:szCs w:val="20"/>
        </w:rPr>
        <w:t xml:space="preserve"> U.S. DOJ, Ubiquiti Developer Sentenced for Extortion and Wire Fraud, May 2023.</w:t>
      </w:r>
      <w:r>
        <w:rPr>
          <w:rFonts w:ascii="Times New Roman" w:cs="Times New Roman" w:eastAsia="Times New Roman" w:hAnsi="Times New Roman"/>
          <w:sz w:val="20"/>
          <w:szCs w:val="20"/>
        </w:rPr>
        <w:t xml:space="preserve"> </w:t>
      </w:r>
      <w:hyperlink w:history="1" r:id="rIdn39rjxk3b1k_fyooau-k2">
        <w:r>
          <w:rPr>
            <w:rStyle w:val="Hyperlink"/>
            <w:rFonts w:ascii="Times New Roman" w:cs="Times New Roman" w:eastAsia="Times New Roman" w:hAnsi="Times New Roman"/>
            <w:color w:val="0563C1"/>
            <w:sz w:val="20"/>
            <w:szCs w:val="20"/>
          </w:rPr>
          <w:t xml:space="preserve">https://www.justice.gov/usao-sdny/pr/former-employee-sentenced</w:t>
        </w:r>
      </w:hyperlink>
    </w:p>
  </w:endnote>
  <w:endnote w:id="7">
    <w:p>
      <w:pPr>
        <w:spacing w:line="240"/>
      </w:pPr>
      <w:r>
        <w:rPr>
          <w:rStyle w:val="EndnoteReference"/>
        </w:rPr>
        <w:endnoteRef/>
      </w:r>
      <w:r>
        <w:rPr>
          <w:rFonts w:ascii="Times New Roman" w:cs="Times New Roman" w:eastAsia="Times New Roman" w:hAnsi="Times New Roman"/>
          <w:sz w:val="20"/>
          <w:szCs w:val="20"/>
        </w:rPr>
        <w:t xml:space="preserve"> Ivanti, Security Advisory: CVE-2024-21887 and CVE-2023-46805, January 2024.</w:t>
      </w:r>
      <w:r>
        <w:rPr>
          <w:rFonts w:ascii="Times New Roman" w:cs="Times New Roman" w:eastAsia="Times New Roman" w:hAnsi="Times New Roman"/>
          <w:sz w:val="20"/>
          <w:szCs w:val="20"/>
        </w:rPr>
        <w:t xml:space="preserve"> </w:t>
      </w:r>
      <w:hyperlink w:history="1" r:id="rId4rvsujt_vlukubww9aliq">
        <w:r>
          <w:rPr>
            <w:rStyle w:val="Hyperlink"/>
            <w:rFonts w:ascii="Times New Roman" w:cs="Times New Roman" w:eastAsia="Times New Roman" w:hAnsi="Times New Roman"/>
            <w:color w:val="0563C1"/>
            <w:sz w:val="20"/>
            <w:szCs w:val="20"/>
          </w:rPr>
          <w:t xml:space="preserve">https://forums.ivanti.com/s/article/CVE-2023-46805</w:t>
        </w:r>
      </w:hyperlink>
    </w:p>
  </w:endnote>
  <w:endnote w:id="8">
    <w:p>
      <w:pPr>
        <w:spacing w:line="240"/>
      </w:pPr>
      <w:r>
        <w:rPr>
          <w:rStyle w:val="EndnoteReference"/>
        </w:rPr>
        <w:endnoteRef/>
      </w:r>
      <w:r>
        <w:rPr>
          <w:rFonts w:ascii="Times New Roman" w:cs="Times New Roman" w:eastAsia="Times New Roman" w:hAnsi="Times New Roman"/>
          <w:sz w:val="20"/>
          <w:szCs w:val="20"/>
        </w:rPr>
        <w:t xml:space="preserve"> NIST, Zero Trust Architecture, SP 800-207, August 2020.</w:t>
      </w:r>
      <w:r>
        <w:rPr>
          <w:rFonts w:ascii="Times New Roman" w:cs="Times New Roman" w:eastAsia="Times New Roman" w:hAnsi="Times New Roman"/>
          <w:sz w:val="20"/>
          <w:szCs w:val="20"/>
        </w:rPr>
        <w:t xml:space="preserve"> </w:t>
      </w:r>
      <w:hyperlink w:history="1" r:id="rIdtabo56ulvmmxg86nsxznr">
        <w:r>
          <w:rPr>
            <w:rStyle w:val="Hyperlink"/>
            <w:rFonts w:ascii="Times New Roman" w:cs="Times New Roman" w:eastAsia="Times New Roman" w:hAnsi="Times New Roman"/>
            <w:color w:val="0563C1"/>
            <w:sz w:val="20"/>
            <w:szCs w:val="20"/>
          </w:rPr>
          <w:t xml:space="preserve">https://doi.org/10.6028/NIST.SP.800-207</w:t>
        </w:r>
      </w:hyperlink>
    </w:p>
  </w:endnote>
  <w:endnote w:id="9">
    <w:p>
      <w:pPr>
        <w:spacing w:line="240"/>
      </w:pPr>
      <w:r>
        <w:rPr>
          <w:rStyle w:val="EndnoteReference"/>
        </w:rPr>
        <w:endnoteRef/>
      </w:r>
      <w:r>
        <w:rPr>
          <w:rFonts w:ascii="Times New Roman" w:cs="Times New Roman" w:eastAsia="Times New Roman" w:hAnsi="Times New Roman"/>
          <w:sz w:val="20"/>
          <w:szCs w:val="20"/>
        </w:rPr>
        <w:t xml:space="preserve"> Fortinet, Work From Home Cybersecurity Risks.</w:t>
      </w:r>
      <w:r>
        <w:rPr>
          <w:rFonts w:ascii="Times New Roman" w:cs="Times New Roman" w:eastAsia="Times New Roman" w:hAnsi="Times New Roman"/>
          <w:sz w:val="20"/>
          <w:szCs w:val="20"/>
        </w:rPr>
        <w:t xml:space="preserve"> </w:t>
      </w:r>
      <w:hyperlink w:history="1" r:id="rIdvvivowwxtmpx9l6kskjvv">
        <w:r>
          <w:rPr>
            <w:rStyle w:val="Hyperlink"/>
            <w:rFonts w:ascii="Times New Roman" w:cs="Times New Roman" w:eastAsia="Times New Roman" w:hAnsi="Times New Roman"/>
            <w:color w:val="0563C1"/>
            <w:sz w:val="20"/>
            <w:szCs w:val="20"/>
          </w:rPr>
          <w:t xml:space="preserve">https://www.fortinet.com/resources/cyberglossary/work-from-home-cybersecurity-risks</w:t>
        </w:r>
      </w:hyperlink>
    </w:p>
  </w:endnote>
  <w:endnote w:id="10">
    <w:p>
      <w:pPr>
        <w:spacing w:line="240"/>
      </w:pPr>
      <w:r>
        <w:rPr>
          <w:rStyle w:val="EndnoteReference"/>
        </w:rPr>
        <w:endnoteRef/>
      </w:r>
      <w:r>
        <w:rPr>
          <w:rFonts w:ascii="Times New Roman" w:cs="Times New Roman" w:eastAsia="Times New Roman" w:hAnsi="Times New Roman"/>
          <w:sz w:val="20"/>
          <w:szCs w:val="20"/>
        </w:rPr>
        <w:t xml:space="preserve"> Cybersecurity &amp; Infrastructure Security Agency, Phishing Guidance, 2023.</w:t>
      </w:r>
      <w:r>
        <w:rPr>
          <w:rFonts w:ascii="Times New Roman" w:cs="Times New Roman" w:eastAsia="Times New Roman" w:hAnsi="Times New Roman"/>
          <w:sz w:val="20"/>
          <w:szCs w:val="20"/>
        </w:rPr>
        <w:t xml:space="preserve"> </w:t>
      </w:r>
      <w:hyperlink w:history="1" r:id="rIdkjubvpxf9gyewhk9s_fd_">
        <w:r>
          <w:rPr>
            <w:rStyle w:val="Hyperlink"/>
            <w:rFonts w:ascii="Times New Roman" w:cs="Times New Roman" w:eastAsia="Times New Roman" w:hAnsi="Times New Roman"/>
            <w:color w:val="0563C1"/>
            <w:sz w:val="20"/>
            <w:szCs w:val="20"/>
          </w:rPr>
          <w:t xml:space="preserve">https://www.cisa.gov/phishing</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Relationship Id="rIda5f0zpoaeizitpfe8trgr" Type="http://schemas.openxmlformats.org/officeDocument/2006/relationships/hyperlink" Target="https://www.ibm.com/reports/data-breach" TargetMode="External"/><Relationship Id="rIdvcgfj7pdyftkiafqfznf3" Type="http://schemas.openxmlformats.org/officeDocument/2006/relationships/hyperlink" Target="https://www.verizon.com/business/resources/reports/dbir/" TargetMode="External"/><Relationship Id="rIdsfr5uzejl-mqq3fmeuval" Type="http://schemas.openxmlformats.org/officeDocument/2006/relationships/hyperlink" Target="https://www.cisa.gov/secure-our-world/wfh" TargetMode="External"/><Relationship Id="rId8q0rwm0mljj7m8uksqgxi" Type="http://schemas.openxmlformats.org/officeDocument/2006/relationships/hyperlink" Target="https://www.dfs.ny.gov/Twitter_Report" TargetMode="External"/><Relationship Id="rIdmsldnc_f-uzyemuuav6_4" Type="http://schemas.openxmlformats.org/officeDocument/2006/relationships/hyperlink" Target="https://www.cisa.gov/news-events/cybersecurity-advisories/aa20-352a" TargetMode="External"/><Relationship Id="rIdn39rjxk3b1k_fyooau-k2" Type="http://schemas.openxmlformats.org/officeDocument/2006/relationships/hyperlink" Target="https://www.justice.gov/usao-sdny/pr/former-employee-sentenced" TargetMode="External"/><Relationship Id="rId4rvsujt_vlukubww9aliq" Type="http://schemas.openxmlformats.org/officeDocument/2006/relationships/hyperlink" Target="https://forums.ivanti.com/s/article/CVE-2023-46805" TargetMode="External"/><Relationship Id="rIdtabo56ulvmmxg86nsxznr" Type="http://schemas.openxmlformats.org/officeDocument/2006/relationships/hyperlink" Target="https://doi.org/10.6028/NIST.SP.800-207" TargetMode="External"/><Relationship Id="rIdvvivowwxtmpx9l6kskjvv" Type="http://schemas.openxmlformats.org/officeDocument/2006/relationships/hyperlink" Target="https://www.fortinet.com/resources/cyberglossary/work-from-home-cybersecurity-risks" TargetMode="External"/><Relationship Id="rIdkjubvpxf9gyewhk9s_fd_" Type="http://schemas.openxmlformats.org/officeDocument/2006/relationships/hyperlink" Target="https://www.cisa.gov/phishing"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2026-03-15T12:14:53.062Z</dcterms:created>
  <dcterms:modified xsi:type="dcterms:W3CDTF">2026-03-15T12:14:53.063Z</dcterms:modified>
</cp:coreProperties>
</file>

<file path=docProps/custom.xml><?xml version="1.0" encoding="utf-8"?>
<Properties xmlns="http://schemas.openxmlformats.org/officeDocument/2006/custom-properties" xmlns:vt="http://schemas.openxmlformats.org/officeDocument/2006/docPropsVTypes"/>
</file>