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C8A"/>
          <w:sz w:val="44"/>
          <w:szCs w:val="44"/>
        </w:rPr>
        <w:t xml:space="preserve">Schoox–Salesforce Prototype</w:t>
      </w:r>
    </w:p>
    <w:p>
      <w:pPr>
        <w:spacing w:after="60"/>
      </w:pPr>
      <w:r>
        <w:rPr>
          <w:color w:val="666666"/>
          <w:sz w:val="26"/>
          <w:szCs w:val="26"/>
        </w:rPr>
        <w:t xml:space="preserve">Technical Session Log — Continued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Picks up from the first session log; covers everything from the AWS teardown through the write-API investigation.</w:t>
      </w:r>
    </w:p>
    <w:p>
      <w:pPr>
        <w:pStyle w:val="Heading1"/>
        <w:spacing w:after="160" w:before="320"/>
      </w:pPr>
      <w:r>
        <w:t xml:space="preserve">12. AWS Resource Teardown</w:t>
      </w:r>
    </w:p>
    <w:p>
      <w:pPr>
        <w:spacing w:after="140"/>
      </w:pPr>
      <w:r>
        <w:t xml:space="preserve">At explicit request, every AWS resource created in this engagement was deleted from account 503561452191: the CloudFormation stack schoox-salesforce-sync (cascading 10 resources — two Lambda functions, two IAM execution roles, an EventBridge rule, a CloudWatch dashboard, two Lambda permissions, and two Secrets Manager entries), plus the standalone S3 artifact bucket, including all its versioned objects (S3 versioning meant a simple object delete wasn't enough — every version and delete marker had to be removed before the bucket itself would delete). A full sweep across Lambda, CloudWatch, Secrets Manager, S3, IAM, and EventBridge confirmed nothing remained. The AWS SSO session was then explicitly logged out at the user's request.</w:t>
      </w:r>
    </w:p>
    <w:p>
      <w:pPr>
        <w:pStyle w:val="Heading1"/>
        <w:spacing w:after="160" w:before="320"/>
      </w:pPr>
      <w:r>
        <w:t xml:space="preserve">13. Migration to a Second Salesforce Org</w:t>
      </w:r>
    </w:p>
    <w:p>
      <w:pPr>
        <w:spacing w:after="140"/>
      </w:pPr>
      <w:r>
        <w:t xml:space="preserve">The user introduced a second Salesforce org, data-nosoftware-6386, and asked to migrate the integration there, explicitly leaving data-speed-169's existing configuration untouched. Setup repeated the same sequence as the original org: create an External Client App ("Schoox_Sync_Lambda"), hit "no client credentials user enabled" until a Run-As user was configured, hit "SOAP API does not support JWT-based access tokens" until that setting was disabled, then a full metadata deploy (fields, permission set, layout, report, dashboard) succeeded — 18 components. The org started with zero Contact records, so five Contacts were created matching the same five Schoox learners used throughout this engagement. A fresh AWS stack was deployed pointed at the new org's credentials; the first sync run succeeded immediately (5 synced, 0 skipped, 0 failed), matching data-speed-169's data exactly.</w:t>
      </w:r>
    </w:p>
    <w:p>
      <w:pPr>
        <w:pStyle w:val="Heading1"/>
        <w:spacing w:after="160" w:before="320"/>
      </w:pPr>
      <w:r>
        <w:t xml:space="preserve">14. Repeated Confusion Around "the Schoox Sync Lambda Application"</w:t>
      </w:r>
    </w:p>
    <w:p>
      <w:pPr>
        <w:spacing w:after="140"/>
      </w:pPr>
      <w:r>
        <w:t xml:space="preserve">A recurring theme in this engagement was the user referring to "the Schoox Sync Lambda application" and expecting to find or access it as a distinct, navigable place — variously assumed to be in Salesforce, in AWS, or something clickable from a Setup page. This was resolved definitively, more than once, by direct empirical testing rather than assertion: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External Client App named Schoox_Sync_Lambda is purely an OAuth configuration object — retrieving its actual metadata showed only five fields (contact email, distribution state, protection flag, label, org-scoped id), nothing resembling a page or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Lightning App attempt failed: "exceeded the maximum number of custom apps allowed for your organization's edition."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classic Connected App attempt (which does support a startUrl field in principle) failed differently: "You can't create a connected app. To enable connected app creation, contact Salesforce Customer Support."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failures were reproduced independently in data-nosoftware-6386, confirming they are edition-level restrictions common to both orgs, not an artifact of one org's specific configuration.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A separate, real bug surfaced during this back-and-forth: an AWS SSO device-code login can silently expire if the code isn't approved within its short window, producing an unhelpful "Invalid device code provided" error rather than a clear timeout message — this happened twice with the same org's SSO session and was resolved by simply generating a fresh code each time.</w:t>
      </w:r>
    </w:p>
    <w:p>
      <w:pPr>
        <w:pStyle w:val="Heading1"/>
        <w:spacing w:after="160" w:before="320"/>
      </w:pPr>
      <w:r>
        <w:t xml:space="preserve">15. Building What Actually Works: the Sync-Now Button</w:t>
      </w:r>
    </w:p>
    <w:p>
      <w:pPr>
        <w:spacing w:after="140"/>
      </w:pPr>
      <w:r>
        <w:t xml:space="preserve">Rather than keep attempting the (confirmed impossible) External-Client-App-as-a-page approach, a working alternative was proposed and built: a Lambda Function URL added to the existing sync function, paired with a Salesforce Custom Button. This required two real fixes during 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Lambda's handler previously always returned a plain JavaScript object, which is correct for EventBridge/SDK invocations but produces a malformed response for an HTTP-triggered Function URL call. The handler was updated to detect event.requestContext (present only on HTTP invocations) and branch to an HTML-formatted response in that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Custom Button (WebLink metadata) deploy failed with "element fullName missing for a child of type WebLink" — an explicit &lt;fullName&gt; element had to be added inside the XML even though the filename already encodes the same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Wiring the button into the page layout's action list required renumbering several existing sortOrder values to avoid duplicates introduced by inserting a new item at position 0.</w:t>
      </w:r>
    </w:p>
    <w:p>
      <w:pPr>
        <w:spacing w:after="140"/>
      </w:pPr>
      <w:r>
        <w:t xml:space="preserve">The deployed Function URL was tested directly with a plain HTTP GET and confirmed to trigger a real sync, returning an HTML confirmation page with live counts. The security trade-off — no authentication on the URL, since a browser button click can't sign AWS requests — was surfaced explicitly and approved before building, on the reasoning that the action is non-destructive (re-syncs data, doesn't delete or transfer anything).</w:t>
      </w:r>
    </w:p>
    <w:p>
      <w:pPr>
        <w:pStyle w:val="Heading1"/>
        <w:spacing w:after="160" w:before="320"/>
      </w:pPr>
      <w:r>
        <w:t xml:space="preserve">16. Feature-by-Feature Re-Verification</w:t>
      </w:r>
    </w:p>
    <w:p>
      <w:pPr>
        <w:spacing w:after="140"/>
      </w:pPr>
      <w:r>
        <w:t xml:space="preserve">Several items from the original feature-request document were checked individually against live data rather than assumed carried-over from the first implementation pass: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Active/inactive learner status: mechanism confirmed correct (Salesforce values match Schoox's raw active flags exactly, per learner), but every real learner remains active — the feature has never been exercised against a genuine inactive user, since an earlier attempt to deactivate one via the API silently failed to take effect.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automatic sync: confirmed still ENABLED on a rate(6 hours) EventBridge rule, correctly targeting the current sync function after the full org migration and stack rebuild — this required no rework, it simply carried 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Course/Units master list and provisioning/enrollment: both remain blocked, covered in detail below.</w:t>
      </w:r>
    </w:p>
    <w:p>
      <w:pPr>
        <w:pStyle w:val="Heading1"/>
        <w:spacing w:after="160" w:before="320"/>
      </w:pPr>
      <w:r>
        <w:t xml:space="preserve">17. Attempting Write-Back to Schoox</w:t>
      </w:r>
    </w:p>
    <w:p>
      <w:pPr>
        <w:spacing w:after="140"/>
      </w:pPr>
      <w:r>
        <w:t xml:space="preserve">The final substantial investigation of this session was whether Salesforce could provision new Schoox users or enroll learners in courses — a genuinely new direction, since every prior integration had been strictly read-only from Schoox into Salesforce.</w:t>
      </w:r>
    </w:p>
    <w:p>
      <w:pPr>
        <w:spacing w:after="140"/>
      </w:pPr>
      <w:r>
        <w:t xml:space="preserve">Before writing any code, the relevant Schoox endpoints were tested directly: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/v1/users (intended to create a new learner): initially rejected with "An array of roles is required"; retried with roles:["employee"] and returned HTTP 201 with id:0 — but a follow-up GET /v1/users immediately after showed the same 5 users as before, with no new record. The write did not persist despite reporting success.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/v1/courses/{id}/students (intended to enroll a learner): rejected outright with an unhelpful, contentless 400 response.</w:t>
      </w:r>
    </w:p>
    <w:p>
      <w:pPr>
        <w:spacing w:after="140"/>
      </w:pPr>
      <w:r>
        <w:t xml:space="preserve">This matches a pattern first seen earlier in the engagement, when PUT /v1/users/{id} was used to attempt deactivating a user: that call also returned a success status (204) with no actual effect on the user's active flag. Unlike Schoox's read endpoints — where error messages had directly guided discovery of the correct request shape and authentication pattern — these write endpoints return misleading success responses without corresponding error detail, so further trial-and-error was deliberately halted rather than risk building a Salesforce-facing feature (auto-provisioning, an enrollment button) that would appear to work while silently accomplishing nothing in Schoox. This was reported back as a real blocker requiring genuine Schoox API documentation to resolve, not something solvable through the same reverse-engineering approach that worked for the read API earlier in the engagement.</w:t>
      </w:r>
    </w:p>
    <w:p>
      <w:pPr>
        <w:pStyle w:val="Heading1"/>
        <w:spacing w:after="160" w:before="320"/>
      </w:pPr>
      <w:r>
        <w:t xml:space="preserve">18. Documentation</w:t>
      </w:r>
    </w:p>
    <w:p>
      <w:pPr>
        <w:spacing w:after="140"/>
      </w:pPr>
      <w:r>
        <w:t xml:space="preserve">This is the second revision of the session log and the functionality overview, both regenerated from scratch to reflect the org migration, the AWS teardown/rebuild, the sync-now button, and the write-API findings — produced the same way as the first pair, using docx-js with no live rendering tool available in this environment, verified instead by unzipping and checking the underlying XML is well-formed.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2026-09-02T21:43:37.811Z</dcterms:created>
  <dcterms:modified xsi:type="dcterms:W3CDTF">2026-09-02T21:43:37.812Z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