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45C7" w14:textId="34D8A6DB" w:rsidR="00E947F9" w:rsidRPr="00E947F9" w:rsidRDefault="00E947F9" w:rsidP="00E947F9">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 xml:space="preserve">INSURANCE </w:t>
      </w:r>
      <w:r w:rsidR="001658B9">
        <w:rPr>
          <w:rFonts w:ascii="Times New Roman" w:hAnsi="Times New Roman" w:cs="Times New Roman"/>
          <w:b/>
          <w:bCs/>
          <w:color w:val="2F5496" w:themeColor="accent1" w:themeShade="BF"/>
          <w:sz w:val="36"/>
          <w:szCs w:val="36"/>
        </w:rPr>
        <w:t>RISK &amp; CLAIMS ANALYSIS</w:t>
      </w:r>
    </w:p>
    <w:p w14:paraId="1855CD9D" w14:textId="00DB1ABC" w:rsidR="00E947F9" w:rsidRPr="00F252B0" w:rsidRDefault="00E947F9" w:rsidP="00E947F9">
      <w:pPr>
        <w:spacing w:after="0" w:line="360" w:lineRule="auto"/>
        <w:jc w:val="center"/>
        <w:rPr>
          <w:rFonts w:ascii="Times New Roman" w:hAnsi="Times New Roman" w:cs="Times New Roman"/>
          <w:b/>
          <w:bCs/>
          <w:color w:val="002060"/>
          <w:sz w:val="32"/>
          <w:szCs w:val="32"/>
        </w:rPr>
      </w:pPr>
      <w:r w:rsidRPr="00F252B0">
        <w:rPr>
          <w:rFonts w:ascii="Times New Roman" w:hAnsi="Times New Roman" w:cs="Times New Roman"/>
          <w:b/>
          <w:bCs/>
          <w:color w:val="002060"/>
          <w:sz w:val="32"/>
          <w:szCs w:val="32"/>
          <w:highlight w:val="yellow"/>
        </w:rPr>
        <w:t>DOMAIN DOCUMENT</w:t>
      </w:r>
    </w:p>
    <w:p w14:paraId="681B0199" w14:textId="029ABF31"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behavior, since households with multiple young drivers are typically considered riskier by insurers.</w:t>
      </w:r>
    </w:p>
    <w:p w14:paraId="5EADA1AD"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14:textId="77777777" w:rsidR="00E947F9" w:rsidRPr="00E947F9" w:rsidRDefault="00E947F9" w:rsidP="00E947F9">
      <w:pPr>
        <w:spacing w:after="0" w:line="360" w:lineRule="auto"/>
        <w:rPr>
          <w:rFonts w:ascii="Times New Roman" w:hAnsi="Times New Roman" w:cs="Times New Roman"/>
          <w:b/>
          <w:bCs/>
          <w:color w:val="002060"/>
          <w:sz w:val="32"/>
          <w:szCs w:val="32"/>
        </w:rPr>
      </w:pP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 ID</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 unique identifier assigned to each policyholder or insurance record.</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or text (Primary Key).</w:t>
      </w:r>
    </w:p>
    <w:p w14:paraId="6A814ACB"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Ensures each policy/customer record is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Not used directly in analysis but essential for data integrity, relationships, and avoiding duplicates.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Business Use:</w:t>
      </w:r>
      <w:r w:rsidRPr="00E947F9">
        <w:rPr>
          <w:rFonts w:ascii="Times New Roman" w:hAnsi="Times New Roman" w:cs="Times New Roman"/>
          <w:sz w:val="24"/>
          <w:szCs w:val="24"/>
        </w:rPr>
        <w:t xml:space="preserve"> Helps track individual policyholders across multiple datasets (e.g., linking claims, payments, or renewals).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Birthdate</w:t>
      </w:r>
    </w:p>
    <w:p w14:paraId="3EFF1C5B"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Date of birth of the policyholder.</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Date.</w:t>
      </w:r>
    </w:p>
    <w:p w14:paraId="15FB3C8A"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the </w:t>
      </w:r>
      <w:r w:rsidRPr="00E947F9">
        <w:rPr>
          <w:rFonts w:ascii="Times New Roman" w:hAnsi="Times New Roman" w:cs="Times New Roman"/>
          <w:b/>
          <w:bCs/>
          <w:sz w:val="24"/>
          <w:szCs w:val="24"/>
        </w:rPr>
        <w:t>Age</w:t>
      </w:r>
      <w:r w:rsidRPr="00E947F9">
        <w:rPr>
          <w:rFonts w:ascii="Times New Roman" w:hAnsi="Times New Roman" w:cs="Times New Roman"/>
          <w:sz w:val="24"/>
          <w:szCs w:val="24"/>
        </w:rPr>
        <w:t xml:space="preserve"> of the policyholder.</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 is a strong factor in insurance risk assessment (younger drivers may have more accidents, older drivers may have slower reflexes).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age groups (e.g.,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Age-based pricing of premiums and risk profiling.</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3. Car Color</w:t>
      </w:r>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exterior color of the insured car.</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 (text).</w:t>
      </w:r>
    </w:p>
    <w:p w14:paraId="1B630408"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Although color doesn’t directly affect risk, it can influence </w:t>
      </w:r>
      <w:r w:rsidRPr="00E947F9">
        <w:rPr>
          <w:rFonts w:ascii="Times New Roman" w:hAnsi="Times New Roman" w:cs="Times New Roman"/>
          <w:b/>
          <w:bCs/>
          <w:sz w:val="24"/>
          <w:szCs w:val="24"/>
        </w:rPr>
        <w:t>car visibility, theft probability, and customer preferences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 patterns (e.g., some studies suggest red cars might be involved in more speeding cases).</w:t>
      </w:r>
    </w:p>
    <w:p w14:paraId="2CFF5AED"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fraud detection (unusual color-claim patterns).</w:t>
      </w:r>
    </w:p>
    <w:p w14:paraId="5B5005D2" w14:textId="7AA5EB12" w:rsidR="00E947F9" w:rsidRPr="00E947F9" w:rsidRDefault="00E947F9" w:rsidP="00E947F9">
      <w:pPr>
        <w:spacing w:after="0" w:line="360" w:lineRule="auto"/>
        <w:jc w:val="both"/>
        <w:rPr>
          <w:rFonts w:ascii="Times New Roman" w:hAnsi="Times New Roman" w:cs="Times New Roman"/>
          <w:sz w:val="24"/>
          <w:szCs w:val="24"/>
        </w:rPr>
      </w:pP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4. Car Make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manufacturer/brand of the car (e.g.,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A494ED2"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Different makes have varying repair costs and accident likelihood.</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Analyze claims by car brand.</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which brands have higher claim frequency (riskier) vs lower claims (safer).</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Useful for underwriting and premium adjustments.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5. Car Model</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Specific model of the car (e.g.,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5A5595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Provides deeper granularity beyond car make.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Claim risk can vary significantly between models of the same make.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for luxury vs economy models.</w:t>
      </w:r>
    </w:p>
    <w:p w14:paraId="13A02AB1"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loss ratio</w:t>
      </w:r>
      <w:r w:rsidRPr="00E947F9">
        <w:rPr>
          <w:rFonts w:ascii="Times New Roman" w:hAnsi="Times New Roman" w:cs="Times New Roman"/>
          <w:sz w:val="24"/>
          <w:szCs w:val="24"/>
        </w:rPr>
        <w:t xml:space="preserve"> analysis by vehicle type.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Car Use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primary purpose of the car (e.g., Personal, Commercial, Commute).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353A2209"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Commercial and commuting cars usually have higher claim rates due to greater exposure (more time on the road).</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Pricing policies differently for personal vs commercial use.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profiling based on usage patterns.</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Car Year</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manufacturing year of the car.</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1ACB93CA"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Helps calculate </w:t>
      </w:r>
      <w:r w:rsidRPr="00E947F9">
        <w:rPr>
          <w:rFonts w:ascii="Times New Roman" w:hAnsi="Times New Roman" w:cs="Times New Roman"/>
          <w:b/>
          <w:bCs/>
          <w:sz w:val="24"/>
          <w:szCs w:val="24"/>
        </w:rPr>
        <w:t>Car Age</w:t>
      </w:r>
      <w:r w:rsidRPr="00E947F9">
        <w:rPr>
          <w:rFonts w:ascii="Times New Roman" w:hAnsi="Times New Roman" w:cs="Times New Roman"/>
          <w:sz w:val="24"/>
          <w:szCs w:val="24"/>
        </w:rPr>
        <w:t xml:space="preserve"> = Current Year – Car Year.</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Older cars may break down more often or have lower resale/repair costs.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Assess claim likelihood by vehicle age.</w:t>
      </w:r>
    </w:p>
    <w:p w14:paraId="6831C7C9"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Create segments like New (&lt;3 years), Mid-age (3–10 years), Old (&gt;10 years).</w:t>
      </w:r>
    </w:p>
    <w:p w14:paraId="58CA5B3C" w14:textId="5C2E5DC9" w:rsidR="00E947F9" w:rsidRDefault="00E947F9" w:rsidP="00E947F9">
      <w:pPr>
        <w:spacing w:after="0" w:line="360" w:lineRule="auto"/>
        <w:jc w:val="both"/>
        <w:rPr>
          <w:rFonts w:ascii="Times New Roman" w:hAnsi="Times New Roman" w:cs="Times New Roman"/>
          <w:sz w:val="24"/>
          <w:szCs w:val="24"/>
        </w:rPr>
      </w:pPr>
    </w:p>
    <w:p w14:paraId="5D6F8FA1" w14:textId="77777777" w:rsidR="00DE29BA" w:rsidRDefault="00DE29BA" w:rsidP="00E947F9">
      <w:pPr>
        <w:spacing w:after="0" w:line="360" w:lineRule="auto"/>
        <w:jc w:val="both"/>
        <w:rPr>
          <w:rFonts w:ascii="Times New Roman" w:hAnsi="Times New Roman" w:cs="Times New Roman"/>
          <w:sz w:val="24"/>
          <w:szCs w:val="24"/>
        </w:rPr>
      </w:pP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8. Coverage Zone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geographic risk area where the policyholder resides/uses the car (e.g., Zone A, Urban, Rural).</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C49B470"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Location impacts accident probability, theft risk, and repair costs.</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Urban areas → higher claim frequency, rural areas → fewer accidents but possibly more severe damage.</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performance across regions.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mapping dashboards in Power BI</w:t>
      </w:r>
      <w:r w:rsidRPr="00E947F9">
        <w:rPr>
          <w:rFonts w:ascii="Times New Roman" w:hAnsi="Times New Roman" w:cs="Times New Roman"/>
          <w:sz w:val="24"/>
          <w:szCs w:val="24"/>
        </w:rPr>
        <w:t>.</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Education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highest education level attained by the policyholder (e.g., High School, Graduate, Postgraduate).</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043F7BED"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Education level often correlates with income and risk behavior.</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Check claim frequency by education group.</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marketing campaigns and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Gender</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Gender of the policyholder (Male, Female, Other).</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60A0133A"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Gender differences in claim patterns may exist.</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analysis by gender group.</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Demographic breakdowns in dashboards.</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Marital Status</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Marital status of the policyholder (Single, Married, Divorced,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AABA307"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Details:</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Married people are often seen as more stable, potentially lower risk.</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between singles vs married customers.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Factor in pricing and risk adjustment.</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Whether the policyholder has children (Yes/No).</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Boolean / Categorical.</w:t>
      </w:r>
    </w:p>
    <w:p w14:paraId="72A73D56"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Parents may drive differently compared to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2EB96D45"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claims and policies by parent status.</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 with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for more detailed household analysis.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13. Claim Amt</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Total monetary value of claims filed by the policyholder.</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(currency).</w:t>
      </w:r>
    </w:p>
    <w:p w14:paraId="59E6FA99"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 critical measure of insurance losses.</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w:t>
      </w:r>
      <w:r w:rsidRPr="00E947F9">
        <w:rPr>
          <w:rFonts w:ascii="Times New Roman" w:hAnsi="Times New Roman" w:cs="Times New Roman"/>
          <w:b/>
          <w:bCs/>
          <w:sz w:val="24"/>
          <w:szCs w:val="24"/>
        </w:rPr>
        <w:t>total losses, average claim amount, and claim ratios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high-cost claims for fraud detection.</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Claim Freq</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number of claims filed by the policyholder.</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83F36F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Frequency of claims indicates risk behavior.</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for customer risk assessment.</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Combined with Claim Amt → identifies whether risk is due to high frequency or high severity.</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15. Household Income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Annual income of the policyholder’s household.</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0E923E85"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Income level affects affordability of premiums and vehicle type.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income bands.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 patterns across income groups.</w:t>
      </w:r>
    </w:p>
    <w:p w14:paraId="652432A3"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Target marketing/policy offers (e.g., premium insurance for high-income households).</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7563FF1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16. Kids Driving</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Number of kids in the household who are licensed drivers.</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C87989F"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Values (1, 2, 3…) indicate number of kids driving.</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More kids driving generally = higher accident probability.</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Analyze claims by number of kids driving.</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Group into categories (e.g., None, 1 Kid, 2 Kids, 3+ Kids).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Helps insurers estimate family household risk.</w:t>
      </w:r>
    </w:p>
    <w:p w14:paraId="5BD132B8" w14:textId="77777777"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7"/>
      <w:headerReference w:type="default" r:id="rId8"/>
      <w:headerReference w:type="first" r:id="rId9"/>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D080" w14:textId="77777777" w:rsidR="00C834D3" w:rsidRDefault="00C834D3" w:rsidP="0010075B">
      <w:pPr>
        <w:spacing w:after="0" w:line="240" w:lineRule="auto"/>
      </w:pPr>
      <w:r>
        <w:separator/>
      </w:r>
    </w:p>
  </w:endnote>
  <w:endnote w:type="continuationSeparator" w:id="0">
    <w:p w14:paraId="5A9EADB7" w14:textId="77777777" w:rsidR="00C834D3" w:rsidRDefault="00C834D3"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2F65" w14:textId="77777777" w:rsidR="00C834D3" w:rsidRDefault="00C834D3" w:rsidP="0010075B">
      <w:pPr>
        <w:spacing w:after="0" w:line="240" w:lineRule="auto"/>
      </w:pPr>
      <w:r>
        <w:separator/>
      </w:r>
    </w:p>
  </w:footnote>
  <w:footnote w:type="continuationSeparator" w:id="0">
    <w:p w14:paraId="5515E012" w14:textId="77777777" w:rsidR="00C834D3" w:rsidRDefault="00C834D3"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CEAB" w14:textId="0D28EF95" w:rsidR="0010075B" w:rsidRDefault="001007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B0D7" w14:textId="767BE431" w:rsidR="0010075B" w:rsidRPr="00B4530E" w:rsidRDefault="0010075B">
    <w:pPr>
      <w:pStyle w:val="Header"/>
      <w:rPr>
        <w:b/>
        <w:bCs/>
        <w:i/>
        <w:iCs/>
        <w:color w:val="2F5496" w:themeColor="accent1" w:themeShade="BF"/>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044" w14:textId="6396041E" w:rsidR="0010075B" w:rsidRDefault="00100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5138">
    <w:abstractNumId w:val="11"/>
  </w:num>
  <w:num w:numId="2" w16cid:durableId="363755803">
    <w:abstractNumId w:val="2"/>
  </w:num>
  <w:num w:numId="3" w16cid:durableId="1483039117">
    <w:abstractNumId w:val="15"/>
  </w:num>
  <w:num w:numId="4" w16cid:durableId="1400056038">
    <w:abstractNumId w:val="7"/>
  </w:num>
  <w:num w:numId="5" w16cid:durableId="934676942">
    <w:abstractNumId w:val="10"/>
  </w:num>
  <w:num w:numId="6" w16cid:durableId="1988394103">
    <w:abstractNumId w:val="12"/>
  </w:num>
  <w:num w:numId="7" w16cid:durableId="1744984183">
    <w:abstractNumId w:val="8"/>
  </w:num>
  <w:num w:numId="8" w16cid:durableId="1246458034">
    <w:abstractNumId w:val="3"/>
  </w:num>
  <w:num w:numId="9" w16cid:durableId="1359552324">
    <w:abstractNumId w:val="4"/>
  </w:num>
  <w:num w:numId="10" w16cid:durableId="631205980">
    <w:abstractNumId w:val="6"/>
  </w:num>
  <w:num w:numId="11" w16cid:durableId="1984308343">
    <w:abstractNumId w:val="13"/>
  </w:num>
  <w:num w:numId="12" w16cid:durableId="1164012840">
    <w:abstractNumId w:val="1"/>
  </w:num>
  <w:num w:numId="13" w16cid:durableId="502741637">
    <w:abstractNumId w:val="14"/>
  </w:num>
  <w:num w:numId="14" w16cid:durableId="1310478431">
    <w:abstractNumId w:val="9"/>
  </w:num>
  <w:num w:numId="15" w16cid:durableId="2085564759">
    <w:abstractNumId w:val="0"/>
  </w:num>
  <w:num w:numId="16" w16cid:durableId="638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F7510"/>
    <w:rsid w:val="0010075B"/>
    <w:rsid w:val="001658B9"/>
    <w:rsid w:val="002766D8"/>
    <w:rsid w:val="002D42DB"/>
    <w:rsid w:val="004B4543"/>
    <w:rsid w:val="006D64F9"/>
    <w:rsid w:val="00703D2D"/>
    <w:rsid w:val="007F4544"/>
    <w:rsid w:val="0093533B"/>
    <w:rsid w:val="00941A68"/>
    <w:rsid w:val="00945BE5"/>
    <w:rsid w:val="00AA0C82"/>
    <w:rsid w:val="00B4530E"/>
    <w:rsid w:val="00B90E3A"/>
    <w:rsid w:val="00C834D3"/>
    <w:rsid w:val="00CD3295"/>
    <w:rsid w:val="00DE29BA"/>
    <w:rsid w:val="00E947F9"/>
    <w:rsid w:val="00F2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3B"/>
    <w:rPr>
      <w:rFonts w:eastAsiaTheme="majorEastAsia" w:cstheme="majorBidi"/>
      <w:color w:val="272727" w:themeColor="text1" w:themeTint="D8"/>
    </w:rPr>
  </w:style>
  <w:style w:type="paragraph" w:styleId="Title">
    <w:name w:val="Title"/>
    <w:basedOn w:val="Normal"/>
    <w:next w:val="Normal"/>
    <w:link w:val="TitleCh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3B"/>
    <w:pPr>
      <w:spacing w:before="160"/>
      <w:jc w:val="center"/>
    </w:pPr>
    <w:rPr>
      <w:i/>
      <w:iCs/>
      <w:color w:val="404040" w:themeColor="text1" w:themeTint="BF"/>
    </w:rPr>
  </w:style>
  <w:style w:type="character" w:customStyle="1" w:styleId="QuoteChar">
    <w:name w:val="Quote Char"/>
    <w:basedOn w:val="DefaultParagraphFont"/>
    <w:link w:val="Quote"/>
    <w:uiPriority w:val="29"/>
    <w:rsid w:val="0093533B"/>
    <w:rPr>
      <w:i/>
      <w:iCs/>
      <w:color w:val="404040" w:themeColor="text1" w:themeTint="BF"/>
    </w:rPr>
  </w:style>
  <w:style w:type="paragraph" w:styleId="ListParagraph">
    <w:name w:val="List Paragraph"/>
    <w:basedOn w:val="Normal"/>
    <w:uiPriority w:val="34"/>
    <w:qFormat/>
    <w:rsid w:val="0093533B"/>
    <w:pPr>
      <w:ind w:left="720"/>
      <w:contextualSpacing/>
    </w:pPr>
  </w:style>
  <w:style w:type="character" w:styleId="IntenseEmphasis">
    <w:name w:val="Intense Emphasis"/>
    <w:basedOn w:val="DefaultParagraphFont"/>
    <w:uiPriority w:val="21"/>
    <w:qFormat/>
    <w:rsid w:val="0093533B"/>
    <w:rPr>
      <w:i/>
      <w:iCs/>
      <w:color w:val="2F5496" w:themeColor="accent1" w:themeShade="BF"/>
    </w:rPr>
  </w:style>
  <w:style w:type="paragraph" w:styleId="IntenseQuote">
    <w:name w:val="Intense Quote"/>
    <w:basedOn w:val="Normal"/>
    <w:next w:val="Normal"/>
    <w:link w:val="IntenseQuoteCh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3B"/>
    <w:rPr>
      <w:i/>
      <w:iCs/>
      <w:color w:val="2F5496" w:themeColor="accent1" w:themeShade="BF"/>
    </w:rPr>
  </w:style>
  <w:style w:type="character" w:styleId="IntenseReference">
    <w:name w:val="Intense Reference"/>
    <w:basedOn w:val="DefaultParagraphFont"/>
    <w:uiPriority w:val="32"/>
    <w:qFormat/>
    <w:rsid w:val="0093533B"/>
    <w:rPr>
      <w:b/>
      <w:bCs/>
      <w:smallCaps/>
      <w:color w:val="2F5496" w:themeColor="accent1" w:themeShade="BF"/>
      <w:spacing w:val="5"/>
    </w:rPr>
  </w:style>
  <w:style w:type="paragraph" w:styleId="Header">
    <w:name w:val="header"/>
    <w:basedOn w:val="Normal"/>
    <w:link w:val="HeaderChar"/>
    <w:uiPriority w:val="99"/>
    <w:unhideWhenUsed/>
    <w:rsid w:val="0010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75B"/>
  </w:style>
  <w:style w:type="paragraph" w:styleId="Footer">
    <w:name w:val="footer"/>
    <w:basedOn w:val="Normal"/>
    <w:link w:val="FooterChar"/>
    <w:uiPriority w:val="99"/>
    <w:unhideWhenUsed/>
    <w:rsid w:val="0010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75B"/>
  </w:style>
  <w:style w:type="character" w:styleId="Hyperlink">
    <w:name w:val="Hyperlink"/>
    <w:basedOn w:val="DefaultParagraphFont"/>
    <w:uiPriority w:val="99"/>
    <w:unhideWhenUsed/>
    <w:rsid w:val="00B45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Aastha Ahirkar</cp:lastModifiedBy>
  <cp:revision>8</cp:revision>
  <dcterms:created xsi:type="dcterms:W3CDTF">2025-08-21T12:26:00Z</dcterms:created>
  <dcterms:modified xsi:type="dcterms:W3CDTF">2026-02-18T17:07:00Z</dcterms:modified>
</cp:coreProperties>
</file>