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8B04C" w14:textId="77777777" w:rsidR="00FB4839" w:rsidRDefault="00000000" w:rsidP="00931CB6">
      <w:pPr>
        <w:pStyle w:val="FirstParagraph"/>
        <w:spacing w:before="0" w:after="0" w:line="480" w:lineRule="auto"/>
        <w:jc w:val="center"/>
      </w:pPr>
      <w:r>
        <w:rPr>
          <w:rFonts w:eastAsia="Times New Roman" w:cs="Times New Roman"/>
          <w:b/>
          <w:bCs/>
        </w:rPr>
        <w:t>Price Elasticity and Format-Flavor Substitution in Sports Nutrition: A Nested-Logit Analysis of Differentiated Consumer Goods</w:t>
      </w:r>
    </w:p>
    <w:p w14:paraId="11E24AB9" w14:textId="77777777" w:rsidR="00931CB6" w:rsidRPr="00931CB6" w:rsidRDefault="00000000" w:rsidP="00931CB6">
      <w:pPr>
        <w:pStyle w:val="BodyText"/>
        <w:spacing w:before="0" w:after="0" w:line="480" w:lineRule="auto"/>
        <w:jc w:val="center"/>
        <w:rPr>
          <w:rFonts w:eastAsia="Times New Roman" w:cs="Times New Roman"/>
        </w:rPr>
      </w:pPr>
      <w:r w:rsidRPr="00931CB6">
        <w:rPr>
          <w:rFonts w:eastAsia="Times New Roman" w:cs="Times New Roman"/>
        </w:rPr>
        <w:t>Aastha Boora</w:t>
      </w:r>
    </w:p>
    <w:p w14:paraId="7C307A30" w14:textId="0CE0426E" w:rsidR="00931CB6" w:rsidRPr="00931CB6" w:rsidRDefault="00931CB6" w:rsidP="00931CB6">
      <w:pPr>
        <w:pStyle w:val="BodyText"/>
        <w:spacing w:before="0" w:after="0" w:line="480" w:lineRule="auto"/>
        <w:jc w:val="center"/>
        <w:rPr>
          <w:rFonts w:eastAsia="Times New Roman" w:cs="Times New Roman"/>
        </w:rPr>
      </w:pPr>
      <w:r w:rsidRPr="00931CB6">
        <w:rPr>
          <w:rFonts w:eastAsia="Times New Roman" w:cs="Times New Roman"/>
        </w:rPr>
        <w:t>University at Albany</w:t>
      </w:r>
    </w:p>
    <w:p w14:paraId="024013FA" w14:textId="4C740058" w:rsidR="00FB4839" w:rsidRPr="00931CB6" w:rsidRDefault="00000000" w:rsidP="00931CB6">
      <w:pPr>
        <w:pStyle w:val="BodyText"/>
        <w:spacing w:before="0" w:after="0" w:line="480" w:lineRule="auto"/>
        <w:jc w:val="center"/>
      </w:pPr>
      <w:r w:rsidRPr="00931CB6">
        <w:rPr>
          <w:rFonts w:eastAsia="Times New Roman" w:cs="Times New Roman"/>
        </w:rPr>
        <w:t xml:space="preserve">BFIN515: Economic Analysis </w:t>
      </w:r>
      <w:r w:rsidR="00931CB6" w:rsidRPr="00931CB6">
        <w:rPr>
          <w:rFonts w:eastAsia="Times New Roman" w:cs="Times New Roman"/>
        </w:rPr>
        <w:t>(</w:t>
      </w:r>
      <w:r w:rsidRPr="00931CB6">
        <w:rPr>
          <w:rFonts w:eastAsia="Times New Roman" w:cs="Times New Roman"/>
        </w:rPr>
        <w:t>October 2026</w:t>
      </w:r>
      <w:r w:rsidR="00931CB6" w:rsidRPr="00931CB6">
        <w:rPr>
          <w:rFonts w:eastAsia="Times New Roman" w:cs="Times New Roman"/>
        </w:rPr>
        <w:t>)</w:t>
      </w:r>
    </w:p>
    <w:p w14:paraId="6F4B126B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>GitHub Repository: https://github.com/AasthaBoora/Price-Elasticity-Substitution-in-Sports-Nutrition-A-Nested-Logit-Analysis</w:t>
      </w:r>
    </w:p>
    <w:p w14:paraId="4BC25A28" w14:textId="77777777" w:rsidR="00B25C9E" w:rsidRDefault="00000000" w:rsidP="00B25C9E">
      <w:pPr>
        <w:pStyle w:val="BodyText"/>
        <w:spacing w:before="0" w:after="0" w:line="480" w:lineRule="auto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Abstract</w:t>
      </w:r>
    </w:p>
    <w:p w14:paraId="2E0E8058" w14:textId="294B6083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 xml:space="preserve">I estimate own-price elasticities and cross-brand substitution across two differentiated formats — whey powders and protein bars — using a Berry (1994) nested logit estimated by Berry inversion with cluster-robust OLS on 861 product–flavour SKUs (157 products, 11 flavour markets), validated against a 274-week promotional panel. The price coefficient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0.3633</m:t>
        </m:r>
      </m:oMath>
      <w:r>
        <w:rPr>
          <w:rFonts w:eastAsia="Times New Roman" w:cs="Times New Roman"/>
        </w:rPr>
        <w:t xml:space="preserve">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4.11</m:t>
        </m:r>
      </m:oMath>
      <w:r>
        <w:rPr>
          <w:rFonts w:eastAsia="Times New Roman" w:cs="Times New Roman"/>
        </w:rPr>
        <w:t xml:space="preserve">) and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0.8311</m:t>
        </m:r>
      </m:oMath>
      <w:r>
        <w:rPr>
          <w:rFonts w:eastAsia="Times New Roman" w:cs="Times New Roman"/>
        </w:rPr>
        <w:t xml:space="preserve">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17.54</m:t>
        </m:r>
      </m:oMath>
      <w:r>
        <w:rPr>
          <w:rFonts w:eastAsia="Times New Roman" w:cs="Times New Roman"/>
        </w:rPr>
        <w:t xml:space="preserve">),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0.806</m:t>
        </m:r>
      </m:oMath>
      <w:r>
        <w:rPr>
          <w:rFonts w:eastAsia="Times New Roman" w:cs="Times New Roman"/>
        </w:rPr>
        <w:t xml:space="preserve">. Every SKU is elastic (mean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3.45</m:t>
        </m:r>
      </m:oMath>
      <w:r>
        <w:rPr>
          <w:rFonts w:eastAsia="Times New Roman" w:cs="Times New Roman"/>
        </w:rPr>
        <w:t xml:space="preserve">): bars average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5.22</m:t>
        </m:r>
      </m:oMath>
      <w:r>
        <w:rPr>
          <w:rFonts w:eastAsia="Times New Roman" w:cs="Times New Roman"/>
        </w:rPr>
        <w:t xml:space="preserve"> versus powders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3.09</m:t>
        </m:r>
      </m:oMath>
      <w:r>
        <w:rPr>
          <w:rFonts w:eastAsia="Times New Roman" w:cs="Times New Roman"/>
        </w:rPr>
        <w:t>, and substitution is almost entirely within format. A three-tier validation ladder shows strong internal fit, hold-out performance below a naive benchmark, and no ability to predict promotional lift from a panel with a zero price coefficient. I derive asymmetric format-pricing, flavour-portfolio, and promotional-calendar recommendations, and delineate where static choice models may and may not guide pricing.</w:t>
      </w:r>
    </w:p>
    <w:p w14:paraId="40B96B0F" w14:textId="77777777" w:rsidR="00B25C9E" w:rsidRDefault="00000000">
      <w:pPr>
        <w:pStyle w:val="BodyText"/>
        <w:spacing w:before="0" w:after="0" w:line="480" w:lineRule="auto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JEL classification:</w:t>
      </w:r>
      <w:r>
        <w:rPr>
          <w:rFonts w:eastAsia="Times New Roman" w:cs="Times New Roman"/>
        </w:rPr>
        <w:t xml:space="preserve"> L81, M31, D12. </w:t>
      </w:r>
    </w:p>
    <w:p w14:paraId="7D5E88E8" w14:textId="74E64386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Keywords:</w:t>
      </w:r>
      <w:r>
        <w:rPr>
          <w:rFonts w:eastAsia="Times New Roman" w:cs="Times New Roman"/>
        </w:rPr>
        <w:t xml:space="preserve"> nested logit, price elasticity, demand estimation, sports nutrition, promotion evaluation.</w:t>
      </w:r>
    </w:p>
    <w:p w14:paraId="2EB71D6D" w14:textId="77777777" w:rsidR="00FB4839" w:rsidRDefault="00000000">
      <w:pPr>
        <w:pStyle w:val="Heading2"/>
        <w:spacing w:before="0" w:after="0" w:line="480" w:lineRule="auto"/>
      </w:pPr>
      <w:bookmarkStart w:id="0" w:name="business-question"/>
      <w:r>
        <w:rPr>
          <w:rFonts w:ascii="Times New Roman" w:eastAsia="Times New Roman" w:hAnsi="Times New Roman" w:cs="Times New Roman"/>
          <w:b/>
          <w:bCs/>
          <w:szCs w:val="24"/>
        </w:rPr>
        <w:lastRenderedPageBreak/>
        <w:t>1. Business Question</w:t>
      </w:r>
    </w:p>
    <w:p w14:paraId="41F09CB7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t xml:space="preserve">How should category directors and brand pricing managers set list prices and promotional depth across supplement formats and flavour profiles? A brand such as Optimum Nutrition, Quest or BSN sells both a </w:t>
      </w:r>
      <w:r>
        <w:rPr>
          <w:rFonts w:eastAsia="Times New Roman" w:cs="Times New Roman"/>
          <w:i/>
          <w:iCs/>
        </w:rPr>
        <w:t>format</w:t>
      </w:r>
      <w:r>
        <w:rPr>
          <w:rFonts w:eastAsia="Times New Roman" w:cs="Times New Roman"/>
        </w:rPr>
        <w:t xml:space="preserve"> — powder tubs versus protein bars — and a </w:t>
      </w:r>
      <w:r>
        <w:rPr>
          <w:rFonts w:eastAsia="Times New Roman" w:cs="Times New Roman"/>
          <w:i/>
          <w:iCs/>
        </w:rPr>
        <w:t>flavour profile</w:t>
      </w:r>
      <w:r>
        <w:rPr>
          <w:rFonts w:eastAsia="Times New Roman" w:cs="Times New Roman"/>
        </w:rPr>
        <w:t xml:space="preserve"> within each format. Each cell of that grid has its own demand sensitivity, and pricing one cell moves the others through substitution.</w:t>
      </w:r>
    </w:p>
    <w:p w14:paraId="46B8E236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>Mispricing cuts both ways. A deeply funded bar promotion may only transfer units from the brand’s own powder tubs — cannibalizing margin instead of growing the category. Uniform pricing forfeits genuinely inelastic niche flavours: the loyalty that lets a Birthday Cake powder carry a premium. Both errors share one root — pricing without estimates of own-price elasticity and of the cross-elasticity structure that says who takes whose volume.</w:t>
      </w:r>
    </w:p>
    <w:p w14:paraId="3DCB0144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>Brand managers need these estimates to set list prices, design price-pack architecture, and choose which SKUs fund promotions. Retail category buyers need them to allocate shelf space, sequence promotional calendars, and negotiate vendor funding: knowing that a temporary price cut on a bar moves volume almost exclusively between bars — and essentially never into powders — changes how promotions are bundled. I deliver both sets of estimates, with an honest account of where they can and cannot be trusted.</w:t>
      </w:r>
    </w:p>
    <w:p w14:paraId="2FFC6AC4" w14:textId="77777777" w:rsidR="00FB4839" w:rsidRDefault="00000000">
      <w:pPr>
        <w:pStyle w:val="Heading2"/>
        <w:spacing w:before="0" w:after="0" w:line="480" w:lineRule="auto"/>
      </w:pPr>
      <w:bookmarkStart w:id="1" w:name="data"/>
      <w:bookmarkEnd w:id="0"/>
      <w:r>
        <w:rPr>
          <w:rFonts w:ascii="Times New Roman" w:eastAsia="Times New Roman" w:hAnsi="Times New Roman" w:cs="Times New Roman"/>
          <w:b/>
          <w:bCs/>
          <w:szCs w:val="24"/>
        </w:rPr>
        <w:t>2. Data</w:t>
      </w:r>
    </w:p>
    <w:p w14:paraId="0198AB9C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t>Demand models can be supported at Level 1 (category series), Level 2 (product-level shares, prices, characteristics, ownership), or transaction microdata (Dong, 2026). My data sit squarely at Level 2 — enough to estimate differentiated demand, but without cost shifters or time-varying consumer states, a boundary that matters below.</w:t>
      </w:r>
    </w:p>
    <w:p w14:paraId="58FC414F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lastRenderedPageBreak/>
        <w:t>Estimation sample.</w:t>
      </w:r>
      <w:r>
        <w:rPr>
          <w:rFonts w:eastAsia="Times New Roman" w:cs="Times New Roman"/>
        </w:rPr>
        <w:t xml:space="preserve"> I use a public retail catalogue (Kaggle, </w:t>
      </w:r>
      <w:r>
        <w:rPr>
          <w:rFonts w:eastAsia="Times New Roman" w:cs="Times New Roman"/>
          <w:i/>
          <w:iCs/>
        </w:rPr>
        <w:t>Sports nutrition supplements</w:t>
      </w:r>
      <w:r>
        <w:rPr>
          <w:rFonts w:eastAsia="Times New Roman" w:cs="Times New Roman"/>
        </w:rPr>
        <w:t xml:space="preserve">; 2,719 SKUs, 108 brands). I retain the five protein-powder categories and protein bars with at least one review; assign each SKU to a bar or powder nest by category and product form, reassigning 75 misclassified rows; map flavour strings to flavour markets; and split each parent product’s review mass across its flavour SKUs as the share proxy. The result is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861</m:t>
        </m:r>
      </m:oMath>
      <w:r>
        <w:rPr>
          <w:rFonts w:eastAsia="Times New Roman" w:cs="Times New Roman"/>
        </w:rPr>
        <w:t xml:space="preserve"> SKUs across 157 products and 11 flavour markets (715 powder, 146 bar), with outside-good shares of </w:t>
      </w:r>
      <m:oMath>
        <m:r>
          <w:rPr>
            <w:rFonts w:ascii="Cambria Math" w:hAnsi="Cambria Math"/>
          </w:rPr>
          <m:t>0.884</m:t>
        </m:r>
      </m:oMath>
      <w:r>
        <w:rPr>
          <w:rFonts w:eastAsia="Times New Roman" w:cs="Times New Roman"/>
        </w:rPr>
        <w:t>–</w:t>
      </w:r>
      <m:oMath>
        <m:r>
          <w:rPr>
            <w:rFonts w:ascii="Cambria Math" w:hAnsi="Cambria Math"/>
          </w:rPr>
          <m:t>0.997</m:t>
        </m:r>
      </m:oMath>
      <w:r>
        <w:rPr>
          <w:rFonts w:eastAsia="Times New Roman" w:cs="Times New Roman"/>
        </w:rPr>
        <w:t xml:space="preserve">. Price per serving averages 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1.64</m:t>
        </m:r>
      </m:oMath>
      <w:r>
        <w:rPr>
          <w:rFonts w:eastAsia="Times New Roman" w:cs="Times New Roman"/>
        </w:rPr>
        <w:t xml:space="preserve"> — 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1.45</m:t>
        </m:r>
      </m:oMath>
      <w:r>
        <w:rPr>
          <w:rFonts w:eastAsia="Times New Roman" w:cs="Times New Roman"/>
        </w:rPr>
        <w:t xml:space="preserve"> for powders versus 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2.58</m:t>
        </m:r>
      </m:oMath>
      <w:r>
        <w:rPr>
          <w:rFonts w:eastAsia="Times New Roman" w:cs="Times New Roman"/>
        </w:rPr>
        <w:t xml:space="preserve"> for bars, a 77% format premium.</w:t>
      </w:r>
    </w:p>
    <w:p w14:paraId="60625209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Validation panel.</w:t>
      </w:r>
      <w:r>
        <w:rPr>
          <w:rFonts w:eastAsia="Times New Roman" w:cs="Times New Roman"/>
        </w:rPr>
        <w:t xml:space="preserve"> A second Kaggle panel (</w:t>
      </w:r>
      <w:r>
        <w:rPr>
          <w:rFonts w:eastAsia="Times New Roman" w:cs="Times New Roman"/>
          <w:i/>
          <w:iCs/>
        </w:rPr>
        <w:t>Supplement Sales Data</w:t>
      </w:r>
      <w:r>
        <w:rPr>
          <w:rFonts w:eastAsia="Times New Roman" w:cs="Times New Roman"/>
        </w:rPr>
        <w:t>, Apache 2.0) covers 16 products over 274 weeks (4,384 product-weeks, 2020–2025) with units, prices, and discounts. Weeks averaging at least 13% discount — 1,680 promotional product-weeks — form the held-out regime in Section 5. Neither dataset contains Myprotein or Barebells (verified by search), so those brands enter only as market context.</w:t>
      </w:r>
    </w:p>
    <w:p w14:paraId="36F1FC83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Limitations.</w:t>
      </w:r>
      <w:r>
        <w:rPr>
          <w:rFonts w:eastAsia="Times New Roman" w:cs="Times New Roman"/>
        </w:rPr>
        <w:t xml:space="preserve"> Review mass proxies sales; the catalogue is cross-sectional, projecting all time variation onto cross-sectional variation; and zero-review products are dropped, conditioning on observed demand. These boundaries motivate the fixed-effects design and bound Sections 5–6. (Sample exhibits: E1, E2, ET1.)</w:t>
      </w:r>
    </w:p>
    <w:p w14:paraId="7C70EDE0" w14:textId="77777777" w:rsidR="00FB4839" w:rsidRDefault="00000000">
      <w:pPr>
        <w:pStyle w:val="Heading2"/>
        <w:spacing w:before="0" w:after="0" w:line="480" w:lineRule="auto"/>
      </w:pPr>
      <w:bookmarkStart w:id="2" w:name="method"/>
      <w:bookmarkEnd w:id="1"/>
      <w:r>
        <w:rPr>
          <w:rFonts w:ascii="Times New Roman" w:eastAsia="Times New Roman" w:hAnsi="Times New Roman" w:cs="Times New Roman"/>
          <w:b/>
          <w:bCs/>
          <w:szCs w:val="24"/>
        </w:rPr>
        <w:t>3. Method</w:t>
      </w:r>
    </w:p>
    <w:p w14:paraId="1362A4BC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t>I estimate a Berry (1994) Level-2 aggregate nested logit by two-step OLS with standard errors clustered on the 157 parent products. Consumers choose among products nested in powders or bars versus an outside good, with conditional within-nest shares following the nested-logit GEV distribution. Inverting the share system (Berry, 1994) gives my estimating equation:</w:t>
      </w:r>
    </w:p>
    <w:p w14:paraId="4A568B99" w14:textId="77777777" w:rsidR="00FB4839" w:rsidRDefault="00000000">
      <w:pPr>
        <w:pStyle w:val="BodyText"/>
        <w:spacing w:before="0" w:after="0" w:line="480" w:lineRule="auto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PPS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ln(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365B79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lastRenderedPageBreak/>
        <w:t>which I estimate by constructing both share terms from observed shares and running OLS with flavour-profile fixed effects.</w:t>
      </w:r>
    </w:p>
    <w:p w14:paraId="41602A91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 xml:space="preserve">The nesting parameter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eastAsia="Times New Roman" w:cs="Times New Roman"/>
        </w:rPr>
        <w:t xml:space="preserve"> governs within-nest substitution. As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rPr>
          <w:rFonts w:eastAsia="Times New Roman" w:cs="Times New Roman"/>
        </w:rPr>
        <w:t xml:space="preserve"> the model collapses to multinomial logit, whose IIA restriction implies — counterfactually here — that powder loyalists and bar shoppers divert identically. As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rPr>
          <w:rFonts w:eastAsia="Times New Roman" w:cs="Times New Roman"/>
        </w:rPr>
        <w:t>, goods within a nest become near-perfect substitutes and substitution mass concentrates inside the nest, eliminating the cross-format substitution that IIA would impose.</w:t>
      </w:r>
    </w:p>
    <w:p w14:paraId="214DCF06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 xml:space="preserve">Closed-form own, intra-nest, and inter-nest elasticities follow by differentiating the share system; I verified them against five-point numerical differentiation (maximum deviation below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rFonts w:eastAsia="Times New Roman" w:cs="Times New Roman"/>
        </w:rPr>
        <w:t>) and aggregate them to brand level as share-weighted sums.</w:t>
      </w:r>
    </w:p>
    <w:p w14:paraId="410BE48F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 xml:space="preserve">Two devices address unobserved quality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jt</m:t>
            </m:r>
          </m:sub>
        </m:sSub>
      </m:oMath>
      <w:r>
        <w:rPr>
          <w:rFonts w:eastAsia="Times New Roman" w:cs="Times New Roman"/>
        </w:rPr>
        <w:t xml:space="preserve">. Flavour-profile fixed effects absorb market-level taste shocks, so </w:t>
      </w:r>
      <m:oMath>
        <m:r>
          <w:rPr>
            <w:rFonts w:ascii="Cambria Math" w:hAnsi="Cambria Math"/>
          </w:rPr>
          <m:t>α</m:t>
        </m:r>
      </m:oMath>
      <w:r>
        <w:rPr>
          <w:rFonts w:eastAsia="Times New Roman" w:cs="Times New Roman"/>
        </w:rPr>
        <w:t xml:space="preserve"> is identified from price dispersion within a flavour market, net of nest membership. Product-level clustering allows arbitrary correlation across a parent product’s variants. Without cost instruments, </w:t>
      </w:r>
      <m:oMath>
        <m:r>
          <w:rPr>
            <w:rFonts w:ascii="Cambria Math" w:hAnsi="Cambria Math"/>
          </w:rPr>
          <m:t>α</m:t>
        </m:r>
      </m:oMath>
      <w:r>
        <w:rPr>
          <w:rFonts w:eastAsia="Times New Roman" w:cs="Times New Roman"/>
        </w:rPr>
        <w:t xml:space="preserve"> may absorb correlated unobserved quality, so I treat all magnitudes as upper bounds.</w:t>
      </w:r>
    </w:p>
    <w:p w14:paraId="004C1174" w14:textId="77777777" w:rsidR="00FB4839" w:rsidRDefault="00000000">
      <w:pPr>
        <w:pStyle w:val="Heading2"/>
        <w:spacing w:before="0" w:after="0" w:line="480" w:lineRule="auto"/>
      </w:pPr>
      <w:bookmarkStart w:id="3" w:name="results"/>
      <w:bookmarkEnd w:id="2"/>
      <w:r>
        <w:rPr>
          <w:rFonts w:ascii="Times New Roman" w:eastAsia="Times New Roman" w:hAnsi="Times New Roman" w:cs="Times New Roman"/>
          <w:b/>
          <w:bCs/>
          <w:szCs w:val="24"/>
        </w:rPr>
        <w:t>4. Results</w:t>
      </w:r>
    </w:p>
    <w:p w14:paraId="014637E8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t xml:space="preserve">Table 1 reports the main estimates. The price-per-serving coefficient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0.3633</m:t>
        </m:r>
      </m:oMath>
      <w:r>
        <w:rPr>
          <w:rFonts w:eastAsia="Times New Roman" w:cs="Times New Roman"/>
        </w:rPr>
        <w:t xml:space="preserve"> (SE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0.0884</m:t>
        </m:r>
      </m:oMath>
      <w:r>
        <w:rPr>
          <w:rFonts w:eastAsia="Times New Roman" w:cs="Times New Roman"/>
        </w:rP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4.11</m:t>
        </m:r>
      </m:oMath>
      <w:r>
        <w:rPr>
          <w:rFonts w:eastAsia="Times New Roman" w:cs="Times New Roman"/>
        </w:rP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  <w:r>
        <w:rPr>
          <w:rFonts w:eastAsia="Times New Roman" w:cs="Times New Roman"/>
        </w:rPr>
        <w:t xml:space="preserve">): a one-dollar increase in price per serving cuts </w:t>
      </w:r>
      <m:oMath>
        <m:r>
          <m:rPr>
            <m:sty m:val="p"/>
          </m:rPr>
          <w:rPr>
            <w:rFonts w:ascii="Cambria Math" w:hAnsi="Cambria Math"/>
          </w:rPr>
          <m:t>ln(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eastAsia="Times New Roman" w:cs="Times New Roman"/>
        </w:rPr>
        <w:t xml:space="preserve"> by 0.36 within a flavour market. The nesting parameter is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0.8311</m:t>
        </m:r>
      </m:oMath>
      <w:r>
        <w:rPr>
          <w:rFonts w:eastAsia="Times New Roman" w:cs="Times New Roman"/>
        </w:rPr>
        <w:t xml:space="preserve"> (SE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0.0474</m:t>
        </m:r>
      </m:oMath>
      <w:r>
        <w:rPr>
          <w:rFonts w:eastAsia="Times New Roman" w:cs="Times New Roman"/>
        </w:rP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17.54</m:t>
        </m:r>
      </m:oMath>
      <w:r>
        <w:rPr>
          <w:rFonts w:eastAsia="Times New Roman" w:cs="Times New Roman"/>
        </w:rPr>
        <w:t>) — decisively above zero, so IIA is rejected and substitution is overwhelmingly within format. Fit is strong for cross-sectional demand work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0.806</m:t>
        </m:r>
      </m:oMath>
      <w:r>
        <w:rPr>
          <w:rFonts w:eastAsia="Times New Roman" w:cs="Times New Roman"/>
        </w:rPr>
        <w:t xml:space="preserve">). A log-price robustness spec gives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0.7407</m:t>
        </m:r>
      </m:oMath>
      <w:r>
        <w:rPr>
          <w:rFonts w:eastAsia="Times New Roman" w:cs="Times New Roman"/>
        </w:rP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  <w:r>
        <w:rPr>
          <w:rFonts w:eastAsia="Times New Roman" w:cs="Times New Roman"/>
        </w:rPr>
        <w:t xml:space="preserve">) and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0.8223</m:t>
        </m:r>
      </m:oMath>
      <w:r>
        <w:rPr>
          <w:rFonts w:eastAsia="Times New Roman" w:cs="Times New Roman"/>
        </w:rPr>
        <w:t>, so the conclusions do not depend on price functional form.</w:t>
      </w:r>
    </w:p>
    <w:p w14:paraId="7DDB6B90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Table 1 — Nested-logit estimates (Berry inversion, two-step OLS, clustered SEs)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89"/>
        <w:gridCol w:w="2150"/>
        <w:gridCol w:w="1989"/>
      </w:tblGrid>
      <w:tr w:rsidR="00FB4839" w14:paraId="718A3925" w14:textId="77777777" w:rsidTr="00FB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BA68EF" w14:textId="77777777" w:rsidR="00FB4839" w:rsidRDefault="00FB4839">
            <w:pPr>
              <w:pStyle w:val="Compact"/>
              <w:spacing w:before="0" w:after="0" w:line="480" w:lineRule="auto"/>
            </w:pPr>
          </w:p>
        </w:tc>
        <w:tc>
          <w:tcPr>
            <w:tcW w:w="0" w:type="auto"/>
          </w:tcPr>
          <w:p w14:paraId="3B58946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Main spec (PPS, $)</w:t>
            </w:r>
          </w:p>
        </w:tc>
        <w:tc>
          <w:tcPr>
            <w:tcW w:w="0" w:type="auto"/>
          </w:tcPr>
          <w:p w14:paraId="50413B3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Log-price spec</w:t>
            </w:r>
          </w:p>
        </w:tc>
      </w:tr>
      <w:tr w:rsidR="00FB4839" w14:paraId="396C205B" w14:textId="77777777">
        <w:tc>
          <w:tcPr>
            <w:tcW w:w="0" w:type="auto"/>
          </w:tcPr>
          <w:p w14:paraId="5EBF442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Price coefficient</w:t>
            </w:r>
          </w:p>
        </w:tc>
        <w:tc>
          <w:tcPr>
            <w:tcW w:w="0" w:type="auto"/>
          </w:tcPr>
          <w:p w14:paraId="6AA6E588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0.3633</m:t>
              </m:r>
            </m:oMath>
            <w:r>
              <w:rPr>
                <w:rFonts w:eastAsia="Times New Roman" w:cs="Times New Roman"/>
                <w:szCs w:val="24"/>
              </w:rPr>
              <w:t xml:space="preserve"> (0.0884)</w:t>
            </w:r>
          </w:p>
        </w:tc>
        <w:tc>
          <w:tcPr>
            <w:tcW w:w="0" w:type="auto"/>
          </w:tcPr>
          <w:p w14:paraId="1FC0904A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0.7407</m:t>
              </m:r>
            </m:oMath>
            <w:r>
              <w:rPr>
                <w:rFonts w:eastAsia="Times New Roman" w:cs="Times New Roman"/>
                <w:szCs w:val="24"/>
              </w:rPr>
              <w:t xml:space="preserve"> (0.1645)</w:t>
            </w:r>
          </w:p>
        </w:tc>
      </w:tr>
      <w:tr w:rsidR="00FB4839" w14:paraId="2BF42554" w14:textId="77777777">
        <w:tc>
          <w:tcPr>
            <w:tcW w:w="0" w:type="auto"/>
          </w:tcPr>
          <w:p w14:paraId="042202C0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rFonts w:eastAsia="Times New Roman" w:cs="Times New Roman"/>
                <w:szCs w:val="24"/>
              </w:rPr>
              <w:t>-statistic</w:t>
            </w:r>
          </w:p>
        </w:tc>
        <w:tc>
          <w:tcPr>
            <w:tcW w:w="0" w:type="auto"/>
          </w:tcPr>
          <w:p w14:paraId="27D0425D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4.11</m:t>
                </m:r>
              </m:oMath>
            </m:oMathPara>
          </w:p>
        </w:tc>
        <w:tc>
          <w:tcPr>
            <w:tcW w:w="0" w:type="auto"/>
          </w:tcPr>
          <w:p w14:paraId="7B8EAF9D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4.50</m:t>
                </m:r>
              </m:oMath>
            </m:oMathPara>
          </w:p>
        </w:tc>
      </w:tr>
      <w:tr w:rsidR="00FB4839" w14:paraId="2F951850" w14:textId="77777777">
        <w:tc>
          <w:tcPr>
            <w:tcW w:w="0" w:type="auto"/>
          </w:tcPr>
          <w:p w14:paraId="5048D4C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Nesting parameter </w:t>
            </w:r>
            <m:oMath>
              <m:r>
                <w:rPr>
                  <w:rFonts w:ascii="Cambria Math" w:hAnsi="Cambria Math"/>
                </w:rPr>
                <m:t>σ</m:t>
              </m:r>
            </m:oMath>
          </w:p>
        </w:tc>
        <w:tc>
          <w:tcPr>
            <w:tcW w:w="0" w:type="auto"/>
          </w:tcPr>
          <w:p w14:paraId="1517477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0.8311 (0.0474)</w:t>
            </w:r>
          </w:p>
        </w:tc>
        <w:tc>
          <w:tcPr>
            <w:tcW w:w="0" w:type="auto"/>
          </w:tcPr>
          <w:p w14:paraId="391D2EB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0.8223</w:t>
            </w:r>
          </w:p>
        </w:tc>
      </w:tr>
      <w:tr w:rsidR="00FB4839" w14:paraId="6BAC43DD" w14:textId="77777777">
        <w:tc>
          <w:tcPr>
            <w:tcW w:w="0" w:type="auto"/>
          </w:tcPr>
          <w:p w14:paraId="05D29101" w14:textId="77777777" w:rsidR="00FB4839" w:rsidRDefault="00000000">
            <w:pPr>
              <w:pStyle w:val="Compact"/>
              <w:spacing w:before="0" w:after="0" w:line="480" w:lineRule="auto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="Times New Roman" w:cs="Times New Roman"/>
                <w:szCs w:val="24"/>
              </w:rPr>
              <w:t xml:space="preserve"> / Adjusted</w:t>
            </w:r>
          </w:p>
        </w:tc>
        <w:tc>
          <w:tcPr>
            <w:tcW w:w="0" w:type="auto"/>
          </w:tcPr>
          <w:p w14:paraId="7A1181F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0.806 / 0.803</w:t>
            </w:r>
          </w:p>
        </w:tc>
        <w:tc>
          <w:tcPr>
            <w:tcW w:w="0" w:type="auto"/>
          </w:tcPr>
          <w:p w14:paraId="0CB3E03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—</w:t>
            </w:r>
          </w:p>
        </w:tc>
      </w:tr>
      <w:tr w:rsidR="00FB4839" w14:paraId="7D26F091" w14:textId="77777777">
        <w:tc>
          <w:tcPr>
            <w:tcW w:w="0" w:type="auto"/>
          </w:tcPr>
          <w:p w14:paraId="4AB4587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Observations</w:t>
            </w:r>
          </w:p>
        </w:tc>
        <w:tc>
          <w:tcPr>
            <w:tcW w:w="0" w:type="auto"/>
          </w:tcPr>
          <w:p w14:paraId="03B3A02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861</w:t>
            </w:r>
          </w:p>
        </w:tc>
        <w:tc>
          <w:tcPr>
            <w:tcW w:w="0" w:type="auto"/>
          </w:tcPr>
          <w:p w14:paraId="1D13015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861</w:t>
            </w:r>
          </w:p>
        </w:tc>
      </w:tr>
    </w:tbl>
    <w:p w14:paraId="59E7F0F2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 xml:space="preserve">Table 2 converts the estimates into elasticities over all 861 SKUs. Mean own-price elasticity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3.453</m:t>
        </m:r>
      </m:oMath>
      <w:r>
        <w:rPr>
          <w:rFonts w:eastAsia="Times New Roman" w:cs="Times New Roman"/>
        </w:rPr>
        <w:t xml:space="preserve"> (median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2.940</m:t>
        </m:r>
      </m:oMath>
      <w:r>
        <w:rPr>
          <w:rFonts w:eastAsia="Times New Roman" w:cs="Times New Roman"/>
        </w:rPr>
        <w:t xml:space="preserve">; range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11.25</m:t>
        </m:r>
      </m:oMath>
      <w:r>
        <w:rPr>
          <w:rFonts w:eastAsia="Times New Roman" w:cs="Times New Roman"/>
        </w:rPr>
        <w:t xml:space="preserve"> to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1.06</m:t>
        </m:r>
      </m:oMath>
      <w:r>
        <w:rPr>
          <w:rFonts w:eastAsia="Times New Roman" w:cs="Times New Roman"/>
        </w:rPr>
        <w:t xml:space="preserve">); every SKU is elastic and 81% exceed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rPr>
          <w:rFonts w:eastAsia="Times New Roman" w:cs="Times New Roman"/>
        </w:rPr>
        <w:t xml:space="preserve">. The decisive split: </w:t>
      </w:r>
      <w:r>
        <w:rPr>
          <w:rFonts w:eastAsia="Times New Roman" w:cs="Times New Roman"/>
          <w:b/>
          <w:bCs/>
        </w:rPr>
        <w:t xml:space="preserve">powders average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3.091</m:t>
        </m:r>
      </m:oMath>
      <w:r>
        <w:rPr>
          <w:rFonts w:eastAsia="Times New Roman" w:cs="Times New Roman"/>
          <w:b/>
          <w:bCs/>
        </w:rPr>
        <w:t xml:space="preserve"> versus bars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5.221</m:t>
        </m:r>
      </m:oMath>
      <w:r>
        <w:rPr>
          <w:rFonts w:eastAsia="Times New Roman" w:cs="Times New Roman"/>
        </w:rPr>
        <w:t xml:space="preserve"> — bar demand is far more price-sensitive, consistent with smaller purchase size, lower switching costs, and a denser competitive set.</w:t>
      </w:r>
    </w:p>
    <w:p w14:paraId="321360F0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 xml:space="preserve">Table 2 — Format elasticity summary (own-price elasticities,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861</m:t>
        </m:r>
      </m:oMath>
      <w:r>
        <w:rPr>
          <w:rFonts w:eastAsia="Times New Roman" w:cs="Times New Roman"/>
          <w:b/>
          <w:bCs/>
        </w:rPr>
        <w:t>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67"/>
        <w:gridCol w:w="1790"/>
        <w:gridCol w:w="1903"/>
        <w:gridCol w:w="1490"/>
      </w:tblGrid>
      <w:tr w:rsidR="00FB4839" w14:paraId="26C594BB" w14:textId="77777777" w:rsidTr="00FB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A95A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Statistic</w:t>
            </w:r>
          </w:p>
        </w:tc>
        <w:tc>
          <w:tcPr>
            <w:tcW w:w="0" w:type="auto"/>
          </w:tcPr>
          <w:p w14:paraId="75CCFA6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All SKUs</w:t>
            </w:r>
          </w:p>
        </w:tc>
        <w:tc>
          <w:tcPr>
            <w:tcW w:w="0" w:type="auto"/>
          </w:tcPr>
          <w:p w14:paraId="53AFBC4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Protein powders</w:t>
            </w:r>
          </w:p>
        </w:tc>
        <w:tc>
          <w:tcPr>
            <w:tcW w:w="0" w:type="auto"/>
          </w:tcPr>
          <w:p w14:paraId="17D6CEB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Protein bars</w:t>
            </w:r>
          </w:p>
        </w:tc>
      </w:tr>
      <w:tr w:rsidR="00FB4839" w14:paraId="0E4D6393" w14:textId="77777777">
        <w:tc>
          <w:tcPr>
            <w:tcW w:w="0" w:type="auto"/>
          </w:tcPr>
          <w:p w14:paraId="04E797A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Mean</w:t>
            </w:r>
          </w:p>
        </w:tc>
        <w:tc>
          <w:tcPr>
            <w:tcW w:w="0" w:type="auto"/>
          </w:tcPr>
          <w:p w14:paraId="43B1098D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3.453</m:t>
                </m:r>
              </m:oMath>
            </m:oMathPara>
          </w:p>
        </w:tc>
        <w:tc>
          <w:tcPr>
            <w:tcW w:w="0" w:type="auto"/>
          </w:tcPr>
          <w:p w14:paraId="79C84F0B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3.091</m:t>
                </m:r>
              </m:oMath>
            </m:oMathPara>
          </w:p>
        </w:tc>
        <w:tc>
          <w:tcPr>
            <w:tcW w:w="0" w:type="auto"/>
          </w:tcPr>
          <w:p w14:paraId="148D5D9F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5.221</m:t>
                </m:r>
              </m:oMath>
            </m:oMathPara>
          </w:p>
        </w:tc>
      </w:tr>
      <w:tr w:rsidR="00FB4839" w14:paraId="5F617756" w14:textId="77777777">
        <w:tc>
          <w:tcPr>
            <w:tcW w:w="0" w:type="auto"/>
          </w:tcPr>
          <w:p w14:paraId="49F1A47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Median</w:t>
            </w:r>
          </w:p>
        </w:tc>
        <w:tc>
          <w:tcPr>
            <w:tcW w:w="0" w:type="auto"/>
          </w:tcPr>
          <w:p w14:paraId="563F4D8F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2.940</m:t>
                </m:r>
              </m:oMath>
            </m:oMathPara>
          </w:p>
        </w:tc>
        <w:tc>
          <w:tcPr>
            <w:tcW w:w="0" w:type="auto"/>
          </w:tcPr>
          <w:p w14:paraId="558F491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—</w:t>
            </w:r>
          </w:p>
        </w:tc>
        <w:tc>
          <w:tcPr>
            <w:tcW w:w="0" w:type="auto"/>
          </w:tcPr>
          <w:p w14:paraId="74F468B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—</w:t>
            </w:r>
          </w:p>
        </w:tc>
      </w:tr>
      <w:tr w:rsidR="00FB4839" w14:paraId="5E7DAE62" w14:textId="77777777">
        <w:tc>
          <w:tcPr>
            <w:tcW w:w="0" w:type="auto"/>
          </w:tcPr>
          <w:p w14:paraId="392C160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Range</w:t>
            </w:r>
          </w:p>
        </w:tc>
        <w:tc>
          <w:tcPr>
            <w:tcW w:w="0" w:type="auto"/>
          </w:tcPr>
          <w:p w14:paraId="6B56DB91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11.25</m:t>
              </m:r>
            </m:oMath>
            <w:r>
              <w:rPr>
                <w:rFonts w:eastAsia="Times New Roman" w:cs="Times New Roman"/>
                <w:szCs w:val="24"/>
              </w:rPr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1.06</m:t>
              </m:r>
            </m:oMath>
          </w:p>
        </w:tc>
        <w:tc>
          <w:tcPr>
            <w:tcW w:w="0" w:type="auto"/>
          </w:tcPr>
          <w:p w14:paraId="7E324AA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—</w:t>
            </w:r>
          </w:p>
        </w:tc>
        <w:tc>
          <w:tcPr>
            <w:tcW w:w="0" w:type="auto"/>
          </w:tcPr>
          <w:p w14:paraId="6A65CD3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—</w:t>
            </w:r>
          </w:p>
        </w:tc>
      </w:tr>
      <w:tr w:rsidR="00FB4839" w14:paraId="64747027" w14:textId="77777777">
        <w:tc>
          <w:tcPr>
            <w:tcW w:w="0" w:type="auto"/>
          </w:tcPr>
          <w:p w14:paraId="1697E0C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Share with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|&gt;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0" w:type="auto"/>
          </w:tcPr>
          <w:p w14:paraId="5B974A2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100%</w:t>
            </w:r>
          </w:p>
        </w:tc>
        <w:tc>
          <w:tcPr>
            <w:tcW w:w="0" w:type="auto"/>
          </w:tcPr>
          <w:p w14:paraId="56055AF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100%</w:t>
            </w:r>
          </w:p>
        </w:tc>
        <w:tc>
          <w:tcPr>
            <w:tcW w:w="0" w:type="auto"/>
          </w:tcPr>
          <w:p w14:paraId="267EAB0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100%</w:t>
            </w:r>
          </w:p>
        </w:tc>
      </w:tr>
    </w:tbl>
    <w:p w14:paraId="61FF79FB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 xml:space="preserve">The three focal markets sharpen the reading (Exhibit ET2). Mocha/Coffee (26 SKUs) averages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3.19</m:t>
        </m:r>
      </m:oMath>
      <w:r>
        <w:rPr>
          <w:rFonts w:eastAsia="Times New Roman" w:cs="Times New Roman"/>
        </w:rPr>
        <w:t xml:space="preserve"> with intra-nest cross-elasticity of </w:t>
      </w:r>
      <m:oMath>
        <m:r>
          <w:rPr>
            <w:rFonts w:ascii="Cambria Math" w:hAnsi="Cambria Math"/>
          </w:rPr>
          <m:t>0.099</m:t>
        </m:r>
      </m:oMath>
      <w:r>
        <w:rPr>
          <w:rFonts w:eastAsia="Times New Roman" w:cs="Times New Roman"/>
        </w:rPr>
        <w:t xml:space="preserve"> against inter-nest of </w:t>
      </w:r>
      <m:oMath>
        <m:r>
          <w:rPr>
            <w:rFonts w:ascii="Cambria Math" w:hAnsi="Cambria Math"/>
          </w:rPr>
          <m:t>0.00013</m:t>
        </m:r>
      </m:oMath>
      <w:r>
        <w:rPr>
          <w:rFonts w:eastAsia="Times New Roman" w:cs="Times New Roman"/>
        </w:rPr>
        <w:t xml:space="preserve"> — roughly 760 times more intense within format. Salted Caramel (23 SKUs) is the most contested at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4.10</m:t>
        </m:r>
      </m:oMath>
      <w:r>
        <w:rPr>
          <w:rFonts w:eastAsia="Times New Roman" w:cs="Times New Roman"/>
        </w:rPr>
        <w:t xml:space="preserve">, with intra-nest </w:t>
      </w:r>
      <m:oMath>
        <m:r>
          <w:rPr>
            <w:rFonts w:ascii="Cambria Math" w:hAnsi="Cambria Math"/>
          </w:rPr>
          <m:t>0.317</m:t>
        </m:r>
      </m:oMath>
      <w:r>
        <w:rPr>
          <w:rFonts w:eastAsia="Times New Roman" w:cs="Times New Roman"/>
        </w:rPr>
        <w:t xml:space="preserve"> and brand-level cross-effects up to </w:t>
      </w:r>
      <m:oMath>
        <m:r>
          <w:rPr>
            <w:rFonts w:ascii="Cambria Math" w:hAnsi="Cambria Math"/>
          </w:rPr>
          <m:t>3.54</m:t>
        </m:r>
      </m:oMath>
      <w:r>
        <w:rPr>
          <w:rFonts w:eastAsia="Times New Roman" w:cs="Times New Roman"/>
        </w:rPr>
        <w:t xml:space="preserve">; Birthday Cake averages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3.24</m:t>
        </m:r>
      </m:oMath>
      <w:r>
        <w:rPr>
          <w:rFonts w:eastAsia="Times New Roman" w:cs="Times New Roman"/>
        </w:rPr>
        <w:t xml:space="preserve">. Substitution is asymmetric: Dymatize’s share responds to an Optimum Nutrition price change </w:t>
      </w:r>
      <w:r>
        <w:rPr>
          <w:rFonts w:eastAsia="Times New Roman" w:cs="Times New Roman"/>
        </w:rPr>
        <w:lastRenderedPageBreak/>
        <w:t xml:space="preserve">with elasticity </w:t>
      </w:r>
      <m:oMath>
        <m:r>
          <w:rPr>
            <w:rFonts w:ascii="Cambria Math" w:hAnsi="Cambria Math"/>
          </w:rPr>
          <m:t>0.913</m:t>
        </m:r>
      </m:oMath>
      <w:r>
        <w:rPr>
          <w:rFonts w:eastAsia="Times New Roman" w:cs="Times New Roman"/>
        </w:rPr>
        <w:t xml:space="preserve">, while Optimum responds to Dymatize with only </w:t>
      </w:r>
      <m:oMath>
        <m:r>
          <w:rPr>
            <w:rFonts w:ascii="Cambria Math" w:hAnsi="Cambria Math"/>
          </w:rPr>
          <m:t>0.092</m:t>
        </m:r>
      </m:oMath>
      <w:r>
        <w:rPr>
          <w:rFonts w:eastAsia="Times New Roman" w:cs="Times New Roman"/>
        </w:rPr>
        <w:t xml:space="preserve"> — volume flows toward the dominant incumbent (matrices: Exhibits ET3, E3a–E3c).</w:t>
      </w:r>
    </w:p>
    <w:p w14:paraId="20F78F04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 xml:space="preserve">A counterfactual sweep of the Mocha leader’s price across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eastAsia="Times New Roman" w:cs="Times New Roman"/>
        </w:rPr>
        <w:t xml:space="preserve"> (Exhibit E4) shows the same structure dynamically: the leader’s own curve is steep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1.96</m:t>
        </m:r>
      </m:oMath>
      <w:r>
        <w:rPr>
          <w:rFonts w:eastAsia="Times New Roman" w:cs="Times New Roman"/>
        </w:rPr>
        <w:t>) and diversion flows almost entirely to other powders while rival bar lines stay flat. In-sample fit (Exhibit E5) clusters tightly on the 45-degree line for large markets, with dispersion concentrated in small markets — foreshadowing Section 5.</w:t>
      </w:r>
    </w:p>
    <w:p w14:paraId="54365775" w14:textId="77777777" w:rsidR="00FB4839" w:rsidRDefault="00000000">
      <w:pPr>
        <w:pStyle w:val="Heading2"/>
        <w:spacing w:before="0" w:after="0" w:line="480" w:lineRule="auto"/>
      </w:pPr>
      <w:bookmarkStart w:id="4" w:name="validation"/>
      <w:bookmarkEnd w:id="3"/>
      <w:r>
        <w:rPr>
          <w:rFonts w:ascii="Times New Roman" w:eastAsia="Times New Roman" w:hAnsi="Times New Roman" w:cs="Times New Roman"/>
          <w:b/>
          <w:bCs/>
          <w:szCs w:val="24"/>
        </w:rPr>
        <w:t>5. Validation</w:t>
      </w:r>
    </w:p>
    <w:p w14:paraId="43C5F686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t>I evaluate the model on Dong’s (2026) multi-tiered validation ladder, which separates internal fit from increasingly demanding out-of-sample tests.</w:t>
      </w:r>
    </w:p>
    <w:p w14:paraId="1C8F5669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Level A — internal fit.</w:t>
      </w:r>
      <w:r>
        <w:rPr>
          <w:rFonts w:eastAsia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0.806</m:t>
        </m:r>
      </m:oMath>
      <w:r>
        <w:rPr>
          <w:rFonts w:eastAsia="Times New Roman" w:cs="Times New Roman"/>
        </w:rPr>
        <w:t xml:space="preserve"> and in-sample share RMSPE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0.032</m:t>
        </m:r>
      </m:oMath>
      <w:r>
        <w:rPr>
          <w:rFonts w:eastAsia="Times New Roman" w:cs="Times New Roman"/>
        </w:rPr>
        <w:t xml:space="preserve"> confirm that the inversion, nests, and fixed effects are correctly specified — coherence, not predictive validity, since the same moments both estimate and evaluate the parameters.</w:t>
      </w:r>
    </w:p>
    <w:p w14:paraId="41F2CAEB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Level B — same-setting hold-out.</w:t>
      </w:r>
      <w:r>
        <w:rPr>
          <w:rFonts w:eastAsia="Times New Roman" w:cs="Times New Roman"/>
        </w:rPr>
        <w:t xml:space="preserve"> A deterministic hash assigns 210 of 861 SKUs to hold-out; re-estimated on the remaining 80%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0.2826</m:t>
        </m:r>
      </m:oMath>
      <w:r>
        <w:rPr>
          <w:rFonts w:eastAsia="Times New Roman" w:cs="Times New Roman"/>
        </w:rP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0.8560</m:t>
        </m:r>
      </m:oMath>
      <w:r>
        <w:rPr>
          <w:rFonts w:eastAsia="Times New Roman" w:cs="Times New Roman"/>
        </w:rPr>
        <w:t xml:space="preserve">), I predict held-out shares. Against a naive market-mean benchmark, the nested model loses: RMSPE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0.0871</m:t>
        </m:r>
      </m:oMath>
      <w:r>
        <w:rPr>
          <w:rFonts w:eastAsia="Times New Roman" w:cs="Times New Roman"/>
        </w:rPr>
        <w:t xml:space="preserve"> versus </w:t>
      </w:r>
      <m:oMath>
        <m:r>
          <w:rPr>
            <w:rFonts w:ascii="Cambria Math" w:hAnsi="Cambria Math"/>
          </w:rPr>
          <m:t>0.0719</m:t>
        </m:r>
      </m:oMath>
      <w:r>
        <w:rPr>
          <w:rFonts w:eastAsia="Times New Roman" w:cs="Times New Roman"/>
        </w:rPr>
        <w:t xml:space="preserve">, correlation </w:t>
      </w:r>
      <m:oMath>
        <m:r>
          <w:rPr>
            <w:rFonts w:ascii="Cambria Math" w:hAnsi="Cambria Math"/>
          </w:rPr>
          <m:t>0.587</m:t>
        </m:r>
      </m:oMath>
      <w:r>
        <w:rPr>
          <w:rFonts w:eastAsia="Times New Roman" w:cs="Times New Roman"/>
        </w:rPr>
        <w:t xml:space="preserve"> versus </w:t>
      </w:r>
      <m:oMath>
        <m:r>
          <w:rPr>
            <w:rFonts w:ascii="Cambria Math" w:hAnsi="Cambria Math"/>
          </w:rPr>
          <m:t>0.686</m:t>
        </m:r>
      </m:oMath>
      <w:r>
        <w:rPr>
          <w:rFonts w:eastAsia="Times New Roman" w:cs="Times New Roman"/>
        </w:rPr>
        <w:t>. Plain logit does better still (</w:t>
      </w:r>
      <m:oMath>
        <m:r>
          <w:rPr>
            <w:rFonts w:ascii="Cambria Math" w:hAnsi="Cambria Math"/>
          </w:rPr>
          <m:t>0.065</m:t>
        </m:r>
      </m:oMath>
      <w:r>
        <w:rPr>
          <w:rFonts w:eastAsia="Times New Roman" w:cs="Times New Roman"/>
        </w:rPr>
        <w:t xml:space="preserve"> / </w:t>
      </w:r>
      <m:oMath>
        <m:r>
          <w:rPr>
            <w:rFonts w:ascii="Cambria Math" w:hAnsi="Cambria Math"/>
          </w:rPr>
          <m:t>0.752</m:t>
        </m:r>
      </m:oMath>
      <w:r>
        <w:rPr>
          <w:rFonts w:eastAsia="Times New Roman" w:cs="Times New Roman"/>
        </w:rPr>
        <w:t xml:space="preserve">): with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0.86</m:t>
        </m:r>
      </m:oMath>
      <w:r>
        <w:rPr>
          <w:rFonts w:eastAsia="Times New Roman" w:cs="Times New Roman"/>
        </w:rPr>
        <w:t xml:space="preserve">, unequal within-nest shares over-share the wrong product in small, partially observed markets. The nested structure that earns the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Times New Roman" w:cs="Times New Roman"/>
        </w:rPr>
        <w:t xml:space="preserve"> overfits (Exhibit E6a).</w:t>
      </w:r>
    </w:p>
    <w:p w14:paraId="1A5F6BDF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Levels C/D — promotional regime.</w:t>
      </w:r>
      <w:r>
        <w:rPr>
          <w:rFonts w:eastAsia="Times New Roman" w:cs="Times New Roman"/>
        </w:rPr>
        <w:t xml:space="preserve"> Withholding the 105 weeks averaging at least 13% discount (1,680 product-weeks) and estimating on regular weeks, hold-out RMSPE is </w:t>
      </w:r>
      <m:oMath>
        <m:r>
          <w:rPr>
            <w:rFonts w:ascii="Cambria Math" w:hAnsi="Cambria Math"/>
          </w:rPr>
          <m:t>0.0053</m:t>
        </m:r>
      </m:oMath>
      <w:r>
        <w:rPr>
          <w:rFonts w:eastAsia="Times New Roman" w:cs="Times New Roman"/>
        </w:rPr>
        <w:t xml:space="preserve"> (MAPE </w:t>
      </w:r>
      <m:oMath>
        <m:r>
          <w:rPr>
            <w:rFonts w:ascii="Cambria Math" w:hAnsi="Cambria Math"/>
          </w:rPr>
          <m:t>6.77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eastAsia="Times New Roman" w:cs="Times New Roman"/>
        </w:rPr>
        <w:t xml:space="preserve">), but correlation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0.0039</m:t>
        </m:r>
      </m:oMath>
      <w:r>
        <w:rPr>
          <w:rFonts w:eastAsia="Times New Roman" w:cs="Times New Roman"/>
        </w:rPr>
        <w:t xml:space="preserve"> against a naive benchmark of </w:t>
      </w:r>
      <m:oMath>
        <m:r>
          <w:rPr>
            <w:rFonts w:ascii="Cambria Math" w:hAnsi="Cambria Math"/>
          </w:rPr>
          <m:t>0.0051</m:t>
        </m:r>
      </m:oMath>
      <w:r>
        <w:rPr>
          <w:rFonts w:eastAsia="Times New Roman" w:cs="Times New Roman"/>
        </w:rPr>
        <w:t xml:space="preserve">: levels are captured, product-level movement is not (Exhibit E6b). The sharpest test is promotional lift — </w:t>
      </w:r>
      <w:r>
        <w:rPr>
          <w:rFonts w:eastAsia="Times New Roman" w:cs="Times New Roman"/>
        </w:rPr>
        <w:lastRenderedPageBreak/>
        <w:t xml:space="preserve">actual mean lift is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0.000032</m:t>
        </m:r>
      </m:oMath>
      <w:r>
        <w:rPr>
          <w:rFonts w:eastAsia="Times New Roman" w:cs="Times New Roman"/>
        </w:rPr>
        <w:t xml:space="preserve"> while predicted lift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rFonts w:eastAsia="Times New Roman" w:cs="Times New Roman"/>
        </w:rPr>
        <w:t xml:space="preserve"> (RMSE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0.0812</m:t>
        </m:r>
      </m:oMath>
      <w:r>
        <w:rPr>
          <w:rFonts w:eastAsia="Times New Roman" w:cs="Times New Roman"/>
        </w:rPr>
        <w:t xml:space="preserve">), four orders of magnitude too small at the mean. The cause is identifiable: the panel’s own price coefficient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0.0004</m:t>
        </m:r>
      </m:oMath>
      <w:r>
        <w:rPr>
          <w:rFonts w:eastAsia="Times New Roman" w:cs="Times New Roman"/>
        </w:rP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0.87</m:t>
        </m:r>
      </m:oMath>
      <w:r>
        <w:rPr>
          <w:rFonts w:eastAsia="Times New Roman" w:cs="Times New Roman"/>
        </w:rPr>
        <w:t xml:space="preserve">) and the raw price–units correlation is </w:t>
      </w:r>
      <m:oMath>
        <m:r>
          <w:rPr>
            <w:rFonts w:ascii="Cambria Math" w:hAnsi="Cambria Math"/>
          </w:rPr>
          <m:t>0.014</m:t>
        </m:r>
      </m:oMath>
      <w:r>
        <w:rPr>
          <w:rFonts w:eastAsia="Times New Roman" w:cs="Times New Roman"/>
        </w:rPr>
        <w:t>. The panel contains no detectable price response from which any choice model could learn (Exhibit E7).</w:t>
      </w:r>
    </w:p>
    <w:p w14:paraId="59B9FCF6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Table 3 — Validation ladder summary (Dong, 2026)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FB4839" w14:paraId="7D52185E" w14:textId="77777777" w:rsidTr="00FB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F2A56F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Tier</w:t>
            </w:r>
          </w:p>
        </w:tc>
        <w:tc>
          <w:tcPr>
            <w:tcW w:w="1584" w:type="dxa"/>
          </w:tcPr>
          <w:p w14:paraId="2657F7C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Exercise</w:t>
            </w:r>
          </w:p>
        </w:tc>
        <w:tc>
          <w:tcPr>
            <w:tcW w:w="1584" w:type="dxa"/>
          </w:tcPr>
          <w:p w14:paraId="17C9A5A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Model</w:t>
            </w:r>
          </w:p>
        </w:tc>
        <w:tc>
          <w:tcPr>
            <w:tcW w:w="1584" w:type="dxa"/>
          </w:tcPr>
          <w:p w14:paraId="2DE3A92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Benchmark</w:t>
            </w:r>
          </w:p>
        </w:tc>
        <w:tc>
          <w:tcPr>
            <w:tcW w:w="1584" w:type="dxa"/>
          </w:tcPr>
          <w:p w14:paraId="11DD996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Verdict</w:t>
            </w:r>
          </w:p>
        </w:tc>
      </w:tr>
      <w:tr w:rsidR="00FB4839" w14:paraId="1358DC24" w14:textId="77777777">
        <w:tc>
          <w:tcPr>
            <w:tcW w:w="1584" w:type="dxa"/>
          </w:tcPr>
          <w:p w14:paraId="517DD13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A — Internal fit</w:t>
            </w:r>
          </w:p>
        </w:tc>
        <w:tc>
          <w:tcPr>
            <w:tcW w:w="1584" w:type="dxa"/>
          </w:tcPr>
          <w:p w14:paraId="62CF5F8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In-sample;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861</m:t>
              </m:r>
            </m:oMath>
          </w:p>
        </w:tc>
        <w:tc>
          <w:tcPr>
            <w:tcW w:w="1584" w:type="dxa"/>
          </w:tcPr>
          <w:p w14:paraId="48909B41" w14:textId="77777777" w:rsidR="00FB4839" w:rsidRDefault="00000000">
            <w:pPr>
              <w:pStyle w:val="Compact"/>
              <w:spacing w:before="0" w:after="0" w:line="480" w:lineRule="auto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0.806</m:t>
              </m:r>
            </m:oMath>
            <w:r>
              <w:rPr>
                <w:rFonts w:eastAsia="Times New Roman" w:cs="Times New Roman"/>
                <w:szCs w:val="24"/>
              </w:rPr>
              <w:t xml:space="preserve">; RMSPE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0.032</m:t>
              </m:r>
            </m:oMath>
          </w:p>
        </w:tc>
        <w:tc>
          <w:tcPr>
            <w:tcW w:w="1584" w:type="dxa"/>
          </w:tcPr>
          <w:p w14:paraId="6EA0E4F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—</w:t>
            </w:r>
          </w:p>
        </w:tc>
        <w:tc>
          <w:tcPr>
            <w:tcW w:w="1584" w:type="dxa"/>
          </w:tcPr>
          <w:p w14:paraId="2D7C446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Coherence, not prediction</w:t>
            </w:r>
          </w:p>
        </w:tc>
      </w:tr>
      <w:tr w:rsidR="00FB4839" w14:paraId="06BF9F6D" w14:textId="77777777">
        <w:tc>
          <w:tcPr>
            <w:tcW w:w="1584" w:type="dxa"/>
          </w:tcPr>
          <w:p w14:paraId="530217C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B — Hold-out</w:t>
            </w:r>
          </w:p>
        </w:tc>
        <w:tc>
          <w:tcPr>
            <w:tcW w:w="1584" w:type="dxa"/>
          </w:tcPr>
          <w:p w14:paraId="12584C0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210 SKUs</w:t>
            </w:r>
          </w:p>
        </w:tc>
        <w:tc>
          <w:tcPr>
            <w:tcW w:w="1584" w:type="dxa"/>
          </w:tcPr>
          <w:p w14:paraId="6069444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0.0871; corr 0.587</w:t>
            </w:r>
          </w:p>
        </w:tc>
        <w:tc>
          <w:tcPr>
            <w:tcW w:w="1584" w:type="dxa"/>
          </w:tcPr>
          <w:p w14:paraId="416CC67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0.0719; 0.686</w:t>
            </w:r>
          </w:p>
        </w:tc>
        <w:tc>
          <w:tcPr>
            <w:tcW w:w="1584" w:type="dxa"/>
          </w:tcPr>
          <w:p w14:paraId="05075E7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Loses to naive; plain logit wins</w:t>
            </w:r>
          </w:p>
        </w:tc>
      </w:tr>
      <w:tr w:rsidR="00FB4839" w14:paraId="32CD736C" w14:textId="77777777">
        <w:tc>
          <w:tcPr>
            <w:tcW w:w="1584" w:type="dxa"/>
          </w:tcPr>
          <w:p w14:paraId="0053C1D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C/D — Regime</w:t>
            </w:r>
          </w:p>
        </w:tc>
        <w:tc>
          <w:tcPr>
            <w:tcW w:w="1584" w:type="dxa"/>
          </w:tcPr>
          <w:p w14:paraId="283EF84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1,680 product-weeks</w:t>
            </w:r>
          </w:p>
        </w:tc>
        <w:tc>
          <w:tcPr>
            <w:tcW w:w="1584" w:type="dxa"/>
          </w:tcPr>
          <w:p w14:paraId="12C823C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0.0053; corr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0.0039</m:t>
              </m:r>
            </m:oMath>
          </w:p>
        </w:tc>
        <w:tc>
          <w:tcPr>
            <w:tcW w:w="1584" w:type="dxa"/>
          </w:tcPr>
          <w:p w14:paraId="2311329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0.0051</w:t>
            </w:r>
          </w:p>
        </w:tc>
        <w:tc>
          <w:tcPr>
            <w:tcW w:w="1584" w:type="dxa"/>
          </w:tcPr>
          <w:p w14:paraId="65CE34D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Levels only; lift unpredicted</w:t>
            </w:r>
          </w:p>
        </w:tc>
      </w:tr>
    </w:tbl>
    <w:p w14:paraId="0ED1B7E0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</w:rPr>
        <w:t xml:space="preserve">The pattern — accurate levels, absent spikes — is what static discrete-choice theory predicts: nested logit is a </w:t>
      </w:r>
      <w:r>
        <w:rPr>
          <w:rFonts w:eastAsia="Times New Roman" w:cs="Times New Roman"/>
          <w:i/>
          <w:iCs/>
        </w:rPr>
        <w:t>stock</w:t>
      </w:r>
      <w:r>
        <w:rPr>
          <w:rFonts w:eastAsia="Times New Roman" w:cs="Times New Roman"/>
        </w:rPr>
        <w:t xml:space="preserve"> model mapping current prices and fixed taste to shares, while promotions are </w:t>
      </w:r>
      <w:r>
        <w:rPr>
          <w:rFonts w:eastAsia="Times New Roman" w:cs="Times New Roman"/>
          <w:i/>
          <w:iCs/>
        </w:rPr>
        <w:t>flow</w:t>
      </w:r>
      <w:r>
        <w:rPr>
          <w:rFonts w:eastAsia="Times New Roman" w:cs="Times New Roman"/>
        </w:rPr>
        <w:t xml:space="preserve"> phenomena driven by stockpiling, forward-buying, and anticipation, none of which enters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jt</m:t>
            </m:r>
          </m:sub>
        </m:sSub>
      </m:oMath>
      <w:r>
        <w:rPr>
          <w:rFonts w:eastAsia="Times New Roman" w:cs="Times New Roman"/>
        </w:rPr>
        <w:t>. I therefore validate the model for structural uses — ranking elasticities, mapping substitution, setting long-run list prices — and invalidate it for forecasting event-level promotional lift.</w:t>
      </w:r>
    </w:p>
    <w:p w14:paraId="1E87C459" w14:textId="77777777" w:rsidR="00FB4839" w:rsidRDefault="00000000">
      <w:pPr>
        <w:pStyle w:val="Heading2"/>
        <w:spacing w:before="0" w:after="0" w:line="480" w:lineRule="auto"/>
      </w:pPr>
      <w:bookmarkStart w:id="5" w:name="recommendation"/>
      <w:bookmarkEnd w:id="4"/>
      <w:r>
        <w:rPr>
          <w:rFonts w:ascii="Times New Roman" w:eastAsia="Times New Roman" w:hAnsi="Times New Roman" w:cs="Times New Roman"/>
          <w:b/>
          <w:bCs/>
          <w:szCs w:val="24"/>
        </w:rPr>
        <w:t>6. Recommendation</w:t>
      </w:r>
    </w:p>
    <w:p w14:paraId="5984581B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  <w:b/>
          <w:bCs/>
        </w:rPr>
        <w:t>Asymmetric format pricing.</w:t>
      </w:r>
      <w:r>
        <w:rPr>
          <w:rFonts w:eastAsia="Times New Roman" w:cs="Times New Roman"/>
        </w:rPr>
        <w:t xml:space="preserve"> Hold baseline prices on powders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3.09</m:t>
        </m:r>
      </m:oMath>
      <w:r>
        <w:rPr>
          <w:rFonts w:eastAsia="Times New Roman" w:cs="Times New Roman"/>
        </w:rPr>
        <w:t>), which are inelastic relative to bars: broad powder discounting buys little volume while conceding margin on every unit, and implied Lerner margins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|≈</m:t>
        </m:r>
        <m:r>
          <w:rPr>
            <w:rFonts w:ascii="Cambria Math" w:hAnsi="Cambria Math"/>
          </w:rPr>
          <m:t>0.36</m:t>
        </m:r>
      </m:oMath>
      <w:r>
        <w:rPr>
          <w:rFonts w:eastAsia="Times New Roman" w:cs="Times New Roman"/>
        </w:rPr>
        <w:t>) leave room to price at or above current levels. Direct discount funding to bars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5.22</m:t>
        </m:r>
      </m:oMath>
      <w:r>
        <w:rPr>
          <w:rFonts w:eastAsia="Times New Roman" w:cs="Times New Roman"/>
        </w:rPr>
        <w:t xml:space="preserve">), where a 10% cut buys roughly 50% more volume — </w:t>
      </w:r>
      <w:r>
        <w:rPr>
          <w:rFonts w:eastAsia="Times New Roman" w:cs="Times New Roman"/>
        </w:rPr>
        <w:lastRenderedPageBreak/>
        <w:t xml:space="preserve">and because inter-nest cross-elasticities are about </w:t>
      </w:r>
      <m:oMath>
        <m:r>
          <w:rPr>
            <w:rFonts w:ascii="Cambria Math" w:hAnsi="Cambria Math"/>
          </w:rPr>
          <m:t>0.0001</m:t>
        </m:r>
      </m:oMath>
      <w:r>
        <w:rPr>
          <w:rFonts w:eastAsia="Times New Roman" w:cs="Times New Roman"/>
        </w:rPr>
        <w:t xml:space="preserve">, a bar promotion will not erode powder margins. Rival bar price moves, felt at cross-elasticities up to </w:t>
      </w:r>
      <m:oMath>
        <m:r>
          <w:rPr>
            <w:rFonts w:ascii="Cambria Math" w:hAnsi="Cambria Math"/>
          </w:rPr>
          <m:t>4.3</m:t>
        </m:r>
      </m:oMath>
      <w:r>
        <w:rPr>
          <w:rFonts w:eastAsia="Times New Roman" w:cs="Times New Roman"/>
        </w:rPr>
        <w:t>, should be matched within the bar line.</w:t>
      </w:r>
    </w:p>
    <w:p w14:paraId="4534F27A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Flavour portfolio.</w:t>
      </w:r>
      <w:r>
        <w:rPr>
          <w:rFonts w:eastAsia="Times New Roman" w:cs="Times New Roman"/>
        </w:rPr>
        <w:t xml:space="preserve"> Treat Salted Caramel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4.10</m:t>
        </m:r>
      </m:oMath>
      <w:r>
        <w:rPr>
          <w:rFonts w:eastAsia="Times New Roman" w:cs="Times New Roman"/>
        </w:rPr>
        <w:t xml:space="preserve">, cross-switching </w:t>
      </w:r>
      <m:oMath>
        <m:r>
          <w:rPr>
            <w:rFonts w:ascii="Cambria Math" w:hAnsi="Cambria Math"/>
          </w:rPr>
          <m:t>0.317</m:t>
        </m:r>
      </m:oMath>
      <w:r>
        <w:rPr>
          <w:rFonts w:eastAsia="Times New Roman" w:cs="Times New Roman"/>
        </w:rPr>
        <w:t>) as a customer-acquisition loss leader: price efficiently pulls trial from competitors, but loyalty is shallow, so keep discounts shallow and short. Treat Mocha/Coffee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3.19</m:t>
        </m:r>
      </m:oMath>
      <w:r>
        <w:rPr>
          <w:rFonts w:eastAsia="Times New Roman" w:cs="Times New Roman"/>
        </w:rPr>
        <w:t xml:space="preserve">, lowest cross-substitution at </w:t>
      </w:r>
      <m:oMath>
        <m:r>
          <w:rPr>
            <w:rFonts w:ascii="Cambria Math" w:hAnsi="Cambria Math"/>
          </w:rPr>
          <m:t>0.099</m:t>
        </m:r>
      </m:oMath>
      <w:r>
        <w:rPr>
          <w:rFonts w:eastAsia="Times New Roman" w:cs="Times New Roman"/>
        </w:rPr>
        <w:t>) as the margin-harvesting set that supports list-price increases and premium price-pack architecture. Birthday Cake powder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2.50</m:t>
        </m:r>
      </m:oMath>
      <w:r>
        <w:rPr>
          <w:rFonts w:eastAsia="Times New Roman" w:cs="Times New Roman"/>
        </w:rPr>
        <w:t>, the least elastic focal cell) completes the ladder as a premium-margin contributor rather than a promotional vehicle.</w:t>
      </w:r>
    </w:p>
    <w:p w14:paraId="1B471707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Promotional calendar.</w:t>
      </w:r>
      <w:r>
        <w:rPr>
          <w:rFonts w:eastAsia="Times New Roman" w:cs="Times New Roman"/>
        </w:rPr>
        <w:t xml:space="preserve"> Plan calendars on the model’s validated structural claims, not its invalidated forecasts: price cuts induce temporary switching </w:t>
      </w:r>
      <w:r>
        <w:rPr>
          <w:rFonts w:eastAsia="Times New Roman" w:cs="Times New Roman"/>
          <w:i/>
          <w:iCs/>
        </w:rPr>
        <w:t>within</w:t>
      </w:r>
      <w:r>
        <w:rPr>
          <w:rFonts w:eastAsia="Times New Roman" w:cs="Times New Roman"/>
        </w:rPr>
        <w:t xml:space="preserve"> nests — concentrated in bars — and do not expand cross-category consumption. So (i) never discount competing same-nest brands in the same week, which would split a fixed demand pool at double margin cost; (ii) use format-exclusive deal periods so each promotion adds incremental nest volume; and (iii) measure lift with experimental price variation — A/B tests or hold-out stores — because a panel whose price coefficient is statistically zero cannot support model-based lift forecasting.</w:t>
      </w:r>
    </w:p>
    <w:p w14:paraId="114B1FD1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Boundary conditions.</w:t>
      </w:r>
      <w:r>
        <w:rPr>
          <w:rFonts w:eastAsia="Times New Roman" w:cs="Times New Roman"/>
        </w:rPr>
        <w:t xml:space="preserve"> I treat all magnitudes as directional upper bounds: the price coefficient is identified without cost instruments, shares proxy reviews rather than units, and both hold-out exercises temper point predictions. Within those bounds — ranking SKUs, structuring price relationships, and allocating promotion depth by format — the estimates give a defensible quantitative foundation for the pricing decisions framed in Section 1.</w:t>
      </w:r>
    </w:p>
    <w:p w14:paraId="0A105837" w14:textId="77777777" w:rsidR="00FB4839" w:rsidRDefault="00000000">
      <w:pPr>
        <w:pStyle w:val="Heading2"/>
        <w:spacing w:before="0" w:after="0" w:line="480" w:lineRule="auto"/>
      </w:pPr>
      <w:bookmarkStart w:id="6" w:name="references"/>
      <w:bookmarkEnd w:id="5"/>
      <w:r>
        <w:rPr>
          <w:rFonts w:ascii="Times New Roman" w:eastAsia="Times New Roman" w:hAnsi="Times New Roman" w:cs="Times New Roman"/>
          <w:b/>
          <w:bCs/>
          <w:szCs w:val="24"/>
        </w:rPr>
        <w:lastRenderedPageBreak/>
        <w:t>References</w:t>
      </w:r>
    </w:p>
    <w:p w14:paraId="3014EDCE" w14:textId="77777777" w:rsidR="00FB4839" w:rsidRDefault="00000000">
      <w:pPr>
        <w:pStyle w:val="Compact"/>
        <w:numPr>
          <w:ilvl w:val="0"/>
          <w:numId w:val="2"/>
        </w:numPr>
        <w:spacing w:before="0" w:after="0" w:line="480" w:lineRule="auto"/>
      </w:pPr>
      <w:r>
        <w:rPr>
          <w:rFonts w:eastAsia="Times New Roman" w:cs="Times New Roman"/>
        </w:rPr>
        <w:t xml:space="preserve">Berry, S. (1994). Estimating Discrete-Choice Models of Product Differentiation. </w:t>
      </w:r>
      <w:r>
        <w:rPr>
          <w:rFonts w:eastAsia="Times New Roman" w:cs="Times New Roman"/>
          <w:i/>
          <w:iCs/>
        </w:rPr>
        <w:t>RAND Journal of Economics</w:t>
      </w:r>
      <w:r>
        <w:rPr>
          <w:rFonts w:eastAsia="Times New Roman" w:cs="Times New Roman"/>
        </w:rPr>
        <w:t>, 25(2), 242–262.</w:t>
      </w:r>
    </w:p>
    <w:p w14:paraId="2DF3B7AD" w14:textId="77777777" w:rsidR="00FB4839" w:rsidRDefault="00000000">
      <w:pPr>
        <w:pStyle w:val="Compact"/>
        <w:numPr>
          <w:ilvl w:val="0"/>
          <w:numId w:val="2"/>
        </w:numPr>
        <w:spacing w:before="0" w:after="0" w:line="480" w:lineRule="auto"/>
      </w:pPr>
      <w:r>
        <w:rPr>
          <w:rFonts w:eastAsia="Times New Roman" w:cs="Times New Roman"/>
        </w:rPr>
        <w:t xml:space="preserve">Berry, S., Levinsohn, J., &amp; Pakes, A. (1995). Automobile Prices in Market Equilibrium. </w:t>
      </w:r>
      <w:r>
        <w:rPr>
          <w:rFonts w:eastAsia="Times New Roman" w:cs="Times New Roman"/>
          <w:i/>
          <w:iCs/>
        </w:rPr>
        <w:t>Econometrica</w:t>
      </w:r>
      <w:r>
        <w:rPr>
          <w:rFonts w:eastAsia="Times New Roman" w:cs="Times New Roman"/>
        </w:rPr>
        <w:t>, 63(4), 841–890.</w:t>
      </w:r>
    </w:p>
    <w:p w14:paraId="79DA3864" w14:textId="77777777" w:rsidR="00FB4839" w:rsidRDefault="00000000">
      <w:pPr>
        <w:pStyle w:val="Compact"/>
        <w:numPr>
          <w:ilvl w:val="0"/>
          <w:numId w:val="2"/>
        </w:numPr>
        <w:spacing w:before="0" w:after="0" w:line="480" w:lineRule="auto"/>
      </w:pPr>
      <w:r>
        <w:rPr>
          <w:rFonts w:eastAsia="Times New Roman" w:cs="Times New Roman"/>
        </w:rPr>
        <w:t xml:space="preserve">Dong, T. (2026). </w:t>
      </w:r>
      <w:r>
        <w:rPr>
          <w:rFonts w:eastAsia="Times New Roman" w:cs="Times New Roman"/>
          <w:i/>
          <w:iCs/>
        </w:rPr>
        <w:t>Supply and Demand Functions: A Survey by Data Availability</w:t>
      </w:r>
      <w:r>
        <w:rPr>
          <w:rFonts w:eastAsia="Times New Roman" w:cs="Times New Roman"/>
        </w:rPr>
        <w:t>. University at Albany. SSRN Working Paper 7399858. https://papers.ssrn.com/sol3/papers.cfm?abstract_id=7399858</w:t>
      </w:r>
    </w:p>
    <w:p w14:paraId="43B25EA5" w14:textId="77777777" w:rsidR="00FB4839" w:rsidRDefault="00000000">
      <w:pPr>
        <w:pStyle w:val="Compact"/>
        <w:numPr>
          <w:ilvl w:val="0"/>
          <w:numId w:val="2"/>
        </w:numPr>
        <w:spacing w:before="0" w:after="0" w:line="480" w:lineRule="auto"/>
      </w:pPr>
      <w:r>
        <w:rPr>
          <w:rFonts w:eastAsia="Times New Roman" w:cs="Times New Roman"/>
        </w:rPr>
        <w:t xml:space="preserve">McFadden, D. (1974). Conditional Logit Analysis of Qualitative Choice Behavior. In P. Zarembka (Ed.), </w:t>
      </w:r>
      <w:r>
        <w:rPr>
          <w:rFonts w:eastAsia="Times New Roman" w:cs="Times New Roman"/>
          <w:i/>
          <w:iCs/>
        </w:rPr>
        <w:t>Frontiers in Econometrics</w:t>
      </w:r>
      <w:r>
        <w:rPr>
          <w:rFonts w:eastAsia="Times New Roman" w:cs="Times New Roman"/>
        </w:rPr>
        <w:t xml:space="preserve"> (pp. 105–142). Academic Press.</w:t>
      </w:r>
    </w:p>
    <w:p w14:paraId="2CE5C59F" w14:textId="77777777" w:rsidR="00FB4839" w:rsidRDefault="00000000">
      <w:pPr>
        <w:pStyle w:val="Compact"/>
        <w:numPr>
          <w:ilvl w:val="0"/>
          <w:numId w:val="2"/>
        </w:numPr>
        <w:spacing w:before="0" w:after="0" w:line="480" w:lineRule="auto"/>
      </w:pPr>
      <w:r>
        <w:rPr>
          <w:rFonts w:eastAsia="Times New Roman" w:cs="Times New Roman"/>
        </w:rPr>
        <w:t xml:space="preserve">Train, K. (2009). </w:t>
      </w:r>
      <w:r>
        <w:rPr>
          <w:rFonts w:eastAsia="Times New Roman" w:cs="Times New Roman"/>
          <w:i/>
          <w:iCs/>
        </w:rPr>
        <w:t>Discrete Choice Methods with Simulation</w:t>
      </w:r>
      <w:r>
        <w:rPr>
          <w:rFonts w:eastAsia="Times New Roman" w:cs="Times New Roman"/>
        </w:rPr>
        <w:t xml:space="preserve"> (2nd ed.). Cambridge University Press.</w:t>
      </w:r>
    </w:p>
    <w:p w14:paraId="05DB2AE6" w14:textId="77777777" w:rsidR="00FB4839" w:rsidRDefault="00000000">
      <w:pPr>
        <w:pStyle w:val="Compact"/>
        <w:numPr>
          <w:ilvl w:val="0"/>
          <w:numId w:val="2"/>
        </w:numPr>
        <w:spacing w:before="0" w:after="0" w:line="480" w:lineRule="auto"/>
      </w:pPr>
      <w:r>
        <w:rPr>
          <w:rFonts w:eastAsia="Times New Roman" w:cs="Times New Roman"/>
        </w:rPr>
        <w:t xml:space="preserve">Kaggle dataset: </w:t>
      </w:r>
      <w:r>
        <w:rPr>
          <w:rFonts w:eastAsia="Times New Roman" w:cs="Times New Roman"/>
          <w:i/>
          <w:iCs/>
        </w:rPr>
        <w:t>Sports nutrition supplements</w:t>
      </w:r>
      <w:r>
        <w:rPr>
          <w:rFonts w:eastAsia="Times New Roman" w:cs="Times New Roman"/>
        </w:rPr>
        <w:t xml:space="preserve"> (daniyaljavaid). https://www.kaggle.com/datasets/daniyaljavaid/sports-nutrition-supplements (licence not stated by publisher).</w:t>
      </w:r>
    </w:p>
    <w:p w14:paraId="44096DA1" w14:textId="77777777" w:rsidR="00FB4839" w:rsidRDefault="00000000">
      <w:pPr>
        <w:pStyle w:val="Compact"/>
        <w:numPr>
          <w:ilvl w:val="0"/>
          <w:numId w:val="2"/>
        </w:numPr>
        <w:spacing w:before="0" w:after="0" w:line="480" w:lineRule="auto"/>
      </w:pPr>
      <w:r>
        <w:rPr>
          <w:rFonts w:eastAsia="Times New Roman" w:cs="Times New Roman"/>
        </w:rPr>
        <w:t xml:space="preserve">Kaggle dataset: </w:t>
      </w:r>
      <w:r>
        <w:rPr>
          <w:rFonts w:eastAsia="Times New Roman" w:cs="Times New Roman"/>
          <w:i/>
          <w:iCs/>
        </w:rPr>
        <w:t>Supplement Sales Data</w:t>
      </w:r>
      <w:r>
        <w:rPr>
          <w:rFonts w:eastAsia="Times New Roman" w:cs="Times New Roman"/>
        </w:rPr>
        <w:t xml:space="preserve"> (zahidmughal2343). https://www.kaggle.com/datasets/zahidmughal2343/supplement-sales-data (Apache 2.0).</w:t>
      </w:r>
    </w:p>
    <w:p w14:paraId="38BF9C8B" w14:textId="77777777" w:rsidR="00FB4839" w:rsidRDefault="00000000">
      <w:pPr>
        <w:pStyle w:val="Heading2"/>
        <w:spacing w:before="0" w:after="0" w:line="480" w:lineRule="auto"/>
      </w:pPr>
      <w:bookmarkStart w:id="7" w:name="exhibits-appendix"/>
      <w:bookmarkEnd w:id="6"/>
      <w:r>
        <w:rPr>
          <w:rFonts w:ascii="Times New Roman" w:eastAsia="Times New Roman" w:hAnsi="Times New Roman" w:cs="Times New Roman"/>
          <w:b/>
          <w:bCs/>
          <w:szCs w:val="24"/>
        </w:rPr>
        <w:t>Exhibits &amp; Appendix</w:t>
      </w:r>
    </w:p>
    <w:p w14:paraId="29E55F48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t>All figures and supplementary matrices referenced in Sections 1–6 are collected here (excluded from the page count).</w:t>
      </w:r>
    </w:p>
    <w:p w14:paraId="5F851E60" w14:textId="77777777" w:rsidR="00FB4839" w:rsidRDefault="00000000">
      <w:pPr>
        <w:pStyle w:val="Heading3"/>
        <w:spacing w:before="0" w:after="0" w:line="480" w:lineRule="auto"/>
      </w:pPr>
      <w:bookmarkStart w:id="8" w:name="figures"/>
      <w:r>
        <w:rPr>
          <w:rFonts w:eastAsia="Times New Roman" w:cs="Times New Roman"/>
          <w:b/>
          <w:bCs/>
          <w:szCs w:val="24"/>
        </w:rPr>
        <w:lastRenderedPageBreak/>
        <w:t>Figures</w:t>
      </w:r>
    </w:p>
    <w:p w14:paraId="10EB452F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drawing>
          <wp:inline distT="0" distB="0" distL="0" distR="0" wp14:anchorId="5C2D3485" wp14:editId="4D44C39C">
            <wp:extent cx="3200400" cy="1792060"/>
            <wp:effectExtent l="0" t="0" r="0" b="0"/>
            <wp:docPr id="17" name="Picture" descr="Review mass distribution across flavour profiles and ne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output/figures/fig1_market_shar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9DCAA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Review mass distribution across flavour profiles and nests</w:t>
      </w:r>
    </w:p>
    <w:p w14:paraId="57232F43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>Exhibit E1: Review mass distribution across flavour profiles and product nests. Volume concentrates in Chocolate/Vanilla; Mocha, Birthday Cake, and Salted Caramel form the long tail.</w:t>
      </w:r>
    </w:p>
    <w:p w14:paraId="7BD8FE72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drawing>
          <wp:inline distT="0" distB="0" distL="0" distR="0" wp14:anchorId="621103B9" wp14:editId="41C8B80F">
            <wp:extent cx="3200400" cy="1792060"/>
            <wp:effectExtent l="0" t="0" r="0" b="0"/>
            <wp:docPr id="20" name="Picture" descr="Price per serving against log market share by n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output/figures/fig2_price_sha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A644D6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Price per serving against log market share by nest</w:t>
      </w:r>
    </w:p>
    <w:p w14:paraId="5BABB575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>Exhibit E2: Price per serving against log market share by nest, showing the distinct price clusters of bars (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2.58</m:t>
        </m:r>
      </m:oMath>
      <w:r>
        <w:rPr>
          <w:rFonts w:eastAsia="Times New Roman" w:cs="Times New Roman"/>
          <w:i/>
          <w:iCs/>
        </w:rPr>
        <w:t xml:space="preserve"> mean) versus powders (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1.45</m:t>
        </m:r>
      </m:oMath>
      <w:r>
        <w:rPr>
          <w:rFonts w:eastAsia="Times New Roman" w:cs="Times New Roman"/>
          <w:i/>
          <w:iCs/>
        </w:rPr>
        <w:t xml:space="preserve"> mean).</w:t>
      </w:r>
    </w:p>
    <w:p w14:paraId="655D4309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4C49E7D9" wp14:editId="4A5045D9">
            <wp:extent cx="2933700" cy="2346506"/>
            <wp:effectExtent l="0" t="0" r="0" b="0"/>
            <wp:docPr id="23" name="Picture" descr="Elasticity heatmap — Mocha/Coff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output/figures/fig3_elasticity_heatmap_Mocha_Coffe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4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1A1F0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Elasticity heatmap — Mocha/Coffee</w:t>
      </w:r>
    </w:p>
    <w:p w14:paraId="7C0E3CB7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>Exhibit E3a: Own- and cross-price elasticity matrix — Mocha/Coffee (26 products). Deep-blue diagonal = own-elasticity; red blocks = intra-nest substitution.</w:t>
      </w:r>
    </w:p>
    <w:p w14:paraId="493C3217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drawing>
          <wp:inline distT="0" distB="0" distL="0" distR="0" wp14:anchorId="049483C1" wp14:editId="508F487F">
            <wp:extent cx="2933700" cy="2346506"/>
            <wp:effectExtent l="0" t="0" r="0" b="0"/>
            <wp:docPr id="26" name="Picture" descr="Birthday Cake elasticity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output/figures/fig3_elasticity_heatmap_Birthday_Cak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4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5A6EB4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Birthday Cake elasticity heatmap</w:t>
      </w:r>
    </w:p>
    <w:p w14:paraId="1955BAC5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>Exhibit E3b: Elasticity matrix — Birthday Cake (17 products).</w:t>
      </w:r>
    </w:p>
    <w:p w14:paraId="08EAE712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23DD119F" wp14:editId="72F9C04C">
            <wp:extent cx="2933700" cy="2346506"/>
            <wp:effectExtent l="0" t="0" r="0" b="0"/>
            <wp:docPr id="29" name="Picture" descr="Salted Caramel elasticity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output/figures/fig3_elasticity_heatmap_Salted_Carame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4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AF464D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Salted Caramel elasticity heatmap</w:t>
      </w:r>
    </w:p>
    <w:p w14:paraId="7D28CA9D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>Exhibit E3c: Elasticity matrix — Salted Caramel (23 products). The bar block is uniformly deeper red, reflecting the higher switching rates of Exhibit ET2.</w:t>
      </w:r>
    </w:p>
    <w:p w14:paraId="20F1F6A7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drawing>
          <wp:inline distT="0" distB="0" distL="0" distR="0" wp14:anchorId="72532502" wp14:editId="7ABFB23D">
            <wp:extent cx="3200400" cy="1919967"/>
            <wp:effectExtent l="0" t="0" r="0" b="0"/>
            <wp:docPr id="32" name="Picture" descr="Counterfactual price swee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output/figures/fig4_price_swee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19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9023AE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Counterfactual price sweep</w:t>
      </w:r>
    </w:p>
    <w:p w14:paraId="1DB5C133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 xml:space="preserve">Exhibit E4: Counterfactual price simulation — share diversion from Optimum Nutrition Mocha Cappuccino across a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eastAsia="Times New Roman" w:cs="Times New Roman"/>
          <w:i/>
          <w:iCs/>
        </w:rPr>
        <w:t xml:space="preserve"> price sweep, all other prices fixed.</w:t>
      </w:r>
    </w:p>
    <w:p w14:paraId="60C18616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2725B962" wp14:editId="6D45BBBE">
            <wp:extent cx="3200400" cy="2133096"/>
            <wp:effectExtent l="0" t="0" r="0" b="0"/>
            <wp:docPr id="35" name="Picture" descr="Actual versus fitted market sha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output/figures/fig5_fi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1DB8C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Actual versus fitted market shares</w:t>
      </w:r>
    </w:p>
    <w:p w14:paraId="289076BB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 xml:space="preserve">Exhibit E5: Actual versus fitted market shares (in-sample,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861</m:t>
        </m:r>
      </m:oMath>
      <w:r>
        <w:rPr>
          <w:rFonts w:eastAsia="Times New Roman" w:cs="Times New Roman"/>
          <w:i/>
          <w:iCs/>
        </w:rPr>
        <w:t xml:space="preserve">, normalised within flavour market; RMSPE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0.032</m:t>
        </m:r>
      </m:oMath>
      <w:r>
        <w:rPr>
          <w:rFonts w:eastAsia="Times New Roman" w:cs="Times New Roman"/>
          <w:i/>
          <w:iCs/>
        </w:rPr>
        <w:t>).</w:t>
      </w:r>
    </w:p>
    <w:p w14:paraId="4927BAED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drawing>
          <wp:inline distT="0" distB="0" distL="0" distR="0" wp14:anchorId="27404B61" wp14:editId="68989C88">
            <wp:extent cx="3200400" cy="2133096"/>
            <wp:effectExtent l="0" t="0" r="0" b="0"/>
            <wp:docPr id="38" name="Picture" descr="Level B hold-out: 210 held-out SKU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output/figures/fig6a_holdout_sku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AEB85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Level B hold-out: 210 held-out SKUs</w:t>
      </w:r>
    </w:p>
    <w:p w14:paraId="336A037E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 xml:space="preserve">Exhibit E6a: Level B — actual versus predicted shares for 210 held-out catalogue SKUs (RMSPE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0.0871</m:t>
        </m:r>
      </m:oMath>
      <w:r>
        <w:rPr>
          <w:rFonts w:eastAsia="Times New Roman" w:cs="Times New Roman"/>
          <w:i/>
          <w:iCs/>
        </w:rPr>
        <w:t xml:space="preserve">, correlation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0.587</m:t>
        </m:r>
      </m:oMath>
      <w:r>
        <w:rPr>
          <w:rFonts w:eastAsia="Times New Roman" w:cs="Times New Roman"/>
          <w:i/>
          <w:iCs/>
        </w:rPr>
        <w:t xml:space="preserve">; naive benchmark </w:t>
      </w:r>
      <m:oMath>
        <m:r>
          <w:rPr>
            <w:rFonts w:ascii="Cambria Math" w:hAnsi="Cambria Math"/>
          </w:rPr>
          <m:t>0.0719</m:t>
        </m:r>
      </m:oMath>
      <w:r>
        <w:rPr>
          <w:rFonts w:eastAsia="Times New Roman" w:cs="Times New Roman"/>
          <w:i/>
          <w:iCs/>
        </w:rPr>
        <w:t xml:space="preserve"> / </w:t>
      </w:r>
      <m:oMath>
        <m:r>
          <w:rPr>
            <w:rFonts w:ascii="Cambria Math" w:hAnsi="Cambria Math"/>
          </w:rPr>
          <m:t>0.686</m:t>
        </m:r>
      </m:oMath>
      <w:r>
        <w:rPr>
          <w:rFonts w:eastAsia="Times New Roman" w:cs="Times New Roman"/>
          <w:i/>
          <w:iCs/>
        </w:rPr>
        <w:t>).</w:t>
      </w:r>
    </w:p>
    <w:p w14:paraId="0514B8C4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41B9F482" wp14:editId="15E5F6AC">
            <wp:extent cx="3200400" cy="2133096"/>
            <wp:effectExtent l="0" t="0" r="0" b="0"/>
            <wp:docPr id="41" name="Picture" descr="Level C/D hold-out: promotional week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output/figures/fig6b_holdout_promotion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0EF54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Level C/D hold-out: promotional weeks</w:t>
      </w:r>
    </w:p>
    <w:p w14:paraId="49EA1EDD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 xml:space="preserve">Exhibit E6b: Level C/D — actual versus predicted shares across 1,680 held-out promotional product-weeks (RMSPE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0.0053</m:t>
        </m:r>
      </m:oMath>
      <w:r>
        <w:rPr>
          <w:rFonts w:eastAsia="Times New Roman" w:cs="Times New Roman"/>
          <w:i/>
          <w:iCs/>
        </w:rPr>
        <w:t xml:space="preserve">, MAPE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6.77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eastAsia="Times New Roman" w:cs="Times New Roman"/>
          <w:i/>
          <w:iCs/>
        </w:rPr>
        <w:t xml:space="preserve">, correlation </w:t>
      </w:r>
      <m:oMath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0.0039</m:t>
        </m:r>
      </m:oMath>
      <w:r>
        <w:rPr>
          <w:rFonts w:eastAsia="Times New Roman" w:cs="Times New Roman"/>
          <w:i/>
          <w:iCs/>
        </w:rPr>
        <w:t>).</w:t>
      </w:r>
    </w:p>
    <w:p w14:paraId="35AEEAB7" w14:textId="77777777" w:rsidR="00FB4839" w:rsidRDefault="00000000">
      <w:pPr>
        <w:pStyle w:val="CaptionedFigure"/>
        <w:spacing w:after="0" w:line="480" w:lineRule="auto"/>
      </w:pPr>
      <w:r>
        <w:rPr>
          <w:rFonts w:eastAsia="Times New Roman" w:cs="Times New Roman"/>
          <w:noProof/>
        </w:rPr>
        <w:drawing>
          <wp:inline distT="0" distB="0" distL="0" distR="0" wp14:anchorId="3234D6FD" wp14:editId="30286BB9">
            <wp:extent cx="3200400" cy="2133096"/>
            <wp:effectExtent l="0" t="0" r="0" b="0"/>
            <wp:docPr id="44" name="Picture" descr="Promotional lift: actual versus predic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output/figures/fig7_promo_lif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F2D93" w14:textId="77777777" w:rsidR="00FB4839" w:rsidRDefault="00000000">
      <w:pPr>
        <w:pStyle w:val="ImageCaption"/>
        <w:spacing w:after="0" w:line="480" w:lineRule="auto"/>
      </w:pPr>
      <w:r>
        <w:rPr>
          <w:rFonts w:eastAsia="Times New Roman" w:cs="Times New Roman"/>
        </w:rPr>
        <w:t>Promotional lift: actual versus predicted</w:t>
      </w:r>
    </w:p>
    <w:p w14:paraId="4E3411A1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 xml:space="preserve">Exhibit E7: Actual versus model-predicted promotional share lift (actual mean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0.000032</m:t>
        </m:r>
      </m:oMath>
      <w:r>
        <w:rPr>
          <w:rFonts w:eastAsia="Times New Roman" w:cs="Times New Roman"/>
          <w:i/>
          <w:iCs/>
        </w:rPr>
        <w:t xml:space="preserve">, predicted mean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0.000000005</m:t>
        </m:r>
      </m:oMath>
      <w:r>
        <w:rPr>
          <w:rFonts w:eastAsia="Times New Roman" w:cs="Times New Roman"/>
          <w:i/>
          <w:iCs/>
        </w:rPr>
        <w:t xml:space="preserve">, RMSE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0.0812</m:t>
        </m:r>
      </m:oMath>
      <w:r>
        <w:rPr>
          <w:rFonts w:eastAsia="Times New Roman" w:cs="Times New Roman"/>
          <w:i/>
          <w:iCs/>
        </w:rPr>
        <w:t>).</w:t>
      </w:r>
    </w:p>
    <w:p w14:paraId="3E95344A" w14:textId="77777777" w:rsidR="00FB4839" w:rsidRDefault="00000000">
      <w:pPr>
        <w:pStyle w:val="Heading3"/>
        <w:spacing w:before="0" w:after="0" w:line="480" w:lineRule="auto"/>
      </w:pPr>
      <w:bookmarkStart w:id="9" w:name="supplementary-tables"/>
      <w:bookmarkEnd w:id="8"/>
      <w:r>
        <w:rPr>
          <w:rFonts w:eastAsia="Times New Roman" w:cs="Times New Roman"/>
          <w:b/>
          <w:bCs/>
          <w:szCs w:val="24"/>
        </w:rPr>
        <w:t>Supplementary tables</w:t>
      </w:r>
    </w:p>
    <w:p w14:paraId="7D03DCD0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  <w:b/>
          <w:bCs/>
        </w:rPr>
        <w:t>Exhibit ET1 — The two datasets mapped to Level-2 fields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B4839" w14:paraId="52864495" w14:textId="77777777" w:rsidTr="00FB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3B00E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Feature</w:t>
            </w:r>
          </w:p>
        </w:tc>
        <w:tc>
          <w:tcPr>
            <w:tcW w:w="2640" w:type="dxa"/>
          </w:tcPr>
          <w:p w14:paraId="2A9ED35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Catalogue (estimation)</w:t>
            </w:r>
          </w:p>
        </w:tc>
        <w:tc>
          <w:tcPr>
            <w:tcW w:w="2640" w:type="dxa"/>
          </w:tcPr>
          <w:p w14:paraId="2A1DC11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Panel (validation)</w:t>
            </w:r>
          </w:p>
        </w:tc>
      </w:tr>
      <w:tr w:rsidR="00FB4839" w14:paraId="6B7196EF" w14:textId="77777777">
        <w:tc>
          <w:tcPr>
            <w:tcW w:w="2640" w:type="dxa"/>
          </w:tcPr>
          <w:p w14:paraId="0401FA2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Source</w:t>
            </w:r>
          </w:p>
        </w:tc>
        <w:tc>
          <w:tcPr>
            <w:tcW w:w="2640" w:type="dxa"/>
          </w:tcPr>
          <w:p w14:paraId="5AE72EF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Kaggle: </w:t>
            </w:r>
            <w:r>
              <w:rPr>
                <w:rFonts w:eastAsia="Times New Roman" w:cs="Times New Roman"/>
                <w:i/>
                <w:iCs/>
                <w:szCs w:val="24"/>
              </w:rPr>
              <w:t xml:space="preserve">Sports nutrition </w:t>
            </w:r>
            <w:r>
              <w:rPr>
                <w:rFonts w:eastAsia="Times New Roman" w:cs="Times New Roman"/>
                <w:i/>
                <w:iCs/>
                <w:szCs w:val="24"/>
              </w:rPr>
              <w:lastRenderedPageBreak/>
              <w:t>supplements</w:t>
            </w:r>
            <w:r>
              <w:rPr>
                <w:rFonts w:eastAsia="Times New Roman" w:cs="Times New Roman"/>
                <w:szCs w:val="24"/>
              </w:rPr>
              <w:t xml:space="preserve"> (bodybuilding.com listings; licence not stated)</w:t>
            </w:r>
          </w:p>
        </w:tc>
        <w:tc>
          <w:tcPr>
            <w:tcW w:w="2640" w:type="dxa"/>
          </w:tcPr>
          <w:p w14:paraId="7202AB4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lastRenderedPageBreak/>
              <w:t xml:space="preserve">Kaggle: </w:t>
            </w:r>
            <w:r>
              <w:rPr>
                <w:rFonts w:eastAsia="Times New Roman" w:cs="Times New Roman"/>
                <w:i/>
                <w:iCs/>
                <w:szCs w:val="24"/>
              </w:rPr>
              <w:t xml:space="preserve">Supplement Sales </w:t>
            </w:r>
            <w:r>
              <w:rPr>
                <w:rFonts w:eastAsia="Times New Roman" w:cs="Times New Roman"/>
                <w:i/>
                <w:iCs/>
                <w:szCs w:val="24"/>
              </w:rPr>
              <w:lastRenderedPageBreak/>
              <w:t>Data</w:t>
            </w:r>
            <w:r>
              <w:rPr>
                <w:rFonts w:eastAsia="Times New Roman" w:cs="Times New Roman"/>
                <w:szCs w:val="24"/>
              </w:rPr>
              <w:t xml:space="preserve"> (Apache 2.0)</w:t>
            </w:r>
          </w:p>
        </w:tc>
      </w:tr>
      <w:tr w:rsidR="00FB4839" w14:paraId="1D3006E1" w14:textId="77777777">
        <w:tc>
          <w:tcPr>
            <w:tcW w:w="2640" w:type="dxa"/>
          </w:tcPr>
          <w:p w14:paraId="7FB84E6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lastRenderedPageBreak/>
              <w:t>Units</w:t>
            </w:r>
          </w:p>
        </w:tc>
        <w:tc>
          <w:tcPr>
            <w:tcW w:w="2640" w:type="dxa"/>
          </w:tcPr>
          <w:p w14:paraId="5CA5925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2,719 SKUs, one cross-section</w:t>
            </w:r>
          </w:p>
        </w:tc>
        <w:tc>
          <w:tcPr>
            <w:tcW w:w="2640" w:type="dxa"/>
          </w:tcPr>
          <w:p w14:paraId="56EB553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4,384 product-weeks (16 products × 274 weeks)</w:t>
            </w:r>
          </w:p>
        </w:tc>
      </w:tr>
      <w:tr w:rsidR="00FB4839" w14:paraId="41EF6DA8" w14:textId="77777777">
        <w:tc>
          <w:tcPr>
            <w:tcW w:w="2640" w:type="dxa"/>
          </w:tcPr>
          <w:p w14:paraId="5684A38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Shares</w:t>
            </w:r>
          </w:p>
        </w:tc>
        <w:tc>
          <w:tcPr>
            <w:tcW w:w="2640" w:type="dxa"/>
          </w:tcPr>
          <w:p w14:paraId="398352C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Review-mass proxy;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0.884</m:t>
              </m:r>
            </m:oMath>
            <w:r>
              <w:rPr>
                <w:rFonts w:eastAsia="Times New Roman" w:cs="Times New Roman"/>
                <w:szCs w:val="24"/>
              </w:rPr>
              <w:t>–</w:t>
            </w:r>
            <m:oMath>
              <m:r>
                <w:rPr>
                  <w:rFonts w:ascii="Cambria Math" w:hAnsi="Cambria Math"/>
                </w:rPr>
                <m:t>0.997</m:t>
              </m:r>
            </m:oMath>
          </w:p>
        </w:tc>
        <w:tc>
          <w:tcPr>
            <w:tcW w:w="2640" w:type="dxa"/>
          </w:tcPr>
          <w:p w14:paraId="7E0C88F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Weekly units → share (outside share fixed at 0.5)</w:t>
            </w:r>
          </w:p>
        </w:tc>
      </w:tr>
      <w:tr w:rsidR="00FB4839" w14:paraId="3F0BEF62" w14:textId="77777777">
        <w:tc>
          <w:tcPr>
            <w:tcW w:w="2640" w:type="dxa"/>
          </w:tcPr>
          <w:p w14:paraId="194E9E8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Prices</w:t>
            </w:r>
          </w:p>
        </w:tc>
        <w:tc>
          <w:tcPr>
            <w:tcW w:w="2640" w:type="dxa"/>
          </w:tcPr>
          <w:p w14:paraId="7824420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Price and price per serving</w:t>
            </w:r>
          </w:p>
        </w:tc>
        <w:tc>
          <w:tcPr>
            <w:tcW w:w="2640" w:type="dxa"/>
          </w:tcPr>
          <w:p w14:paraId="220543E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Weekly retail price and % discount</w:t>
            </w:r>
          </w:p>
        </w:tc>
      </w:tr>
      <w:tr w:rsidR="00FB4839" w14:paraId="16BFCA74" w14:textId="77777777">
        <w:tc>
          <w:tcPr>
            <w:tcW w:w="2640" w:type="dxa"/>
          </w:tcPr>
          <w:p w14:paraId="47EB47F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Characteristics</w:t>
            </w:r>
          </w:p>
        </w:tc>
        <w:tc>
          <w:tcPr>
            <w:tcW w:w="2640" w:type="dxa"/>
          </w:tcPr>
          <w:p w14:paraId="2835700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Format, flavour, servings, ratings</w:t>
            </w:r>
          </w:p>
        </w:tc>
        <w:tc>
          <w:tcPr>
            <w:tcW w:w="2640" w:type="dxa"/>
          </w:tcPr>
          <w:p w14:paraId="2517A27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Product name, category, platform, location</w:t>
            </w:r>
          </w:p>
        </w:tc>
      </w:tr>
      <w:tr w:rsidR="00FB4839" w14:paraId="278E39AC" w14:textId="77777777">
        <w:tc>
          <w:tcPr>
            <w:tcW w:w="2640" w:type="dxa"/>
          </w:tcPr>
          <w:p w14:paraId="56C6923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Ownership</w:t>
            </w:r>
          </w:p>
        </w:tc>
        <w:tc>
          <w:tcPr>
            <w:tcW w:w="2640" w:type="dxa"/>
          </w:tcPr>
          <w:p w14:paraId="1AE42C2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Brand (108 source brands; 61 in sample)</w:t>
            </w:r>
          </w:p>
        </w:tc>
        <w:tc>
          <w:tcPr>
            <w:tcW w:w="2640" w:type="dxa"/>
          </w:tcPr>
          <w:p w14:paraId="3E7EF51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Product identity</w:t>
            </w:r>
          </w:p>
        </w:tc>
      </w:tr>
      <w:tr w:rsidR="00FB4839" w14:paraId="6ADE8B11" w14:textId="77777777">
        <w:tc>
          <w:tcPr>
            <w:tcW w:w="2640" w:type="dxa"/>
          </w:tcPr>
          <w:p w14:paraId="164730B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Role</w:t>
            </w:r>
          </w:p>
        </w:tc>
        <w:tc>
          <w:tcPr>
            <w:tcW w:w="2640" w:type="dxa"/>
          </w:tcPr>
          <w:p w14:paraId="4423821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Estimation,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861</m:t>
              </m:r>
            </m:oMath>
          </w:p>
        </w:tc>
        <w:tc>
          <w:tcPr>
            <w:tcW w:w="2640" w:type="dxa"/>
          </w:tcPr>
          <w:p w14:paraId="21418D8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Validation, 1,680 promotional product-weeks</w:t>
            </w:r>
          </w:p>
        </w:tc>
      </w:tr>
    </w:tbl>
    <w:p w14:paraId="7689F905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Exhibit ET2 — Focal flavour markets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B4839" w14:paraId="11E001EF" w14:textId="77777777" w:rsidTr="00FB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231999" w14:textId="77777777" w:rsidR="00FB4839" w:rsidRDefault="00FB4839">
            <w:pPr>
              <w:pStyle w:val="Compact"/>
              <w:spacing w:before="0" w:after="0" w:line="480" w:lineRule="auto"/>
            </w:pPr>
          </w:p>
        </w:tc>
        <w:tc>
          <w:tcPr>
            <w:tcW w:w="1980" w:type="dxa"/>
          </w:tcPr>
          <w:p w14:paraId="2B99C1E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Mocha / Coffee</w:t>
            </w:r>
          </w:p>
        </w:tc>
        <w:tc>
          <w:tcPr>
            <w:tcW w:w="1980" w:type="dxa"/>
          </w:tcPr>
          <w:p w14:paraId="44B05AB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Birthday Cake</w:t>
            </w:r>
          </w:p>
        </w:tc>
        <w:tc>
          <w:tcPr>
            <w:tcW w:w="1980" w:type="dxa"/>
          </w:tcPr>
          <w:p w14:paraId="3C93EC6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Salted Caramel</w:t>
            </w:r>
          </w:p>
        </w:tc>
      </w:tr>
      <w:tr w:rsidR="00FB4839" w14:paraId="30DFBFEB" w14:textId="77777777">
        <w:tc>
          <w:tcPr>
            <w:tcW w:w="1980" w:type="dxa"/>
          </w:tcPr>
          <w:p w14:paraId="59B6E63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SKUs / brands</w:t>
            </w:r>
          </w:p>
        </w:tc>
        <w:tc>
          <w:tcPr>
            <w:tcW w:w="1980" w:type="dxa"/>
          </w:tcPr>
          <w:p w14:paraId="58ABD01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26 / 15</w:t>
            </w:r>
          </w:p>
        </w:tc>
        <w:tc>
          <w:tcPr>
            <w:tcW w:w="1980" w:type="dxa"/>
          </w:tcPr>
          <w:p w14:paraId="525B981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17 / 9</w:t>
            </w:r>
          </w:p>
        </w:tc>
        <w:tc>
          <w:tcPr>
            <w:tcW w:w="1980" w:type="dxa"/>
          </w:tcPr>
          <w:p w14:paraId="1EE7777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23 / 14</w:t>
            </w:r>
          </w:p>
        </w:tc>
      </w:tr>
      <w:tr w:rsidR="00FB4839" w14:paraId="1DE9C6BA" w14:textId="77777777">
        <w:tc>
          <w:tcPr>
            <w:tcW w:w="1980" w:type="dxa"/>
          </w:tcPr>
          <w:p w14:paraId="12D2551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Powder / bar SKUs</w:t>
            </w:r>
          </w:p>
        </w:tc>
        <w:tc>
          <w:tcPr>
            <w:tcW w:w="1980" w:type="dxa"/>
          </w:tcPr>
          <w:p w14:paraId="2A1822F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23 / 3</w:t>
            </w:r>
          </w:p>
        </w:tc>
        <w:tc>
          <w:tcPr>
            <w:tcW w:w="1980" w:type="dxa"/>
          </w:tcPr>
          <w:p w14:paraId="7B0200A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12 / 5</w:t>
            </w:r>
          </w:p>
        </w:tc>
        <w:tc>
          <w:tcPr>
            <w:tcW w:w="1980" w:type="dxa"/>
          </w:tcPr>
          <w:p w14:paraId="16DFAC8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12 / 11</w:t>
            </w:r>
          </w:p>
        </w:tc>
      </w:tr>
      <w:tr w:rsidR="00FB4839" w14:paraId="27C8ECBB" w14:textId="77777777">
        <w:tc>
          <w:tcPr>
            <w:tcW w:w="1980" w:type="dxa"/>
          </w:tcPr>
          <w:p w14:paraId="2C799CB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Mean own-elasticity</w:t>
            </w:r>
          </w:p>
        </w:tc>
        <w:tc>
          <w:tcPr>
            <w:tcW w:w="1980" w:type="dxa"/>
          </w:tcPr>
          <w:p w14:paraId="507D2B4F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3.194</m:t>
                </m:r>
              </m:oMath>
            </m:oMathPara>
          </w:p>
        </w:tc>
        <w:tc>
          <w:tcPr>
            <w:tcW w:w="1980" w:type="dxa"/>
          </w:tcPr>
          <w:p w14:paraId="6CF35CF3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3.236</m:t>
                </m:r>
              </m:oMath>
            </m:oMathPara>
          </w:p>
        </w:tc>
        <w:tc>
          <w:tcPr>
            <w:tcW w:w="1980" w:type="dxa"/>
          </w:tcPr>
          <w:p w14:paraId="4F41BBA8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4.095</m:t>
                </m:r>
              </m:oMath>
            </m:oMathPara>
          </w:p>
        </w:tc>
      </w:tr>
      <w:tr w:rsidR="00FB4839" w14:paraId="02CD75DF" w14:textId="77777777">
        <w:tc>
          <w:tcPr>
            <w:tcW w:w="1980" w:type="dxa"/>
          </w:tcPr>
          <w:p w14:paraId="622E8D7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— powder / bar</w:t>
            </w:r>
          </w:p>
        </w:tc>
        <w:tc>
          <w:tcPr>
            <w:tcW w:w="1980" w:type="dxa"/>
          </w:tcPr>
          <w:p w14:paraId="2EF5C54E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3.146</m:t>
              </m:r>
            </m:oMath>
            <w:r>
              <w:rPr>
                <w:rFonts w:eastAsia="Times New Roman" w:cs="Times New Roman"/>
                <w:szCs w:val="24"/>
              </w:rPr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3.566</m:t>
              </m:r>
            </m:oMath>
          </w:p>
        </w:tc>
        <w:tc>
          <w:tcPr>
            <w:tcW w:w="1980" w:type="dxa"/>
          </w:tcPr>
          <w:p w14:paraId="259F0838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2.504</m:t>
              </m:r>
            </m:oMath>
            <w:r>
              <w:rPr>
                <w:rFonts w:eastAsia="Times New Roman" w:cs="Times New Roman"/>
                <w:szCs w:val="24"/>
              </w:rPr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4.993</m:t>
              </m:r>
            </m:oMath>
          </w:p>
        </w:tc>
        <w:tc>
          <w:tcPr>
            <w:tcW w:w="1980" w:type="dxa"/>
          </w:tcPr>
          <w:p w14:paraId="610B1FBD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2.412</m:t>
              </m:r>
            </m:oMath>
            <w:r>
              <w:rPr>
                <w:rFonts w:eastAsia="Times New Roman" w:cs="Times New Roman"/>
                <w:szCs w:val="24"/>
              </w:rPr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5.930</m:t>
              </m:r>
            </m:oMath>
          </w:p>
        </w:tc>
      </w:tr>
      <w:tr w:rsidR="00FB4839" w14:paraId="64D378FD" w14:textId="77777777">
        <w:tc>
          <w:tcPr>
            <w:tcW w:w="1980" w:type="dxa"/>
          </w:tcPr>
          <w:p w14:paraId="1F2FA82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Intra-nest cross </w:t>
            </w:r>
            <w:r>
              <w:rPr>
                <w:rFonts w:eastAsia="Times New Roman" w:cs="Times New Roman"/>
                <w:szCs w:val="24"/>
              </w:rPr>
              <w:lastRenderedPageBreak/>
              <w:t>(mean)</w:t>
            </w:r>
          </w:p>
        </w:tc>
        <w:tc>
          <w:tcPr>
            <w:tcW w:w="1980" w:type="dxa"/>
          </w:tcPr>
          <w:p w14:paraId="0253C116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0.099</m:t>
                </m:r>
              </m:oMath>
            </m:oMathPara>
          </w:p>
        </w:tc>
        <w:tc>
          <w:tcPr>
            <w:tcW w:w="1980" w:type="dxa"/>
          </w:tcPr>
          <w:p w14:paraId="62232156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0.276</m:t>
                </m:r>
              </m:oMath>
            </m:oMathPara>
          </w:p>
        </w:tc>
        <w:tc>
          <w:tcPr>
            <w:tcW w:w="1980" w:type="dxa"/>
          </w:tcPr>
          <w:p w14:paraId="78C2D0DC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0.317</m:t>
                </m:r>
              </m:oMath>
            </m:oMathPara>
          </w:p>
        </w:tc>
      </w:tr>
      <w:tr w:rsidR="00FB4839" w14:paraId="18D886E6" w14:textId="77777777">
        <w:tc>
          <w:tcPr>
            <w:tcW w:w="1980" w:type="dxa"/>
          </w:tcPr>
          <w:p w14:paraId="1FD55F7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Inter-nest cross (mean)</w:t>
            </w:r>
          </w:p>
        </w:tc>
        <w:tc>
          <w:tcPr>
            <w:tcW w:w="1980" w:type="dxa"/>
          </w:tcPr>
          <w:p w14:paraId="57BD5FF4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0.00013</m:t>
                </m:r>
              </m:oMath>
            </m:oMathPara>
          </w:p>
        </w:tc>
        <w:tc>
          <w:tcPr>
            <w:tcW w:w="1980" w:type="dxa"/>
          </w:tcPr>
          <w:p w14:paraId="17170529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0.00013</m:t>
                </m:r>
              </m:oMath>
            </m:oMathPara>
          </w:p>
        </w:tc>
        <w:tc>
          <w:tcPr>
            <w:tcW w:w="1980" w:type="dxa"/>
          </w:tcPr>
          <w:p w14:paraId="692DB07C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0.00009</m:t>
                </m:r>
              </m:oMath>
            </m:oMathPara>
          </w:p>
        </w:tc>
      </w:tr>
      <w:tr w:rsidR="00FB4839" w14:paraId="69F41132" w14:textId="77777777">
        <w:tc>
          <w:tcPr>
            <w:tcW w:w="1980" w:type="dxa"/>
          </w:tcPr>
          <w:p w14:paraId="45BBF71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Largest brand-level cross</w:t>
            </w:r>
          </w:p>
        </w:tc>
        <w:tc>
          <w:tcPr>
            <w:tcW w:w="1980" w:type="dxa"/>
          </w:tcPr>
          <w:p w14:paraId="570285B8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w:rPr>
                  <w:rFonts w:ascii="Cambria Math" w:hAnsi="Cambria Math"/>
                </w:rPr>
                <m:t>4.315</m:t>
              </m:r>
            </m:oMath>
            <w:r>
              <w:rPr>
                <w:rFonts w:eastAsia="Times New Roman" w:cs="Times New Roman"/>
                <w:szCs w:val="24"/>
              </w:rPr>
              <w:t xml:space="preserve"> (Convenient Nutrition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</m:oMath>
            <w:r>
              <w:rPr>
                <w:rFonts w:eastAsia="Times New Roman" w:cs="Times New Roman"/>
                <w:szCs w:val="24"/>
              </w:rPr>
              <w:t xml:space="preserve"> Quest)</w:t>
            </w:r>
          </w:p>
        </w:tc>
        <w:tc>
          <w:tcPr>
            <w:tcW w:w="1980" w:type="dxa"/>
          </w:tcPr>
          <w:p w14:paraId="16D0BA50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w:rPr>
                  <w:rFonts w:ascii="Cambria Math" w:hAnsi="Cambria Math"/>
                </w:rPr>
                <m:t>2.481</m:t>
              </m:r>
            </m:oMath>
            <w:r>
              <w:rPr>
                <w:rFonts w:eastAsia="Times New Roman" w:cs="Times New Roman"/>
                <w:szCs w:val="24"/>
              </w:rPr>
              <w:t xml:space="preserve"> (bars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</m:oMath>
            <w:r>
              <w:rPr>
                <w:rFonts w:eastAsia="Times New Roman" w:cs="Times New Roman"/>
                <w:szCs w:val="24"/>
              </w:rPr>
              <w:t xml:space="preserve"> Quest)</w:t>
            </w:r>
          </w:p>
        </w:tc>
        <w:tc>
          <w:tcPr>
            <w:tcW w:w="1980" w:type="dxa"/>
          </w:tcPr>
          <w:p w14:paraId="60885A10" w14:textId="77777777" w:rsidR="00FB4839" w:rsidRDefault="00000000">
            <w:pPr>
              <w:pStyle w:val="Compact"/>
              <w:spacing w:before="0" w:after="0" w:line="480" w:lineRule="auto"/>
            </w:pPr>
            <m:oMath>
              <m:r>
                <w:rPr>
                  <w:rFonts w:ascii="Cambria Math" w:hAnsi="Cambria Math"/>
                </w:rPr>
                <m:t>3.538</m:t>
              </m:r>
            </m:oMath>
            <w:r>
              <w:rPr>
                <w:rFonts w:eastAsia="Times New Roman" w:cs="Times New Roman"/>
                <w:szCs w:val="24"/>
              </w:rPr>
              <w:t xml:space="preserve"> (Quest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</m:oMath>
            <w:r>
              <w:rPr>
                <w:rFonts w:eastAsia="Times New Roman" w:cs="Times New Roman"/>
                <w:szCs w:val="24"/>
              </w:rPr>
              <w:t xml:space="preserve"> OhYeah!)</w:t>
            </w:r>
          </w:p>
        </w:tc>
      </w:tr>
    </w:tbl>
    <w:p w14:paraId="53448EE5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b/>
          <w:bCs/>
        </w:rPr>
        <w:t>Exhibit ET3 — Brand-level own elasticities and largest cross-exposures, Mocha/Coffee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90"/>
        <w:gridCol w:w="2103"/>
        <w:gridCol w:w="3436"/>
      </w:tblGrid>
      <w:tr w:rsidR="00FB4839" w14:paraId="50575839" w14:textId="77777777" w:rsidTr="00FB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2AB7F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Brand</w:t>
            </w:r>
          </w:p>
        </w:tc>
        <w:tc>
          <w:tcPr>
            <w:tcW w:w="0" w:type="auto"/>
          </w:tcPr>
          <w:p w14:paraId="69E0513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Own (brand-level)</w:t>
            </w:r>
          </w:p>
        </w:tc>
        <w:tc>
          <w:tcPr>
            <w:tcW w:w="0" w:type="auto"/>
          </w:tcPr>
          <w:p w14:paraId="5D98F76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Largest cross-in (source; value)</w:t>
            </w:r>
          </w:p>
        </w:tc>
      </w:tr>
      <w:tr w:rsidR="00FB4839" w14:paraId="089ABF5F" w14:textId="77777777">
        <w:tc>
          <w:tcPr>
            <w:tcW w:w="0" w:type="auto"/>
          </w:tcPr>
          <w:p w14:paraId="41E0529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Animal</w:t>
            </w:r>
          </w:p>
        </w:tc>
        <w:tc>
          <w:tcPr>
            <w:tcW w:w="0" w:type="auto"/>
          </w:tcPr>
          <w:p w14:paraId="55CCE9BB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2.459</m:t>
                </m:r>
              </m:oMath>
            </m:oMathPara>
          </w:p>
        </w:tc>
        <w:tc>
          <w:tcPr>
            <w:tcW w:w="0" w:type="auto"/>
          </w:tcPr>
          <w:p w14:paraId="312F8F5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30C2221E" w14:textId="77777777">
        <w:tc>
          <w:tcPr>
            <w:tcW w:w="0" w:type="auto"/>
          </w:tcPr>
          <w:p w14:paraId="33AC4CE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Ascent</w:t>
            </w:r>
          </w:p>
        </w:tc>
        <w:tc>
          <w:tcPr>
            <w:tcW w:w="0" w:type="auto"/>
          </w:tcPr>
          <w:p w14:paraId="740FB00E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3.005</m:t>
                </m:r>
              </m:oMath>
            </m:oMathPara>
          </w:p>
        </w:tc>
        <w:tc>
          <w:tcPr>
            <w:tcW w:w="0" w:type="auto"/>
          </w:tcPr>
          <w:p w14:paraId="18E1FD6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08395864" w14:textId="77777777">
        <w:tc>
          <w:tcPr>
            <w:tcW w:w="0" w:type="auto"/>
          </w:tcPr>
          <w:p w14:paraId="22A3B55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Body Nutrition</w:t>
            </w:r>
          </w:p>
        </w:tc>
        <w:tc>
          <w:tcPr>
            <w:tcW w:w="0" w:type="auto"/>
          </w:tcPr>
          <w:p w14:paraId="7D7169CD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3.174</m:t>
                </m:r>
              </m:oMath>
            </m:oMathPara>
          </w:p>
        </w:tc>
        <w:tc>
          <w:tcPr>
            <w:tcW w:w="0" w:type="auto"/>
          </w:tcPr>
          <w:p w14:paraId="02F4E67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4CD35966" w14:textId="77777777">
        <w:tc>
          <w:tcPr>
            <w:tcW w:w="0" w:type="auto"/>
          </w:tcPr>
          <w:p w14:paraId="1B00B7E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Bodybuilding.com Signature</w:t>
            </w:r>
          </w:p>
        </w:tc>
        <w:tc>
          <w:tcPr>
            <w:tcW w:w="0" w:type="auto"/>
          </w:tcPr>
          <w:p w14:paraId="059C76B3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1.298</m:t>
                </m:r>
              </m:oMath>
            </m:oMathPara>
          </w:p>
        </w:tc>
        <w:tc>
          <w:tcPr>
            <w:tcW w:w="0" w:type="auto"/>
          </w:tcPr>
          <w:p w14:paraId="5E826E6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692385A2" w14:textId="77777777">
        <w:tc>
          <w:tcPr>
            <w:tcW w:w="0" w:type="auto"/>
          </w:tcPr>
          <w:p w14:paraId="631981B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Convenient Nutrition</w:t>
            </w:r>
          </w:p>
        </w:tc>
        <w:tc>
          <w:tcPr>
            <w:tcW w:w="0" w:type="auto"/>
          </w:tcPr>
          <w:p w14:paraId="6491ECEB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4.282</m:t>
                </m:r>
              </m:oMath>
            </m:oMathPara>
          </w:p>
        </w:tc>
        <w:tc>
          <w:tcPr>
            <w:tcW w:w="0" w:type="auto"/>
          </w:tcPr>
          <w:p w14:paraId="4D3AF05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Quest Nutrition; 4.315</w:t>
            </w:r>
          </w:p>
        </w:tc>
      </w:tr>
      <w:tr w:rsidR="00FB4839" w14:paraId="5F8C2B1E" w14:textId="77777777">
        <w:tc>
          <w:tcPr>
            <w:tcW w:w="0" w:type="auto"/>
          </w:tcPr>
          <w:p w14:paraId="12CA88F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Dymatize</w:t>
            </w:r>
          </w:p>
        </w:tc>
        <w:tc>
          <w:tcPr>
            <w:tcW w:w="0" w:type="auto"/>
          </w:tcPr>
          <w:p w14:paraId="7EF65CC0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1.822</m:t>
                </m:r>
              </m:oMath>
            </m:oMathPara>
          </w:p>
        </w:tc>
        <w:tc>
          <w:tcPr>
            <w:tcW w:w="0" w:type="auto"/>
          </w:tcPr>
          <w:p w14:paraId="4C5121D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3F2C3303" w14:textId="77777777">
        <w:tc>
          <w:tcPr>
            <w:tcW w:w="0" w:type="auto"/>
          </w:tcPr>
          <w:p w14:paraId="1F5EFAF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Isopure</w:t>
            </w:r>
          </w:p>
        </w:tc>
        <w:tc>
          <w:tcPr>
            <w:tcW w:w="0" w:type="auto"/>
          </w:tcPr>
          <w:p w14:paraId="19CE79C6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4.059</m:t>
                </m:r>
              </m:oMath>
            </m:oMathPara>
          </w:p>
        </w:tc>
        <w:tc>
          <w:tcPr>
            <w:tcW w:w="0" w:type="auto"/>
          </w:tcPr>
          <w:p w14:paraId="2122629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7A4FDE9A" w14:textId="77777777">
        <w:tc>
          <w:tcPr>
            <w:tcW w:w="0" w:type="auto"/>
          </w:tcPr>
          <w:p w14:paraId="1DADC7D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Kaged Muscle</w:t>
            </w:r>
          </w:p>
        </w:tc>
        <w:tc>
          <w:tcPr>
            <w:tcW w:w="0" w:type="auto"/>
          </w:tcPr>
          <w:p w14:paraId="2ED957F5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2.221</m:t>
                </m:r>
              </m:oMath>
            </m:oMathPara>
          </w:p>
        </w:tc>
        <w:tc>
          <w:tcPr>
            <w:tcW w:w="0" w:type="auto"/>
          </w:tcPr>
          <w:p w14:paraId="6310105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4DBD414F" w14:textId="77777777">
        <w:tc>
          <w:tcPr>
            <w:tcW w:w="0" w:type="auto"/>
          </w:tcPr>
          <w:p w14:paraId="651BA39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MuscleTech</w:t>
            </w:r>
          </w:p>
        </w:tc>
        <w:tc>
          <w:tcPr>
            <w:tcW w:w="0" w:type="auto"/>
          </w:tcPr>
          <w:p w14:paraId="705FDC67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2.780</m:t>
                </m:r>
              </m:oMath>
            </m:oMathPara>
          </w:p>
        </w:tc>
        <w:tc>
          <w:tcPr>
            <w:tcW w:w="0" w:type="auto"/>
          </w:tcPr>
          <w:p w14:paraId="2897419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1B3CBA8B" w14:textId="77777777">
        <w:tc>
          <w:tcPr>
            <w:tcW w:w="0" w:type="auto"/>
          </w:tcPr>
          <w:p w14:paraId="707F57A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</w:t>
            </w:r>
          </w:p>
        </w:tc>
        <w:tc>
          <w:tcPr>
            <w:tcW w:w="0" w:type="auto"/>
          </w:tcPr>
          <w:p w14:paraId="60528758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1.085</m:t>
                </m:r>
              </m:oMath>
            </m:oMathPara>
          </w:p>
        </w:tc>
        <w:tc>
          <w:tcPr>
            <w:tcW w:w="0" w:type="auto"/>
          </w:tcPr>
          <w:p w14:paraId="591F278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MuscleTech; 0.317</w:t>
            </w:r>
          </w:p>
        </w:tc>
      </w:tr>
      <w:tr w:rsidR="00FB4839" w14:paraId="19F99354" w14:textId="77777777">
        <w:tc>
          <w:tcPr>
            <w:tcW w:w="0" w:type="auto"/>
          </w:tcPr>
          <w:p w14:paraId="03CD1F1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PEScience</w:t>
            </w:r>
          </w:p>
        </w:tc>
        <w:tc>
          <w:tcPr>
            <w:tcW w:w="0" w:type="auto"/>
          </w:tcPr>
          <w:p w14:paraId="6F2DAE55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2.399</m:t>
                </m:r>
              </m:oMath>
            </m:oMathPara>
          </w:p>
        </w:tc>
        <w:tc>
          <w:tcPr>
            <w:tcW w:w="0" w:type="auto"/>
          </w:tcPr>
          <w:p w14:paraId="4685E6F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4911EBF9" w14:textId="77777777">
        <w:tc>
          <w:tcPr>
            <w:tcW w:w="0" w:type="auto"/>
          </w:tcPr>
          <w:p w14:paraId="1695C6F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Pro Supps</w:t>
            </w:r>
          </w:p>
        </w:tc>
        <w:tc>
          <w:tcPr>
            <w:tcW w:w="0" w:type="auto"/>
          </w:tcPr>
          <w:p w14:paraId="0AFE0C0E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1.561</m:t>
                </m:r>
              </m:oMath>
            </m:oMathPara>
          </w:p>
        </w:tc>
        <w:tc>
          <w:tcPr>
            <w:tcW w:w="0" w:type="auto"/>
          </w:tcPr>
          <w:p w14:paraId="4F213C4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7BC6FEB5" w14:textId="77777777">
        <w:tc>
          <w:tcPr>
            <w:tcW w:w="0" w:type="auto"/>
          </w:tcPr>
          <w:p w14:paraId="4F967F2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Quest Nutrition</w:t>
            </w:r>
          </w:p>
        </w:tc>
        <w:tc>
          <w:tcPr>
            <w:tcW w:w="0" w:type="auto"/>
          </w:tcPr>
          <w:p w14:paraId="5B99EBBD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1.063</m:t>
                </m:r>
              </m:oMath>
            </m:oMathPara>
          </w:p>
        </w:tc>
        <w:tc>
          <w:tcPr>
            <w:tcW w:w="0" w:type="auto"/>
          </w:tcPr>
          <w:p w14:paraId="3AF59E4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Convenient Nutrition; 0.020</w:t>
            </w:r>
          </w:p>
        </w:tc>
      </w:tr>
      <w:tr w:rsidR="00FB4839" w14:paraId="1263B406" w14:textId="77777777">
        <w:tc>
          <w:tcPr>
            <w:tcW w:w="0" w:type="auto"/>
          </w:tcPr>
          <w:p w14:paraId="1C2666E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Universal Nutrition</w:t>
            </w:r>
          </w:p>
        </w:tc>
        <w:tc>
          <w:tcPr>
            <w:tcW w:w="0" w:type="auto"/>
          </w:tcPr>
          <w:p w14:paraId="08479800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1.324</m:t>
                </m:r>
              </m:oMath>
            </m:oMathPara>
          </w:p>
        </w:tc>
        <w:tc>
          <w:tcPr>
            <w:tcW w:w="0" w:type="auto"/>
          </w:tcPr>
          <w:p w14:paraId="3D9EDBD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  <w:tr w:rsidR="00FB4839" w14:paraId="09D8ED82" w14:textId="77777777">
        <w:tc>
          <w:tcPr>
            <w:tcW w:w="0" w:type="auto"/>
          </w:tcPr>
          <w:p w14:paraId="15FE0E8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lastRenderedPageBreak/>
              <w:t>Vega</w:t>
            </w:r>
          </w:p>
        </w:tc>
        <w:tc>
          <w:tcPr>
            <w:tcW w:w="0" w:type="auto"/>
          </w:tcPr>
          <w:p w14:paraId="4E7FAA9B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8.476</m:t>
                </m:r>
              </m:oMath>
            </m:oMathPara>
          </w:p>
        </w:tc>
        <w:tc>
          <w:tcPr>
            <w:tcW w:w="0" w:type="auto"/>
          </w:tcPr>
          <w:p w14:paraId="12C0CF2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Optimum Nutrition; 0.913</w:t>
            </w:r>
          </w:p>
        </w:tc>
      </w:tr>
    </w:tbl>
    <w:p w14:paraId="621C46E0" w14:textId="77777777" w:rsidR="00FB4839" w:rsidRDefault="00000000">
      <w:pPr>
        <w:pStyle w:val="Heading3"/>
        <w:spacing w:before="0" w:after="0" w:line="480" w:lineRule="auto"/>
      </w:pPr>
      <w:bookmarkStart w:id="10" w:name="a.-flavour-profile-market-sizes"/>
      <w:bookmarkEnd w:id="9"/>
      <w:r>
        <w:rPr>
          <w:rFonts w:eastAsia="Times New Roman" w:cs="Times New Roman"/>
          <w:b/>
          <w:bCs/>
          <w:szCs w:val="24"/>
        </w:rPr>
        <w:t>A. Flavour-profile market sizes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50"/>
        <w:gridCol w:w="803"/>
        <w:gridCol w:w="1723"/>
        <w:gridCol w:w="803"/>
      </w:tblGrid>
      <w:tr w:rsidR="00FB4839" w14:paraId="4A25A6AD" w14:textId="77777777" w:rsidTr="00FB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7F77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Market</w:t>
            </w:r>
          </w:p>
        </w:tc>
        <w:tc>
          <w:tcPr>
            <w:tcW w:w="0" w:type="auto"/>
          </w:tcPr>
          <w:p w14:paraId="053E306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SKUs</w:t>
            </w:r>
          </w:p>
        </w:tc>
        <w:tc>
          <w:tcPr>
            <w:tcW w:w="0" w:type="auto"/>
          </w:tcPr>
          <w:p w14:paraId="3DD3CFE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Market</w:t>
            </w:r>
          </w:p>
        </w:tc>
        <w:tc>
          <w:tcPr>
            <w:tcW w:w="0" w:type="auto"/>
          </w:tcPr>
          <w:p w14:paraId="01DB039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SKUs</w:t>
            </w:r>
          </w:p>
        </w:tc>
      </w:tr>
      <w:tr w:rsidR="00FB4839" w14:paraId="767BEAD8" w14:textId="77777777">
        <w:tc>
          <w:tcPr>
            <w:tcW w:w="0" w:type="auto"/>
          </w:tcPr>
          <w:p w14:paraId="2178072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Chocolate</w:t>
            </w:r>
          </w:p>
        </w:tc>
        <w:tc>
          <w:tcPr>
            <w:tcW w:w="0" w:type="auto"/>
          </w:tcPr>
          <w:p w14:paraId="14B6440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305</w:t>
            </w:r>
          </w:p>
        </w:tc>
        <w:tc>
          <w:tcPr>
            <w:tcW w:w="0" w:type="auto"/>
          </w:tcPr>
          <w:p w14:paraId="2F5C552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Salted Caramel</w:t>
            </w:r>
          </w:p>
        </w:tc>
        <w:tc>
          <w:tcPr>
            <w:tcW w:w="0" w:type="auto"/>
          </w:tcPr>
          <w:p w14:paraId="043B6AC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23</w:t>
            </w:r>
          </w:p>
        </w:tc>
      </w:tr>
      <w:tr w:rsidR="00FB4839" w14:paraId="4698F07F" w14:textId="77777777">
        <w:tc>
          <w:tcPr>
            <w:tcW w:w="0" w:type="auto"/>
          </w:tcPr>
          <w:p w14:paraId="0AED542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Vanilla</w:t>
            </w:r>
          </w:p>
        </w:tc>
        <w:tc>
          <w:tcPr>
            <w:tcW w:w="0" w:type="auto"/>
          </w:tcPr>
          <w:p w14:paraId="4DC26DC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191</w:t>
            </w:r>
          </w:p>
        </w:tc>
        <w:tc>
          <w:tcPr>
            <w:tcW w:w="0" w:type="auto"/>
          </w:tcPr>
          <w:p w14:paraId="36F95C2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Peanut Butter</w:t>
            </w:r>
          </w:p>
        </w:tc>
        <w:tc>
          <w:tcPr>
            <w:tcW w:w="0" w:type="auto"/>
          </w:tcPr>
          <w:p w14:paraId="17522D1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24</w:t>
            </w:r>
          </w:p>
        </w:tc>
      </w:tr>
      <w:tr w:rsidR="00FB4839" w14:paraId="056E4545" w14:textId="77777777">
        <w:tc>
          <w:tcPr>
            <w:tcW w:w="0" w:type="auto"/>
          </w:tcPr>
          <w:p w14:paraId="744F1ED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Other</w:t>
            </w:r>
          </w:p>
        </w:tc>
        <w:tc>
          <w:tcPr>
            <w:tcW w:w="0" w:type="auto"/>
          </w:tcPr>
          <w:p w14:paraId="1A5FDF4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116</w:t>
            </w:r>
          </w:p>
        </w:tc>
        <w:tc>
          <w:tcPr>
            <w:tcW w:w="0" w:type="auto"/>
          </w:tcPr>
          <w:p w14:paraId="6B04615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Mocha / Coffee</w:t>
            </w:r>
          </w:p>
        </w:tc>
        <w:tc>
          <w:tcPr>
            <w:tcW w:w="0" w:type="auto"/>
          </w:tcPr>
          <w:p w14:paraId="2217C85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26</w:t>
            </w:r>
          </w:p>
        </w:tc>
      </w:tr>
      <w:tr w:rsidR="00FB4839" w14:paraId="5C985768" w14:textId="77777777">
        <w:tc>
          <w:tcPr>
            <w:tcW w:w="0" w:type="auto"/>
          </w:tcPr>
          <w:p w14:paraId="7264255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Cookies &amp; Cream</w:t>
            </w:r>
          </w:p>
        </w:tc>
        <w:tc>
          <w:tcPr>
            <w:tcW w:w="0" w:type="auto"/>
          </w:tcPr>
          <w:p w14:paraId="06FA043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82</w:t>
            </w:r>
          </w:p>
        </w:tc>
        <w:tc>
          <w:tcPr>
            <w:tcW w:w="0" w:type="auto"/>
          </w:tcPr>
          <w:p w14:paraId="4080FBC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Birthday Cake</w:t>
            </w:r>
          </w:p>
        </w:tc>
        <w:tc>
          <w:tcPr>
            <w:tcW w:w="0" w:type="auto"/>
          </w:tcPr>
          <w:p w14:paraId="2F4747C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17</w:t>
            </w:r>
          </w:p>
        </w:tc>
      </w:tr>
      <w:tr w:rsidR="00FB4839" w14:paraId="681C9EBF" w14:textId="77777777">
        <w:tc>
          <w:tcPr>
            <w:tcW w:w="0" w:type="auto"/>
          </w:tcPr>
          <w:p w14:paraId="5B5E15A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Strawberry/Berry</w:t>
            </w:r>
          </w:p>
        </w:tc>
        <w:tc>
          <w:tcPr>
            <w:tcW w:w="0" w:type="auto"/>
          </w:tcPr>
          <w:p w14:paraId="4370D46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54</w:t>
            </w:r>
          </w:p>
        </w:tc>
        <w:tc>
          <w:tcPr>
            <w:tcW w:w="0" w:type="auto"/>
          </w:tcPr>
          <w:p w14:paraId="5A9214A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Banana</w:t>
            </w:r>
          </w:p>
        </w:tc>
        <w:tc>
          <w:tcPr>
            <w:tcW w:w="0" w:type="auto"/>
          </w:tcPr>
          <w:p w14:paraId="312EB68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13</w:t>
            </w:r>
          </w:p>
        </w:tc>
      </w:tr>
      <w:tr w:rsidR="00FB4839" w14:paraId="0BA35634" w14:textId="77777777">
        <w:tc>
          <w:tcPr>
            <w:tcW w:w="0" w:type="auto"/>
          </w:tcPr>
          <w:p w14:paraId="2D02F974" w14:textId="77777777" w:rsidR="00FB4839" w:rsidRDefault="00FB4839">
            <w:pPr>
              <w:pStyle w:val="Compact"/>
              <w:spacing w:before="0" w:after="0" w:line="480" w:lineRule="auto"/>
            </w:pPr>
          </w:p>
        </w:tc>
        <w:tc>
          <w:tcPr>
            <w:tcW w:w="0" w:type="auto"/>
          </w:tcPr>
          <w:p w14:paraId="6628987A" w14:textId="77777777" w:rsidR="00FB4839" w:rsidRDefault="00FB4839">
            <w:pPr>
              <w:pStyle w:val="Compact"/>
              <w:spacing w:before="0" w:after="0" w:line="480" w:lineRule="auto"/>
            </w:pPr>
          </w:p>
        </w:tc>
        <w:tc>
          <w:tcPr>
            <w:tcW w:w="0" w:type="auto"/>
          </w:tcPr>
          <w:p w14:paraId="3E6E692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Unflavored</w:t>
            </w:r>
          </w:p>
        </w:tc>
        <w:tc>
          <w:tcPr>
            <w:tcW w:w="0" w:type="auto"/>
          </w:tcPr>
          <w:p w14:paraId="2CC48EB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10</w:t>
            </w:r>
          </w:p>
        </w:tc>
      </w:tr>
    </w:tbl>
    <w:p w14:paraId="142EAEF5" w14:textId="77777777" w:rsidR="00FB4839" w:rsidRDefault="00000000">
      <w:pPr>
        <w:pStyle w:val="BodyText"/>
        <w:spacing w:before="0" w:after="0" w:line="480" w:lineRule="auto"/>
      </w:pPr>
      <w:r>
        <w:rPr>
          <w:rFonts w:eastAsia="Times New Roman" w:cs="Times New Roman"/>
          <w:i/>
          <w:iCs/>
        </w:rPr>
        <w:t xml:space="preserve">Total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861</m:t>
        </m:r>
      </m:oMath>
      <w:r>
        <w:rPr>
          <w:rFonts w:eastAsia="Times New Roman" w:cs="Times New Roman"/>
          <w:i/>
          <w:iCs/>
        </w:rPr>
        <w:t xml:space="preserve"> (715 powder, 146 bar); two single-nest markets (Banana, Unflavored) are powders only.</w:t>
      </w:r>
    </w:p>
    <w:p w14:paraId="5DFAAAF8" w14:textId="77777777" w:rsidR="00FB4839" w:rsidRDefault="00000000">
      <w:pPr>
        <w:pStyle w:val="Heading3"/>
        <w:spacing w:before="0" w:after="0" w:line="480" w:lineRule="auto"/>
      </w:pPr>
      <w:bookmarkStart w:id="11" w:name="X443976348c44924d2fcc88c499c77fbf5ceef59"/>
      <w:bookmarkEnd w:id="10"/>
      <w:r>
        <w:rPr>
          <w:rFonts w:eastAsia="Times New Roman" w:cs="Times New Roman"/>
          <w:b/>
          <w:bCs/>
          <w:szCs w:val="24"/>
        </w:rPr>
        <w:t>B. Full brand-level elasticity matrix — Mocha/Coffee</w:t>
      </w:r>
    </w:p>
    <w:p w14:paraId="747DCE3F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t>Rows: responding brand (aggregate share); columns: brand whose uniform price changes. Diagonal = brand-level own elasticity.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  <w:gridCol w:w="599"/>
        <w:gridCol w:w="599"/>
        <w:gridCol w:w="599"/>
        <w:gridCol w:w="599"/>
        <w:gridCol w:w="599"/>
        <w:gridCol w:w="599"/>
        <w:gridCol w:w="599"/>
      </w:tblGrid>
      <w:tr w:rsidR="00FB4839" w14:paraId="36414AD2" w14:textId="77777777" w:rsidTr="00FB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195E4525" w14:textId="77777777" w:rsidR="00FB4839" w:rsidRDefault="00FB4839">
            <w:pPr>
              <w:pStyle w:val="Compact"/>
              <w:spacing w:before="0" w:after="0" w:line="480" w:lineRule="auto"/>
            </w:pPr>
          </w:p>
        </w:tc>
        <w:tc>
          <w:tcPr>
            <w:tcW w:w="495" w:type="dxa"/>
          </w:tcPr>
          <w:p w14:paraId="508F527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Animal</w:t>
            </w:r>
          </w:p>
        </w:tc>
        <w:tc>
          <w:tcPr>
            <w:tcW w:w="495" w:type="dxa"/>
          </w:tcPr>
          <w:p w14:paraId="255B77A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Ascent</w:t>
            </w:r>
          </w:p>
        </w:tc>
        <w:tc>
          <w:tcPr>
            <w:tcW w:w="495" w:type="dxa"/>
          </w:tcPr>
          <w:p w14:paraId="4109DBA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Body Nutr.</w:t>
            </w:r>
          </w:p>
        </w:tc>
        <w:tc>
          <w:tcPr>
            <w:tcW w:w="495" w:type="dxa"/>
          </w:tcPr>
          <w:p w14:paraId="323D0A1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Signature</w:t>
            </w:r>
          </w:p>
        </w:tc>
        <w:tc>
          <w:tcPr>
            <w:tcW w:w="495" w:type="dxa"/>
          </w:tcPr>
          <w:p w14:paraId="6AB8B51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Conv. Nutr.</w:t>
            </w:r>
          </w:p>
        </w:tc>
        <w:tc>
          <w:tcPr>
            <w:tcW w:w="495" w:type="dxa"/>
          </w:tcPr>
          <w:p w14:paraId="4B08686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Dymatize</w:t>
            </w:r>
          </w:p>
        </w:tc>
        <w:tc>
          <w:tcPr>
            <w:tcW w:w="495" w:type="dxa"/>
          </w:tcPr>
          <w:p w14:paraId="1C994B7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Isopure</w:t>
            </w:r>
          </w:p>
        </w:tc>
        <w:tc>
          <w:tcPr>
            <w:tcW w:w="495" w:type="dxa"/>
          </w:tcPr>
          <w:p w14:paraId="3FF0381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Kaged</w:t>
            </w:r>
          </w:p>
        </w:tc>
        <w:tc>
          <w:tcPr>
            <w:tcW w:w="495" w:type="dxa"/>
          </w:tcPr>
          <w:p w14:paraId="7DA3D45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MuscleTech</w:t>
            </w:r>
          </w:p>
        </w:tc>
        <w:tc>
          <w:tcPr>
            <w:tcW w:w="495" w:type="dxa"/>
          </w:tcPr>
          <w:p w14:paraId="11160A9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Opt. Nutr.</w:t>
            </w:r>
          </w:p>
        </w:tc>
        <w:tc>
          <w:tcPr>
            <w:tcW w:w="495" w:type="dxa"/>
          </w:tcPr>
          <w:p w14:paraId="15A0F56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PEScience</w:t>
            </w:r>
          </w:p>
        </w:tc>
        <w:tc>
          <w:tcPr>
            <w:tcW w:w="495" w:type="dxa"/>
          </w:tcPr>
          <w:p w14:paraId="5AF46E1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Pro Supps</w:t>
            </w:r>
          </w:p>
        </w:tc>
        <w:tc>
          <w:tcPr>
            <w:tcW w:w="495" w:type="dxa"/>
          </w:tcPr>
          <w:p w14:paraId="6E30BFE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Quest</w:t>
            </w:r>
          </w:p>
        </w:tc>
        <w:tc>
          <w:tcPr>
            <w:tcW w:w="495" w:type="dxa"/>
          </w:tcPr>
          <w:p w14:paraId="5F3FB0D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Universal</w:t>
            </w:r>
          </w:p>
        </w:tc>
        <w:tc>
          <w:tcPr>
            <w:tcW w:w="495" w:type="dxa"/>
          </w:tcPr>
          <w:p w14:paraId="296F84A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b/>
                <w:szCs w:val="24"/>
              </w:rPr>
              <w:t>Vega</w:t>
            </w:r>
          </w:p>
        </w:tc>
      </w:tr>
      <w:tr w:rsidR="00FB4839" w14:paraId="30206776" w14:textId="77777777">
        <w:tc>
          <w:tcPr>
            <w:tcW w:w="495" w:type="dxa"/>
          </w:tcPr>
          <w:p w14:paraId="01E024B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Animal</w:t>
            </w:r>
          </w:p>
        </w:tc>
        <w:tc>
          <w:tcPr>
            <w:tcW w:w="495" w:type="dxa"/>
          </w:tcPr>
          <w:p w14:paraId="0EEC824E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2.459</m:t>
                </m:r>
              </m:oMath>
            </m:oMathPara>
          </w:p>
        </w:tc>
        <w:tc>
          <w:tcPr>
            <w:tcW w:w="495" w:type="dxa"/>
          </w:tcPr>
          <w:p w14:paraId="224FA25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6412957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37FD4EE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0BC9994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50097DE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172FC33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1E61B71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25BA464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7626BF7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478D63B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1636878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44FABE3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625FC18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0E8F724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3C4D267E" w14:textId="77777777">
        <w:tc>
          <w:tcPr>
            <w:tcW w:w="495" w:type="dxa"/>
          </w:tcPr>
          <w:p w14:paraId="662DE6E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Ascent</w:t>
            </w:r>
          </w:p>
        </w:tc>
        <w:tc>
          <w:tcPr>
            <w:tcW w:w="495" w:type="dxa"/>
          </w:tcPr>
          <w:p w14:paraId="09FFAE8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30D7CBAF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3.005</m:t>
                </m:r>
              </m:oMath>
            </m:oMathPara>
          </w:p>
        </w:tc>
        <w:tc>
          <w:tcPr>
            <w:tcW w:w="495" w:type="dxa"/>
          </w:tcPr>
          <w:p w14:paraId="61ADD37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64963C5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7296CE9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1E7F8A8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1DF1846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557141D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74F736C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4AFC9B0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57D41A4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7F00311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4568146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44E36D3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63E0A5F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75BF1E01" w14:textId="77777777">
        <w:tc>
          <w:tcPr>
            <w:tcW w:w="495" w:type="dxa"/>
          </w:tcPr>
          <w:p w14:paraId="76CA771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lastRenderedPageBreak/>
              <w:t>Body Nutrition</w:t>
            </w:r>
          </w:p>
        </w:tc>
        <w:tc>
          <w:tcPr>
            <w:tcW w:w="495" w:type="dxa"/>
          </w:tcPr>
          <w:p w14:paraId="50481DA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79A6573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7D6D1173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3.174</m:t>
                </m:r>
              </m:oMath>
            </m:oMathPara>
          </w:p>
        </w:tc>
        <w:tc>
          <w:tcPr>
            <w:tcW w:w="495" w:type="dxa"/>
          </w:tcPr>
          <w:p w14:paraId="5C43709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224469B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59959A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5711BF1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5EDC207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3DD5F93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54C60B6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4CB0E54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3959CE9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4556FD8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548DDE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47752FF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7C48D5C5" w14:textId="77777777">
        <w:tc>
          <w:tcPr>
            <w:tcW w:w="495" w:type="dxa"/>
          </w:tcPr>
          <w:p w14:paraId="3FEEFA6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Bodybuilding.com Signature</w:t>
            </w:r>
          </w:p>
        </w:tc>
        <w:tc>
          <w:tcPr>
            <w:tcW w:w="495" w:type="dxa"/>
          </w:tcPr>
          <w:p w14:paraId="4E0A47B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7B6E3E0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4F4F5B4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326CA10F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1.298</m:t>
                </m:r>
              </m:oMath>
            </m:oMathPara>
          </w:p>
        </w:tc>
        <w:tc>
          <w:tcPr>
            <w:tcW w:w="495" w:type="dxa"/>
          </w:tcPr>
          <w:p w14:paraId="0C6B8B2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14C519D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687C8D4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0D444CD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10446D2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2C1B7E7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35CEFE7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6104B1E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0C2AF91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67A2A3F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65795F4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2FB4F9BB" w14:textId="77777777">
        <w:tc>
          <w:tcPr>
            <w:tcW w:w="495" w:type="dxa"/>
          </w:tcPr>
          <w:p w14:paraId="113DE28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Convenient Nut</w:t>
            </w:r>
            <w:r>
              <w:rPr>
                <w:rFonts w:eastAsia="Times New Roman" w:cs="Times New Roman"/>
                <w:szCs w:val="24"/>
              </w:rPr>
              <w:lastRenderedPageBreak/>
              <w:t>rition</w:t>
            </w:r>
          </w:p>
        </w:tc>
        <w:tc>
          <w:tcPr>
            <w:tcW w:w="495" w:type="dxa"/>
          </w:tcPr>
          <w:p w14:paraId="0E270C9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lastRenderedPageBreak/>
              <w:t>0.000</w:t>
            </w:r>
          </w:p>
        </w:tc>
        <w:tc>
          <w:tcPr>
            <w:tcW w:w="495" w:type="dxa"/>
          </w:tcPr>
          <w:p w14:paraId="0B1B9AC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D0DC9E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5507047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09445FB8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4.282</m:t>
                </m:r>
              </m:oMath>
            </m:oMathPara>
          </w:p>
        </w:tc>
        <w:tc>
          <w:tcPr>
            <w:tcW w:w="495" w:type="dxa"/>
          </w:tcPr>
          <w:p w14:paraId="1F18D8A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173D65F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297CF3D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9A373C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0.001</w:t>
            </w:r>
          </w:p>
        </w:tc>
        <w:tc>
          <w:tcPr>
            <w:tcW w:w="495" w:type="dxa"/>
          </w:tcPr>
          <w:p w14:paraId="4E9D1F4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0.135</w:t>
            </w:r>
          </w:p>
        </w:tc>
        <w:tc>
          <w:tcPr>
            <w:tcW w:w="495" w:type="dxa"/>
          </w:tcPr>
          <w:p w14:paraId="7CC621B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580930E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73A6785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4.315</w:t>
            </w:r>
          </w:p>
        </w:tc>
        <w:tc>
          <w:tcPr>
            <w:tcW w:w="495" w:type="dxa"/>
          </w:tcPr>
          <w:p w14:paraId="5464958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1CA0F2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</w:tr>
      <w:tr w:rsidR="00FB4839" w14:paraId="4744AAC0" w14:textId="77777777">
        <w:tc>
          <w:tcPr>
            <w:tcW w:w="495" w:type="dxa"/>
          </w:tcPr>
          <w:p w14:paraId="4CDD403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Dymatize</w:t>
            </w:r>
          </w:p>
        </w:tc>
        <w:tc>
          <w:tcPr>
            <w:tcW w:w="495" w:type="dxa"/>
          </w:tcPr>
          <w:p w14:paraId="5EF6650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2D8EF44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603EBBE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61BBAB3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77A53BF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18F98543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1.822</m:t>
                </m:r>
              </m:oMath>
            </m:oMathPara>
          </w:p>
        </w:tc>
        <w:tc>
          <w:tcPr>
            <w:tcW w:w="495" w:type="dxa"/>
          </w:tcPr>
          <w:p w14:paraId="377A26C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642F103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7C8DD8F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68CA0E9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2A9DB46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7F1ECA8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5B4D7C1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469E0B0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38198D0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3A034166" w14:textId="77777777">
        <w:tc>
          <w:tcPr>
            <w:tcW w:w="495" w:type="dxa"/>
          </w:tcPr>
          <w:p w14:paraId="305753B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Isopure</w:t>
            </w:r>
          </w:p>
        </w:tc>
        <w:tc>
          <w:tcPr>
            <w:tcW w:w="495" w:type="dxa"/>
          </w:tcPr>
          <w:p w14:paraId="2133E77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5F4321A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2D6F260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1C1318B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23A7D81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791A636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0464D106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4.059</m:t>
                </m:r>
              </m:oMath>
            </m:oMathPara>
          </w:p>
        </w:tc>
        <w:tc>
          <w:tcPr>
            <w:tcW w:w="495" w:type="dxa"/>
          </w:tcPr>
          <w:p w14:paraId="2AB37BD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42A3BF5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1EEFBE8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6E6CFFA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6699B0B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311D5C1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4E62784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32AD362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32702339" w14:textId="77777777">
        <w:tc>
          <w:tcPr>
            <w:tcW w:w="495" w:type="dxa"/>
          </w:tcPr>
          <w:p w14:paraId="29F0A79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Kaged Muscle</w:t>
            </w:r>
          </w:p>
        </w:tc>
        <w:tc>
          <w:tcPr>
            <w:tcW w:w="495" w:type="dxa"/>
          </w:tcPr>
          <w:p w14:paraId="105B2FC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1544441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76F5616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3EA5881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6F631A6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47F8836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23D7250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0FB32527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2.221</m:t>
                </m:r>
              </m:oMath>
            </m:oMathPara>
          </w:p>
        </w:tc>
        <w:tc>
          <w:tcPr>
            <w:tcW w:w="495" w:type="dxa"/>
          </w:tcPr>
          <w:p w14:paraId="66A50CD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64E9FBA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7F6913C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7D29BE9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4582AC1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411179A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5673C59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4EB3ED5F" w14:textId="77777777">
        <w:tc>
          <w:tcPr>
            <w:tcW w:w="495" w:type="dxa"/>
          </w:tcPr>
          <w:p w14:paraId="130414B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MuscleTech</w:t>
            </w:r>
          </w:p>
        </w:tc>
        <w:tc>
          <w:tcPr>
            <w:tcW w:w="495" w:type="dxa"/>
          </w:tcPr>
          <w:p w14:paraId="1E9C074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62D0E5B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030AA2E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4A17916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05327D2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7CF741D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34A6A43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77F5844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20E16706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2.780</m:t>
                </m:r>
              </m:oMath>
            </m:oMathPara>
          </w:p>
        </w:tc>
        <w:tc>
          <w:tcPr>
            <w:tcW w:w="495" w:type="dxa"/>
          </w:tcPr>
          <w:p w14:paraId="023A1DF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0A9D06F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45220BD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462C8E6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6602AD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2259162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6CA84194" w14:textId="77777777">
        <w:tc>
          <w:tcPr>
            <w:tcW w:w="495" w:type="dxa"/>
          </w:tcPr>
          <w:p w14:paraId="67A6447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 xml:space="preserve">Optimum </w:t>
            </w:r>
            <w:r>
              <w:rPr>
                <w:rFonts w:eastAsia="Times New Roman" w:cs="Times New Roman"/>
                <w:szCs w:val="24"/>
              </w:rPr>
              <w:lastRenderedPageBreak/>
              <w:t>Nutrition</w:t>
            </w:r>
          </w:p>
        </w:tc>
        <w:tc>
          <w:tcPr>
            <w:tcW w:w="495" w:type="dxa"/>
          </w:tcPr>
          <w:p w14:paraId="709DFCE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lastRenderedPageBreak/>
              <w:t>0.057</w:t>
            </w:r>
          </w:p>
        </w:tc>
        <w:tc>
          <w:tcPr>
            <w:tcW w:w="495" w:type="dxa"/>
          </w:tcPr>
          <w:p w14:paraId="77FBD1B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12A8D19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717E4B2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0.110</w:t>
            </w:r>
          </w:p>
        </w:tc>
        <w:tc>
          <w:tcPr>
            <w:tcW w:w="495" w:type="dxa"/>
          </w:tcPr>
          <w:p w14:paraId="1516E0B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29B72DB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0.092</w:t>
            </w:r>
          </w:p>
        </w:tc>
        <w:tc>
          <w:tcPr>
            <w:tcW w:w="495" w:type="dxa"/>
          </w:tcPr>
          <w:p w14:paraId="736079A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5728B94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505924D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06E67D6F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1.085</m:t>
                </m:r>
              </m:oMath>
            </m:oMathPara>
          </w:p>
        </w:tc>
        <w:tc>
          <w:tcPr>
            <w:tcW w:w="495" w:type="dxa"/>
          </w:tcPr>
          <w:p w14:paraId="5366C97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294ABDC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335F714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6F8A9A6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33520576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3E1A0BE1" w14:textId="77777777">
        <w:tc>
          <w:tcPr>
            <w:tcW w:w="495" w:type="dxa"/>
          </w:tcPr>
          <w:p w14:paraId="0DE8B01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PEScience</w:t>
            </w:r>
          </w:p>
        </w:tc>
        <w:tc>
          <w:tcPr>
            <w:tcW w:w="495" w:type="dxa"/>
          </w:tcPr>
          <w:p w14:paraId="32B76C3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41BE82D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44AE79A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747DC5B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1816293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2536E31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45B2BC3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74EBD2D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1605414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62A6F8B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3AA08B34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2.399</m:t>
                </m:r>
              </m:oMath>
            </m:oMathPara>
          </w:p>
        </w:tc>
        <w:tc>
          <w:tcPr>
            <w:tcW w:w="495" w:type="dxa"/>
          </w:tcPr>
          <w:p w14:paraId="3C0913F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4350E9C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1224CCA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28CC3BA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0EFC300E" w14:textId="77777777">
        <w:tc>
          <w:tcPr>
            <w:tcW w:w="495" w:type="dxa"/>
          </w:tcPr>
          <w:p w14:paraId="08467AC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Pro Supps</w:t>
            </w:r>
          </w:p>
        </w:tc>
        <w:tc>
          <w:tcPr>
            <w:tcW w:w="495" w:type="dxa"/>
          </w:tcPr>
          <w:p w14:paraId="12E0D51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565AF6E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7ABE837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79C7132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6536703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747CF9D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798904C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1889C43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7839AED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57F69DF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2B17F23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50B3F2C2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1.561</m:t>
                </m:r>
              </m:oMath>
            </m:oMathPara>
          </w:p>
        </w:tc>
        <w:tc>
          <w:tcPr>
            <w:tcW w:w="495" w:type="dxa"/>
          </w:tcPr>
          <w:p w14:paraId="2274E0F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78E6E0B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4C485BF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3F6D020F" w14:textId="77777777">
        <w:tc>
          <w:tcPr>
            <w:tcW w:w="495" w:type="dxa"/>
          </w:tcPr>
          <w:p w14:paraId="7BCC341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Quest Nutrition</w:t>
            </w:r>
          </w:p>
        </w:tc>
        <w:tc>
          <w:tcPr>
            <w:tcW w:w="495" w:type="dxa"/>
          </w:tcPr>
          <w:p w14:paraId="63F7609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2441AC5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067E636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9B7097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DF28E1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0.020</w:t>
            </w:r>
          </w:p>
        </w:tc>
        <w:tc>
          <w:tcPr>
            <w:tcW w:w="495" w:type="dxa"/>
          </w:tcPr>
          <w:p w14:paraId="1D41F83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06DC83D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54B9ABF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7207D23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0.001</w:t>
            </w:r>
          </w:p>
        </w:tc>
        <w:tc>
          <w:tcPr>
            <w:tcW w:w="495" w:type="dxa"/>
          </w:tcPr>
          <w:p w14:paraId="31176E0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0.001</w:t>
            </w:r>
          </w:p>
        </w:tc>
        <w:tc>
          <w:tcPr>
            <w:tcW w:w="495" w:type="dxa"/>
          </w:tcPr>
          <w:p w14:paraId="6AE3EBDC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44DC4C6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526C2ACA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1.063</m:t>
                </m:r>
              </m:oMath>
            </m:oMathPara>
          </w:p>
        </w:tc>
        <w:tc>
          <w:tcPr>
            <w:tcW w:w="495" w:type="dxa"/>
          </w:tcPr>
          <w:p w14:paraId="1AB26EA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4A4B223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</w:tr>
      <w:tr w:rsidR="00FB4839" w14:paraId="43DCE39F" w14:textId="77777777">
        <w:tc>
          <w:tcPr>
            <w:tcW w:w="495" w:type="dxa"/>
          </w:tcPr>
          <w:p w14:paraId="53F4BE02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Universal Nut</w:t>
            </w:r>
            <w:r>
              <w:rPr>
                <w:rFonts w:eastAsia="Times New Roman" w:cs="Times New Roman"/>
                <w:szCs w:val="24"/>
              </w:rPr>
              <w:lastRenderedPageBreak/>
              <w:t>rition</w:t>
            </w:r>
          </w:p>
        </w:tc>
        <w:tc>
          <w:tcPr>
            <w:tcW w:w="495" w:type="dxa"/>
          </w:tcPr>
          <w:p w14:paraId="6F2A3448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lastRenderedPageBreak/>
              <w:t>0.057</w:t>
            </w:r>
          </w:p>
        </w:tc>
        <w:tc>
          <w:tcPr>
            <w:tcW w:w="495" w:type="dxa"/>
          </w:tcPr>
          <w:p w14:paraId="41249B0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345C328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500B873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654E18F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0020EED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0A7659B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795B6A4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4309675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5ACDAC9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1F63546F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40AADA8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758F1DD9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0E790ABE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1.324</m:t>
                </m:r>
              </m:oMath>
            </m:oMathPara>
          </w:p>
        </w:tc>
        <w:tc>
          <w:tcPr>
            <w:tcW w:w="495" w:type="dxa"/>
          </w:tcPr>
          <w:p w14:paraId="549DC6B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0.164</w:t>
            </w:r>
          </w:p>
        </w:tc>
      </w:tr>
      <w:tr w:rsidR="00FB4839" w14:paraId="4ADC0DCB" w14:textId="77777777">
        <w:tc>
          <w:tcPr>
            <w:tcW w:w="495" w:type="dxa"/>
          </w:tcPr>
          <w:p w14:paraId="0C152AC0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Vega</w:t>
            </w:r>
          </w:p>
        </w:tc>
        <w:tc>
          <w:tcPr>
            <w:tcW w:w="495" w:type="dxa"/>
          </w:tcPr>
          <w:p w14:paraId="2315AF0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0.057</w:t>
            </w:r>
          </w:p>
        </w:tc>
        <w:tc>
          <w:tcPr>
            <w:tcW w:w="495" w:type="dxa"/>
          </w:tcPr>
          <w:p w14:paraId="11E7E6D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0.007</w:t>
            </w:r>
          </w:p>
        </w:tc>
        <w:tc>
          <w:tcPr>
            <w:tcW w:w="495" w:type="dxa"/>
          </w:tcPr>
          <w:p w14:paraId="088EF33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0.074</w:t>
            </w:r>
          </w:p>
        </w:tc>
        <w:tc>
          <w:tcPr>
            <w:tcW w:w="495" w:type="dxa"/>
          </w:tcPr>
          <w:p w14:paraId="6F1622AE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0.111</w:t>
            </w:r>
          </w:p>
        </w:tc>
        <w:tc>
          <w:tcPr>
            <w:tcW w:w="495" w:type="dxa"/>
          </w:tcPr>
          <w:p w14:paraId="3F3D5DE7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304847F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0.093</w:t>
            </w:r>
          </w:p>
        </w:tc>
        <w:tc>
          <w:tcPr>
            <w:tcW w:w="495" w:type="dxa"/>
          </w:tcPr>
          <w:p w14:paraId="5FFD17BB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0.039</w:t>
            </w:r>
          </w:p>
        </w:tc>
        <w:tc>
          <w:tcPr>
            <w:tcW w:w="495" w:type="dxa"/>
          </w:tcPr>
          <w:p w14:paraId="0B8454B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0.081</w:t>
            </w:r>
          </w:p>
        </w:tc>
        <w:tc>
          <w:tcPr>
            <w:tcW w:w="495" w:type="dxa"/>
          </w:tcPr>
          <w:p w14:paraId="6EB222DA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0.317</w:t>
            </w:r>
          </w:p>
        </w:tc>
        <w:tc>
          <w:tcPr>
            <w:tcW w:w="495" w:type="dxa"/>
          </w:tcPr>
          <w:p w14:paraId="42EFFE81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0.913</w:t>
            </w:r>
          </w:p>
        </w:tc>
        <w:tc>
          <w:tcPr>
            <w:tcW w:w="495" w:type="dxa"/>
          </w:tcPr>
          <w:p w14:paraId="0C0377B4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0.010</w:t>
            </w:r>
          </w:p>
        </w:tc>
        <w:tc>
          <w:tcPr>
            <w:tcW w:w="495" w:type="dxa"/>
          </w:tcPr>
          <w:p w14:paraId="7C13E9E3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0.009</w:t>
            </w:r>
          </w:p>
        </w:tc>
        <w:tc>
          <w:tcPr>
            <w:tcW w:w="495" w:type="dxa"/>
          </w:tcPr>
          <w:p w14:paraId="23009DD5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0.000</w:t>
            </w:r>
          </w:p>
        </w:tc>
        <w:tc>
          <w:tcPr>
            <w:tcW w:w="495" w:type="dxa"/>
          </w:tcPr>
          <w:p w14:paraId="69B3AB4D" w14:textId="77777777" w:rsidR="00FB4839" w:rsidRDefault="00000000">
            <w:pPr>
              <w:pStyle w:val="Compact"/>
              <w:spacing w:before="0" w:after="0" w:line="480" w:lineRule="auto"/>
            </w:pPr>
            <w:r>
              <w:rPr>
                <w:rFonts w:eastAsia="Times New Roman" w:cs="Times New Roman"/>
                <w:szCs w:val="24"/>
              </w:rPr>
              <w:t>0.031</w:t>
            </w:r>
          </w:p>
        </w:tc>
        <w:tc>
          <w:tcPr>
            <w:tcW w:w="495" w:type="dxa"/>
          </w:tcPr>
          <w:p w14:paraId="2CBF8848" w14:textId="77777777" w:rsidR="00FB4839" w:rsidRDefault="00000000">
            <w:pPr>
              <w:pStyle w:val="Compact"/>
              <w:spacing w:before="0" w:after="0"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8.476</m:t>
                </m:r>
              </m:oMath>
            </m:oMathPara>
          </w:p>
        </w:tc>
      </w:tr>
    </w:tbl>
    <w:p w14:paraId="770A0434" w14:textId="77777777" w:rsidR="00FB4839" w:rsidRDefault="00000000">
      <w:pPr>
        <w:pStyle w:val="Heading3"/>
        <w:spacing w:before="0" w:after="0" w:line="480" w:lineRule="auto"/>
      </w:pPr>
      <w:bookmarkStart w:id="12" w:name="c.-additional-output-files"/>
      <w:bookmarkEnd w:id="11"/>
      <w:r>
        <w:rPr>
          <w:rFonts w:eastAsia="Times New Roman" w:cs="Times New Roman"/>
          <w:b/>
          <w:bCs/>
          <w:szCs w:val="24"/>
        </w:rPr>
        <w:t>C. Additional output files</w:t>
      </w:r>
    </w:p>
    <w:p w14:paraId="56502877" w14:textId="77777777" w:rsidR="00FB4839" w:rsidRDefault="00000000">
      <w:pPr>
        <w:pStyle w:val="FirstParagraph"/>
        <w:spacing w:before="0" w:after="0" w:line="480" w:lineRule="auto"/>
      </w:pPr>
      <w:r>
        <w:rPr>
          <w:rFonts w:eastAsia="Times New Roman" w:cs="Times New Roman"/>
        </w:rPr>
        <w:t xml:space="preserve">Full product-level elasticity matrices, brand matrices for Birthday Cake and Salted Caramel, per-SKU own elasticities, and hold-out prediction files are provided in </w:t>
      </w:r>
      <w:r>
        <w:rPr>
          <w:rStyle w:val="VerbatimChar"/>
          <w:rFonts w:eastAsia="Times New Roman" w:cs="Times New Roman"/>
        </w:rPr>
        <w:t>output/</w:t>
      </w:r>
      <w:r>
        <w:rPr>
          <w:rFonts w:eastAsia="Times New Roman" w:cs="Times New Roman"/>
        </w:rPr>
        <w:t xml:space="preserve"> (</w:t>
      </w:r>
      <w:r>
        <w:rPr>
          <w:rStyle w:val="VerbatimChar"/>
          <w:rFonts w:eastAsia="Times New Roman" w:cs="Times New Roman"/>
        </w:rPr>
        <w:t>elasticity_matrix_*.csv</w:t>
      </w:r>
      <w:r>
        <w:rPr>
          <w:rFonts w:eastAsia="Times New Roman" w:cs="Times New Roman"/>
        </w:rPr>
        <w:t xml:space="preserve">, </w:t>
      </w:r>
      <w:r>
        <w:rPr>
          <w:rStyle w:val="VerbatimChar"/>
          <w:rFonts w:eastAsia="Times New Roman" w:cs="Times New Roman"/>
        </w:rPr>
        <w:t>brand_matrix_*.csv</w:t>
      </w:r>
      <w:r>
        <w:rPr>
          <w:rFonts w:eastAsia="Times New Roman" w:cs="Times New Roman"/>
        </w:rPr>
        <w:t xml:space="preserve">, </w:t>
      </w:r>
      <w:r>
        <w:rPr>
          <w:rStyle w:val="VerbatimChar"/>
          <w:rFonts w:eastAsia="Times New Roman" w:cs="Times New Roman"/>
        </w:rPr>
        <w:t>own_elasticities.csv</w:t>
      </w:r>
      <w:r>
        <w:rPr>
          <w:rFonts w:eastAsia="Times New Roman" w:cs="Times New Roman"/>
        </w:rPr>
        <w:t xml:space="preserve">, </w:t>
      </w:r>
      <w:r>
        <w:rPr>
          <w:rStyle w:val="VerbatimChar"/>
          <w:rFonts w:eastAsia="Times New Roman" w:cs="Times New Roman"/>
        </w:rPr>
        <w:t>panel_holdout_predictions.csv</w:t>
      </w:r>
      <w:r>
        <w:rPr>
          <w:rFonts w:eastAsia="Times New Roman" w:cs="Times New Roman"/>
        </w:rPr>
        <w:t xml:space="preserve">, </w:t>
      </w:r>
      <w:r>
        <w:rPr>
          <w:rStyle w:val="VerbatimChar"/>
          <w:rFonts w:eastAsia="Times New Roman" w:cs="Times New Roman"/>
        </w:rPr>
        <w:t>estimation_summary.csv</w:t>
      </w:r>
      <w:r>
        <w:rPr>
          <w:rFonts w:eastAsia="Times New Roman" w:cs="Times New Roman"/>
        </w:rPr>
        <w:t xml:space="preserve">, </w:t>
      </w:r>
      <w:r>
        <w:rPr>
          <w:rStyle w:val="VerbatimChar"/>
          <w:rFonts w:eastAsia="Times New Roman" w:cs="Times New Roman"/>
        </w:rPr>
        <w:t>reference_results.json</w:t>
      </w:r>
      <w:r>
        <w:rPr>
          <w:rFonts w:eastAsia="Times New Roman" w:cs="Times New Roman"/>
        </w:rPr>
        <w:t xml:space="preserve">). Reproduction scripts: </w:t>
      </w:r>
      <w:r>
        <w:rPr>
          <w:rStyle w:val="VerbatimChar"/>
          <w:rFonts w:eastAsia="Times New Roman" w:cs="Times New Roman"/>
        </w:rPr>
        <w:t>scripts/nested_logit_analysis.m</w:t>
      </w:r>
      <w:r>
        <w:rPr>
          <w:rFonts w:eastAsia="Times New Roman" w:cs="Times New Roman"/>
        </w:rPr>
        <w:t xml:space="preserve"> (MATLAB/GNU Octave) and </w:t>
      </w:r>
      <w:r>
        <w:rPr>
          <w:rStyle w:val="VerbatimChar"/>
          <w:rFonts w:eastAsia="Times New Roman" w:cs="Times New Roman"/>
        </w:rPr>
        <w:t>scripts/reference_analysis.py</w:t>
      </w:r>
      <w:r>
        <w:rPr>
          <w:rFonts w:eastAsia="Times New Roman" w:cs="Times New Roman"/>
        </w:rPr>
        <w:t xml:space="preserve"> (Python), which independently reproduce all reported statistics to within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eastAsia="Times New Roman" w:cs="Times New Roman"/>
        </w:rPr>
        <w:t>.</w:t>
      </w:r>
      <w:bookmarkEnd w:id="7"/>
      <w:bookmarkEnd w:id="12"/>
    </w:p>
    <w:sectPr w:rsidR="00FB483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50E76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C406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57202842">
    <w:abstractNumId w:val="0"/>
  </w:num>
  <w:num w:numId="2" w16cid:durableId="7263446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839"/>
    <w:rsid w:val="00931CB6"/>
    <w:rsid w:val="00B25C9E"/>
    <w:rsid w:val="00CD7138"/>
    <w:rsid w:val="00FB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F0696"/>
  <w15:docId w15:val="{DE900827-B870-4448-862A-0BD53987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Theme="majorEastAsia" w:hAnsi="Times New Roman" w:cstheme="majorBidi"/>
      <w:color w:val="595959" w:themeColor="text1" w:themeTint="A6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Theme="majorEastAsia" w:hAnsi="Times New Roman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hAnsi="Times New Roman"/>
      <w:szCs w:val="20"/>
      <w:lang w:val="en-IN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hAnsi="Times New Roman"/>
      <w:sz w:val="24"/>
    </w:rPr>
  </w:style>
  <w:style w:type="character" w:customStyle="1" w:styleId="VerbatimChar">
    <w:name w:val="Verbatim Char"/>
    <w:basedOn w:val="CaptionChar"/>
    <w:link w:val="SourceCode"/>
    <w:rPr>
      <w:rFonts w:ascii="Times New Roman" w:hAnsi="Times New Roman"/>
      <w:sz w:val="24"/>
    </w:rPr>
  </w:style>
  <w:style w:type="character" w:customStyle="1" w:styleId="SectionNumber">
    <w:name w:val="Section Number"/>
    <w:basedOn w:val="CaptionChar"/>
    <w:rPr>
      <w:rFonts w:ascii="Times New Roman" w:hAnsi="Times New Roman"/>
      <w:sz w:val="24"/>
    </w:rPr>
  </w:style>
  <w:style w:type="character" w:styleId="FootnoteReference">
    <w:name w:val="footnote reference"/>
    <w:basedOn w:val="CaptionChar"/>
    <w:rPr>
      <w:rFonts w:ascii="Times New Roman" w:hAnsi="Times New Roman"/>
      <w:sz w:val="24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color w:val="156082" w:themeColor="accent1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  <w:sz w:val="24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  <w:sz w:val="24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  <w:sz w:val="24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  <w:sz w:val="24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  <w:sz w:val="24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  <w:sz w:val="24"/>
    </w:rPr>
  </w:style>
  <w:style w:type="character" w:customStyle="1" w:styleId="NormalTok">
    <w:name w:val="NormalTok"/>
    <w:basedOn w:val="VerbatimChar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2968</Words>
  <Characters>18165</Characters>
  <Application>Microsoft Office Word</Application>
  <DocSecurity>0</DocSecurity>
  <Lines>1068</Lines>
  <Paragraphs>603</Paragraphs>
  <ScaleCrop>false</ScaleCrop>
  <Company/>
  <LinksUpToDate>false</LinksUpToDate>
  <CharactersWithSpaces>20530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Lnu, Aastha</cp:lastModifiedBy>
  <cp:revision>3</cp:revision>
  <dcterms:created xsi:type="dcterms:W3CDTF">2026-10-05T16:34:00Z</dcterms:created>
  <dcterms:modified xsi:type="dcterms:W3CDTF">2026-10-06T01:17:00Z</dcterms:modified>
</cp:coreProperties>
</file>