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Times New Roman" w:cs="Times New Roman" w:eastAsia="Times New Roman" w:hAnsi="Times New Roman"/>
          <w:b/>
          <w:bCs/>
          <w:sz w:val="28"/>
          <w:szCs w:val="28"/>
        </w:rPr>
        <w:t xml:space="preserve">GeneBlockchain: A Decentralized, Privacy-Preserving Framework for Secure Genomic Data Sharing Using Blockchain, Smart Contracts, and IPFS</w:t>
      </w:r>
    </w:p>
    <w:p>
      <w:pPr>
        <w:spacing w:before="80" w:after="80"/>
        <w:jc w:val="center"/>
      </w:pPr>
      <w:r>
        <w:rPr>
          <w:rFonts w:ascii="Times New Roman" w:cs="Times New Roman" w:eastAsia="Times New Roman" w:hAnsi="Times New Roman"/>
          <w:b/>
          <w:bCs/>
          <w:sz w:val="22"/>
          <w:szCs w:val="22"/>
        </w:rPr>
        <w:t xml:space="preserve">Aastha Thakker</w:t>
      </w:r>
    </w:p>
    <w:p>
      <w:pPr>
        <w:spacing w:before="40" w:after="40"/>
        <w:jc w:val="center"/>
      </w:pPr>
      <w:r>
        <w:rPr>
          <w:rFonts w:ascii="Times New Roman" w:cs="Times New Roman" w:eastAsia="Times New Roman" w:hAnsi="Times New Roman"/>
          <w:sz w:val="20"/>
          <w:szCs w:val="20"/>
        </w:rPr>
        <w:t xml:space="preserve">Department of Computer Science and Engineering</w:t>
      </w:r>
    </w:p>
    <w:p>
      <w:pPr>
        <w:spacing w:before="40" w:after="200"/>
        <w:jc w:val="center"/>
      </w:pPr>
      <w:r>
        <w:rPr>
          <w:rFonts w:ascii="Times New Roman" w:cs="Times New Roman" w:eastAsia="Times New Roman" w:hAnsi="Times New Roman"/>
          <w:sz w:val="20"/>
          <w:szCs w:val="20"/>
        </w:rPr>
        <w:t xml:space="preserve">Email: aastha.thakker@research.edu</w:t>
      </w:r>
    </w:p>
    <w:p>
      <w:pPr>
        <w:spacing w:before="200" w:after="100"/>
        <w:jc w:val="left"/>
      </w:pPr>
      <w:r>
        <w:rPr>
          <w:rFonts w:ascii="Times New Roman" w:cs="Times New Roman" w:eastAsia="Times New Roman" w:hAnsi="Times New Roman"/>
          <w:b/>
          <w:bCs/>
          <w:sz w:val="22"/>
          <w:szCs w:val="22"/>
        </w:rPr>
        <w:t xml:space="preserve">ABSTRACT</w:t>
      </w:r>
    </w:p>
    <w:p>
      <w:pPr>
        <w:spacing w:before="60" w:after="60" w:line="276"/>
        <w:ind w:firstLine="720"/>
        <w:jc w:val="both"/>
      </w:pPr>
      <w:r>
        <w:rPr>
          <w:rFonts w:ascii="Times New Roman" w:cs="Times New Roman" w:eastAsia="Times New Roman" w:hAnsi="Times New Roman"/>
          <w:sz w:val="20"/>
          <w:szCs w:val="20"/>
        </w:rPr>
        <w:t xml:space="preserve">The proliferation of next-generation sequencing technologies has generated genomic datasets of immense scientific value, yet their broader utility remains constrained by persistent challenges in privacy protection, unauthorized access, and consent management. Centralized genomic repositories introduce single points of failure and place control in the hands of institutional intermediaries rather than the individuals whose data is at stake. This paper presents GeneBlockchain, a decentralized, privacy-preserving framework that integrates Ethereum-based smart contracts, the InterPlanetary File System (IPFS), and wallet-based authentication via MetaMask to address these limitations. The proposed architecture introduces a Decentralized Autonomous Approval (DAA) mechanism for peer-governed network participation, a dynamic consent engine that enforces time-bound, patient-controlled access permissions on-chain, and a tri-nodal storage model separating blockchain state, encrypted content, and queryable metadata. Security is realized through AES-256-CBC encryption, SHA-256 content addressing, and Solidity-enforced role-based access control—without dependence on specialized hardware such as Intel SGX. We present a comprehensive quantitative analysis across eight performance metrics including transaction latency, gas consumption, throughput, and IPFS retrieval time, alongside a thorough qualitative assessment of the security model. Experimental results demonstrate that GeneBlockchain achieves sub-two-second transaction confirmation, consistent data integrity through cryptographic anchoring, and scalable architecture suitable for consortium deployment. The system's design is fully reproducible using a Hardhat development environment and Ethereum testnets.</w:t>
      </w:r>
    </w:p>
    <w:p>
      <w:pPr>
        <w:spacing w:before="40" w:after="40"/>
      </w:pPr>
      <w:r>
        <w:rPr>
          <w:sz w:val="20"/>
          <w:szCs w:val="20"/>
        </w:rPr>
        <w:t xml:space="preserve"/>
      </w:r>
    </w:p>
    <w:p>
      <w:pPr>
        <w:spacing w:before="60" w:after="60"/>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—Blockchain, Genomic Data Sharing, IPFS, Smart Contracts, Decentralized Access Control, Privacy-Preserving Systems, Ethereum, Consent Management, MetaMask, Data Security.</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I. INTRODUCTION</w:t>
      </w:r>
    </w:p>
    <w:p>
      <w:pPr>
        <w:spacing w:before="60" w:after="60" w:line="276"/>
        <w:ind w:firstLine="720"/>
        <w:jc w:val="both"/>
      </w:pPr>
      <w:r>
        <w:rPr>
          <w:rFonts w:ascii="Times New Roman" w:cs="Times New Roman" w:eastAsia="Times New Roman" w:hAnsi="Times New Roman"/>
          <w:sz w:val="20"/>
          <w:szCs w:val="20"/>
        </w:rPr>
        <w:t xml:space="preserve">The human genome encodes approximately 3.2 billion base pairs of genetic information, representing one of the most sensitive categories of personal data that exists. Unlike a password, a genomic sequence cannot be changed once disclosed; its implications extend beyond the individual to biological relatives and descendants [1]. The rapid advancement of Next-Generation Sequencing (NGS) technologies has reduced the cost of whole-genome sequencing to under $600 [2], generating an explosion of clinically and scientifically actionable data. By one projection, between 100 million and two billion human genomes could be sequenced by 2025 [3], producing datasets measured in petabytes annually.</w:t>
      </w:r>
    </w:p>
    <w:p>
      <w:pPr>
        <w:spacing w:before="60" w:after="60" w:line="276"/>
        <w:ind w:firstLine="720"/>
        <w:jc w:val="both"/>
      </w:pPr>
      <w:r>
        <w:rPr>
          <w:rFonts w:ascii="Times New Roman" w:cs="Times New Roman" w:eastAsia="Times New Roman" w:hAnsi="Times New Roman"/>
          <w:sz w:val="20"/>
          <w:szCs w:val="20"/>
        </w:rPr>
        <w:t xml:space="preserve">For this data to fulfill its scientific potential—enabling advances in oncology, rare disease diagnosis, pharmacogenomics, and population health—it must be shared across institutional boundaries. Yet the current infrastructure for genomic data sharing is fundamentally misaligned with this requirement. Dominant platforms rely on centralized repositories managed by institutional administrators, where patients surrender practical control once data is submitted [4]. Consent mechanisms are static, revocation is often procedurally impossible, and audit trails are internal to the managing institution rather than externally verifiable [5].</w:t>
      </w:r>
    </w:p>
    <w:p>
      <w:pPr>
        <w:spacing w:before="60" w:after="60" w:line="276"/>
        <w:ind w:firstLine="720"/>
        <w:jc w:val="both"/>
      </w:pPr>
      <w:r>
        <w:rPr>
          <w:rFonts w:ascii="Times New Roman" w:cs="Times New Roman" w:eastAsia="Times New Roman" w:hAnsi="Times New Roman"/>
          <w:sz w:val="20"/>
          <w:szCs w:val="20"/>
        </w:rPr>
        <w:t xml:space="preserve">Beyond these governance failures, centralized architectures introduce concrete security vulnerabilities. A successful breach of a genomic repository does not merely expose financial records but permanently compromises deeply personal biological information about thousands or millions of individuals and their families. The United States National Institutes of Health (NIH) and analogous bodies worldwide have responded with increasingly restrictive data access policies, but these policies paradoxically create new bottlenecks that slow research collaboration [6].</w:t>
      </w:r>
    </w:p>
    <w:p>
      <w:pPr>
        <w:spacing w:before="60" w:after="60" w:line="276"/>
        <w:ind w:firstLine="720"/>
        <w:jc w:val="both"/>
      </w:pPr>
      <w:r>
        <w:rPr>
          <w:rFonts w:ascii="Times New Roman" w:cs="Times New Roman" w:eastAsia="Times New Roman" w:hAnsi="Times New Roman"/>
          <w:sz w:val="20"/>
          <w:szCs w:val="20"/>
        </w:rPr>
        <w:t xml:space="preserve">Blockchain technology offers a theoretically compelling alternative. Its core properties—immutability, transparency, decentralized consensus, and programmable execution via smart contracts—map naturally onto the requirements of a trustworthy genomic data sharing infrastructure [7]. Several research groups have explored blockchain-based approaches, from commercial genomic marketplaces such as Nebula Genomics [8] and EncrypGen [9], to academic systems such as GenShare [10], ConsentChain [11], and frameworks built on Hyperledger Fabric [12]. However, these efforts collectively exhibit several recurring limitations: dependence on specialized hardware (Intel SGX), reliance on centralized certification authorities for network admission, poor scalability for large genomic files, and insufficient practical reproducibility for independent deployment.</w:t>
      </w:r>
    </w:p>
    <w:p>
      <w:pPr>
        <w:spacing w:before="60" w:after="60" w:line="276"/>
        <w:ind w:firstLine="720"/>
        <w:jc w:val="both"/>
      </w:pPr>
      <w:r>
        <w:rPr>
          <w:rFonts w:ascii="Times New Roman" w:cs="Times New Roman" w:eastAsia="Times New Roman" w:hAnsi="Times New Roman"/>
          <w:sz w:val="20"/>
          <w:szCs w:val="20"/>
        </w:rPr>
        <w:t xml:space="preserve">This paper presents GeneBlockchain, a practical, hardware-agnostic, and fully decentralized framework that addresses these gaps. The system makes the following primary contributions:</w:t>
      </w:r>
    </w:p>
    <w:p>
      <w:pPr>
        <w:pStyle w:val="ListParagraph"/>
        <w:numPr>
          <w:ilvl w:val="0"/>
          <w:numId w:val="2"/>
        </w:numPr>
        <w:spacing w:before="60" w:after="40"/>
        <w:ind w:left="720"/>
      </w:pPr>
      <w:r>
        <w:rPr>
          <w:rFonts w:ascii="Times New Roman" w:cs="Times New Roman" w:eastAsia="Times New Roman" w:hAnsi="Times New Roman"/>
          <w:sz w:val="20"/>
          <w:szCs w:val="20"/>
        </w:rPr>
        <w:t xml:space="preserve">A Decentralized Autonomous Approval (DAA) mechanism that replaces centralized network admission with an on-chain voting protocol, eliminating governance bottlenecks and reducing institutional trust assumptions.</w:t>
      </w:r>
    </w:p>
    <w:p>
      <w:pPr>
        <w:pStyle w:val="ListParagraph"/>
        <w:numPr>
          <w:ilvl w:val="0"/>
          <w:numId w:val="2"/>
        </w:numPr>
        <w:spacing w:before="40" w:after="40"/>
        <w:ind w:left="720"/>
      </w:pPr>
      <w:r>
        <w:rPr>
          <w:rFonts w:ascii="Times New Roman" w:cs="Times New Roman" w:eastAsia="Times New Roman" w:hAnsi="Times New Roman"/>
          <w:sz w:val="20"/>
          <w:szCs w:val="20"/>
        </w:rPr>
        <w:t xml:space="preserve">A dynamic, time-bound consent engine implemented in Solidity that allows patients to grant, modify, or revoke access permissions with immediate on-chain effect, without relying on institutional intermediaries.</w:t>
      </w:r>
    </w:p>
    <w:p>
      <w:pPr>
        <w:pStyle w:val="ListParagraph"/>
        <w:numPr>
          <w:ilvl w:val="0"/>
          <w:numId w:val="2"/>
        </w:numPr>
        <w:spacing w:before="40" w:after="40"/>
        <w:ind w:left="720"/>
      </w:pPr>
      <w:r>
        <w:rPr>
          <w:rFonts w:ascii="Times New Roman" w:cs="Times New Roman" w:eastAsia="Times New Roman" w:hAnsi="Times New Roman"/>
          <w:sz w:val="20"/>
          <w:szCs w:val="20"/>
        </w:rPr>
        <w:t xml:space="preserve">A tri-nodal hybrid storage architecture combining Ethereum smart contracts for access state, IPFS for encrypted content-addressed storage, and MongoDB for high-performance metadata querying.</w:t>
      </w:r>
    </w:p>
    <w:p>
      <w:pPr>
        <w:pStyle w:val="ListParagraph"/>
        <w:numPr>
          <w:ilvl w:val="0"/>
          <w:numId w:val="2"/>
        </w:numPr>
        <w:spacing w:before="40" w:after="60"/>
        <w:ind w:left="720"/>
      </w:pPr>
      <w:r>
        <w:rPr>
          <w:rFonts w:ascii="Times New Roman" w:cs="Times New Roman" w:eastAsia="Times New Roman" w:hAnsi="Times New Roman"/>
          <w:sz w:val="20"/>
          <w:szCs w:val="20"/>
        </w:rPr>
        <w:t xml:space="preserve">A comprehensive security model employing MetaMask wallet authentication, AES-256-CBC encryption, SHA-256 content hashing, and role-based access control, without hardware dependencies.</w:t>
      </w:r>
    </w:p>
    <w:p>
      <w:pPr>
        <w:spacing w:before="60" w:after="60" w:line="276"/>
        <w:ind w:firstLine="720"/>
        <w:jc w:val="both"/>
      </w:pPr>
      <w:r>
        <w:rPr>
          <w:rFonts w:ascii="Times New Roman" w:cs="Times New Roman" w:eastAsia="Times New Roman" w:hAnsi="Times New Roman"/>
          <w:sz w:val="20"/>
          <w:szCs w:val="20"/>
        </w:rPr>
        <w:t xml:space="preserve">The remainder of this paper is organized as follows. Section II reviews existing blockchain-based genomic data sharing systems and identifies the gaps that motivate this work. Section III formulates the problem statement. Section IV describes the proposed methodology and cryptographic specifications. Section V details the system architecture. Section VI presents the security model. Section VII discusses implementation specifics. Sections VIII and IX provide quantitative and qualitative analyses, respectively. Section X presents results and discussion. Sections XI and XII address limitations and future work, followed by conclusions and references.</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II. LITERATURE REVIEW</w:t>
      </w:r>
    </w:p>
    <w:p>
      <w:pPr>
        <w:spacing w:before="60" w:after="60" w:line="276"/>
        <w:ind w:firstLine="720"/>
        <w:jc w:val="both"/>
      </w:pPr>
      <w:r>
        <w:rPr>
          <w:rFonts w:ascii="Times New Roman" w:cs="Times New Roman" w:eastAsia="Times New Roman" w:hAnsi="Times New Roman"/>
          <w:sz w:val="20"/>
          <w:szCs w:val="20"/>
        </w:rPr>
        <w:t xml:space="preserve">The application of blockchain in genomics has grown substantially since Genecoin's founding in 2014 as the first known attempt to store genetic data on the Bitcoin ledger [13]. A systematic literature review by Alghazwi et al. [14] surveyed 49 papers across commercial and non-commercial applications, cataloguing motivations ranging from immutability and decentralization to smart contract enforcement and incentive mechanisms. We organize relevant prior work under four functional themes: data sharing, storage, consent management, and security.</w:t>
      </w:r>
    </w:p>
    <w:p>
      <w:pPr>
        <w:spacing w:before="160" w:after="80"/>
        <w:jc w:val="left"/>
      </w:pPr>
      <w:r>
        <w:rPr>
          <w:rFonts w:ascii="Times New Roman" w:cs="Times New Roman" w:eastAsia="Times New Roman" w:hAnsi="Times New Roman"/>
          <w:b/>
          <w:bCs/>
          <w:sz w:val="20"/>
          <w:szCs w:val="20"/>
        </w:rPr>
        <w:t xml:space="preserve">A. Blockchain-Based Data Sharing</w:t>
      </w:r>
    </w:p>
    <w:p>
      <w:pPr>
        <w:spacing w:before="60" w:after="60" w:line="276"/>
        <w:ind w:firstLine="720"/>
        <w:jc w:val="both"/>
      </w:pPr>
      <w:r>
        <w:rPr>
          <w:rFonts w:ascii="Times New Roman" w:cs="Times New Roman" w:eastAsia="Times New Roman" w:hAnsi="Times New Roman"/>
          <w:sz w:val="20"/>
          <w:szCs w:val="20"/>
        </w:rPr>
        <w:t xml:space="preserve">Several academic systems have proposed blockchain as an infrastructure layer for genomic data sharing without financial exchange. The Cancer Gene Trust (CGT) [15] used Ethereum and IPFS to create a decentralized sharing platform for cancer genomic and clinical data, demonstrating the feasibility of blockchain-authenticated open-access research datasets. CrypDist [16] extended this approach to whole-genome data using a custom private blockchain with compression techniques, though the centralized cloud storage component undermined the decentralization premise. Shuaib et al. [17] proposed a layered blockchain framework for healthcare and genomics using consortium chains, addressing some governance concerns but providing limited consent management functionality.</w:t>
      </w:r>
    </w:p>
    <w:p>
      <w:pPr>
        <w:spacing w:before="160" w:after="80"/>
        <w:jc w:val="left"/>
      </w:pPr>
      <w:r>
        <w:rPr>
          <w:rFonts w:ascii="Times New Roman" w:cs="Times New Roman" w:eastAsia="Times New Roman" w:hAnsi="Times New Roman"/>
          <w:b/>
          <w:bCs/>
          <w:sz w:val="20"/>
          <w:szCs w:val="20"/>
        </w:rPr>
        <w:t xml:space="preserve">B. Storage Architectures</w:t>
      </w:r>
    </w:p>
    <w:p>
      <w:pPr>
        <w:spacing w:before="60" w:after="60" w:line="276"/>
        <w:ind w:firstLine="720"/>
        <w:jc w:val="both"/>
      </w:pPr>
      <w:r>
        <w:rPr>
          <w:rFonts w:ascii="Times New Roman" w:cs="Times New Roman" w:eastAsia="Times New Roman" w:hAnsi="Times New Roman"/>
          <w:sz w:val="20"/>
          <w:szCs w:val="20"/>
        </w:rPr>
        <w:t xml:space="preserve">The fundamental tension between genomic data sizes—typically 100–300 GB per whole-genome sequencing sample—and blockchain transaction limits has driven most serious proposals toward hybrid on-chain/off-chain models [14]. SAMchain [18] explored storing Sequence Alignment Map files directly on a private MultiChain instance using compression and nested indexing, demonstrating feasibility but with significant throughput constraints. IPFS has emerged as the dominant off-chain storage choice in the literature [15, 19], owing to its content-addressed architecture that produces a cryptographic identifier (CID) deterministically from file content, making tampering immediately detectable.</w:t>
      </w:r>
    </w:p>
    <w:p>
      <w:pPr>
        <w:spacing w:before="60" w:after="60" w:line="276"/>
        <w:ind w:firstLine="720"/>
        <w:jc w:val="both"/>
      </w:pPr>
      <w:r>
        <w:rPr>
          <w:rFonts w:ascii="Times New Roman" w:cs="Times New Roman" w:eastAsia="Times New Roman" w:hAnsi="Times New Roman"/>
          <w:sz w:val="20"/>
          <w:szCs w:val="20"/>
        </w:rPr>
        <w:t xml:space="preserve">The hOCBS framework [19] adopted a privacy-preserving on-chain/off-chain design for general healthcare data, storing file hashes and access policies on Ethereum while keeping actual records off-chain. This model aligns closely with our approach, though hOCBS lacked dynamic consent management and a decentralized governance mechanism.</w:t>
      </w:r>
    </w:p>
    <w:p>
      <w:pPr>
        <w:spacing w:before="160" w:after="80"/>
        <w:jc w:val="left"/>
      </w:pPr>
      <w:r>
        <w:rPr>
          <w:rFonts w:ascii="Times New Roman" w:cs="Times New Roman" w:eastAsia="Times New Roman" w:hAnsi="Times New Roman"/>
          <w:b/>
          <w:bCs/>
          <w:sz w:val="20"/>
          <w:szCs w:val="20"/>
        </w:rPr>
        <w:t xml:space="preserve">C. Consent Management</w:t>
      </w:r>
    </w:p>
    <w:p>
      <w:pPr>
        <w:spacing w:before="60" w:after="60" w:line="276"/>
        <w:ind w:firstLine="720"/>
        <w:jc w:val="both"/>
      </w:pPr>
      <w:r>
        <w:rPr>
          <w:rFonts w:ascii="Times New Roman" w:cs="Times New Roman" w:eastAsia="Times New Roman" w:hAnsi="Times New Roman"/>
          <w:sz w:val="20"/>
          <w:szCs w:val="20"/>
        </w:rPr>
        <w:t xml:space="preserve">Dynamic consent—the ability for patients to update access permissions in real time—has received dedicated attention. Dwarna [20] implemented dynamic consent for biobanking using Hyperledger Fabric, storing consent decisions immutably on-chain while keeping patient records off-chain. ConsentChain [11], built on a private Ethereum network using Hyperledger Besu, introduced an ontology model for machine-readable consent elements (data type, role, purpose) and demonstrated average transaction throughput of 13.59 tps. Ma et al. [21] proposed PHDMF, a flexible health data management framework on Hyperledger that emphasized scalable consent and data access management.</w:t>
      </w:r>
    </w:p>
    <w:p>
      <w:pPr>
        <w:spacing w:before="60" w:after="60" w:line="276"/>
        <w:ind w:firstLine="720"/>
        <w:jc w:val="both"/>
      </w:pPr>
      <w:r>
        <w:rPr>
          <w:rFonts w:ascii="Times New Roman" w:cs="Times New Roman" w:eastAsia="Times New Roman" w:hAnsi="Times New Roman"/>
          <w:sz w:val="20"/>
          <w:szCs w:val="20"/>
        </w:rPr>
        <w:t xml:space="preserve">A recurring limitation in these systems is that consent state is stored in centralized or semi-centralized databases, with the blockchain used only as an audit log rather than the authoritative consent registry. GeneBlockchain corrects this by making the smart contract itself the authoritative source of consent truth.</w:t>
      </w:r>
    </w:p>
    <w:p>
      <w:pPr>
        <w:spacing w:before="160" w:after="80"/>
        <w:jc w:val="left"/>
      </w:pPr>
      <w:r>
        <w:rPr>
          <w:rFonts w:ascii="Times New Roman" w:cs="Times New Roman" w:eastAsia="Times New Roman" w:hAnsi="Times New Roman"/>
          <w:b/>
          <w:bCs/>
          <w:sz w:val="20"/>
          <w:szCs w:val="20"/>
        </w:rPr>
        <w:t xml:space="preserve">D. Security and Privacy Techniques</w:t>
      </w:r>
    </w:p>
    <w:p>
      <w:pPr>
        <w:spacing w:before="60" w:after="60" w:line="276"/>
        <w:ind w:firstLine="720"/>
        <w:jc w:val="both"/>
      </w:pPr>
      <w:r>
        <w:rPr>
          <w:rFonts w:ascii="Times New Roman" w:cs="Times New Roman" w:eastAsia="Times New Roman" w:hAnsi="Times New Roman"/>
          <w:sz w:val="20"/>
          <w:szCs w:val="20"/>
        </w:rPr>
        <w:t xml:space="preserve">Homomorphic Encryption (HE) has attracted significant interest for enabling computation on encrypted genomic data without decryption [22]. GenShare [10], the most directly comparable prior work, combined Paillier's Partially Homomorphic Encryption with Intel SGX Trusted Execution Environments and a dual blockchain architecture (Hyperledger Fabric for data owners, Ethereum for researchers). This system demonstrated impressive privacy preservation but requires SGX-capable hardware, which introduces hardware supply chain trust assumptions and limits deployment flexibility.</w:t>
      </w:r>
    </w:p>
    <w:p>
      <w:pPr>
        <w:spacing w:before="60" w:after="60" w:line="276"/>
        <w:ind w:firstLine="720"/>
        <w:jc w:val="both"/>
      </w:pPr>
      <w:r>
        <w:rPr>
          <w:rFonts w:ascii="Times New Roman" w:cs="Times New Roman" w:eastAsia="Times New Roman" w:hAnsi="Times New Roman"/>
          <w:sz w:val="20"/>
          <w:szCs w:val="20"/>
        </w:rPr>
        <w:t xml:space="preserve">Local Differential Privacy (LDP) was applied to genomic data by Park et al. [23], who used the RAPPOR scheme to irreversibly modify privacy-sensitive gene sections before sharing with external researchers, achieving provable ε-LDP guarantees. While mathematically rigorous, LDP reduces data utility and is not appropriate for all research use cases requiring precise genetic information.</w:t>
      </w:r>
    </w:p>
    <w:p>
      <w:pPr>
        <w:spacing w:before="60" w:after="60" w:line="276"/>
        <w:ind w:firstLine="720"/>
        <w:jc w:val="both"/>
      </w:pPr>
      <w:r>
        <w:rPr>
          <w:rFonts w:ascii="Times New Roman" w:cs="Times New Roman" w:eastAsia="Times New Roman" w:hAnsi="Times New Roman"/>
          <w:sz w:val="20"/>
          <w:szCs w:val="20"/>
        </w:rPr>
        <w:t xml:space="preserve">Zero-Knowledge Proofs (ZKPs) and Secure Multi-Party Computation (MPC) have been proposed as future directions by multiple authors [14, 24], but practical implementations at genomic scale remain computationally prohibitive.</w:t>
      </w:r>
    </w:p>
    <w:p>
      <w:pPr>
        <w:spacing w:before="160" w:after="80"/>
        <w:jc w:val="left"/>
      </w:pPr>
      <w:r>
        <w:rPr>
          <w:rFonts w:ascii="Times New Roman" w:cs="Times New Roman" w:eastAsia="Times New Roman" w:hAnsi="Times New Roman"/>
          <w:b/>
          <w:bCs/>
          <w:sz w:val="20"/>
          <w:szCs w:val="20"/>
        </w:rPr>
        <w:t xml:space="preserve">E. Identified Gaps</w:t>
      </w:r>
    </w:p>
    <w:p>
      <w:pPr>
        <w:spacing w:before="60" w:after="60" w:line="276"/>
        <w:ind w:firstLine="720"/>
        <w:jc w:val="both"/>
      </w:pPr>
      <w:r>
        <w:rPr>
          <w:rFonts w:ascii="Times New Roman" w:cs="Times New Roman" w:eastAsia="Times New Roman" w:hAnsi="Times New Roman"/>
          <w:sz w:val="20"/>
          <w:szCs w:val="20"/>
        </w:rPr>
        <w:t xml:space="preserve">Synthesizing the literature, five persistent gaps motivated the present work. First, most proposed systems rely on specialized hardware (SGX) or complex cryptographic protocols that impede deployment. Second, network admission in permissioned systems typically depends on a central authority whose trustworthiness is assumed rather than verified. Third, consent management is frequently implemented off-chain or in semi-centralized databases rather than enforced natively by smart contracts. Fourth, very few systems implement wallet-based authentication, opting instead for username-password or certificate-based approaches that replicate the vulnerabilities of traditional systems. Fifth, comprehensive, reproducible quantitative performance analyses across multiple metrics are rare in this literature, making it difficult to compare proposals or evaluate scalability.</w:t>
      </w:r>
    </w:p>
    <w:p>
      <w:pPr>
        <w:spacing w:before="40" w:after="40"/>
      </w:pPr>
      <w:r>
        <w:rPr>
          <w:sz w:val="20"/>
          <w:szCs w:val="20"/>
        </w:rPr>
        <w:t xml:space="preserve"/>
      </w:r>
    </w:p>
    <w:p>
      <w:pPr>
        <w:spacing w:before="120" w:after="80"/>
        <w:jc w:val="center"/>
      </w:pPr>
      <w:r>
        <w:rPr>
          <w:rFonts w:ascii="Times New Roman" w:cs="Times New Roman" w:eastAsia="Times New Roman" w:hAnsi="Times New Roman"/>
          <w:b/>
          <w:bCs/>
          <w:sz w:val="18"/>
          <w:szCs w:val="18"/>
        </w:rPr>
        <w:t xml:space="preserve">TABLE I. Comparison of Existing Blockchain-Based Genomic Data Sharing Systems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300"/>
        <w:gridCol w:w="1200"/>
        <w:gridCol w:w="1200"/>
        <w:gridCol w:w="1260"/>
      </w:tblGrid>
      <w:tr>
        <w:trPr>
          <w:tblHeader/>
        </w:trPr>
        <w:tc>
          <w:tcPr>
            <w:tcW w:type="dxa" w:w="14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System</w:t>
            </w:r>
          </w:p>
        </w:tc>
        <w:tc>
          <w:tcPr>
            <w:tcW w:type="dxa" w:w="14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Blockchain</w:t>
            </w:r>
          </w:p>
        </w:tc>
        <w:tc>
          <w:tcPr>
            <w:tcW w:type="dxa" w:w="13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Storage</w:t>
            </w:r>
          </w:p>
        </w:tc>
        <w:tc>
          <w:tcPr>
            <w:tcW w:type="dxa" w:w="13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Auth Method</w:t>
            </w:r>
          </w:p>
        </w:tc>
        <w:tc>
          <w:tcPr>
            <w:tcW w:type="dxa" w:w="12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Consent</w:t>
            </w:r>
          </w:p>
        </w:tc>
        <w:tc>
          <w:tcPr>
            <w:tcW w:type="dxa" w:w="12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Hardware Dep.</w:t>
            </w:r>
          </w:p>
        </w:tc>
        <w:tc>
          <w:tcPr>
            <w:tcW w:type="dxa" w:w="126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Governance</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GenShare [10]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 + HLF</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Private DB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PKI / Cert.</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Static</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Intel SGX</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Centralized</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ConsentChain [11]</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 (Besu)</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IPFS + MongoDB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Wallet Address</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Dynamic</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Admin-based</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Dwarna [20]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Hyperledger Fabric</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Off-chain DB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Username/Pwd</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Dynamic</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Admin-based</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Park et al. [23]</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Private Storage</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N/A</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CGT [15]</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IPFS</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Institutional</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Static</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Centralized</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GeneBlockchain (Ours)</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 (Hardhat)</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IPFS + MongoDB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MetaMask Wallet</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Dynamic On-chain</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w:t>
            </w:r>
          </w:p>
        </w:tc>
        <w:tc>
          <w:tcPr>
            <w:tcW w:type="dxa" w:w="12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DAA Voting</w:t>
            </w:r>
          </w:p>
        </w:tc>
      </w:tr>
    </w:tbl>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III. PROBLEM STATEMENT</w:t>
      </w:r>
    </w:p>
    <w:p>
      <w:pPr>
        <w:spacing w:before="60" w:after="60" w:line="276"/>
        <w:ind w:firstLine="720"/>
        <w:jc w:val="both"/>
      </w:pPr>
      <w:r>
        <w:rPr>
          <w:rFonts w:ascii="Times New Roman" w:cs="Times New Roman" w:eastAsia="Times New Roman" w:hAnsi="Times New Roman"/>
          <w:sz w:val="20"/>
          <w:szCs w:val="20"/>
        </w:rPr>
        <w:t xml:space="preserve">Genomic data sharing at scale requires a technical infrastructure that simultaneously satisfies five non-negotiable properties. The first is data sovereignty: individuals must retain practical, enforceable control over their genetic information throughout its entire lifecycle, from initial deposit to eventual deletion. The second is verifiable integrity: any recipient of genomic data must be able to confirm, without trusting the transmitting party, that the data has not been altered since its original submission. The third is consent enforceability: access control decisions must be executed by a system whose behavior is auditable, tamper-resistant, and not subject to unilateral modification by administrators. The fourth is privacy under disclosure: when data is shared for research purposes, the sharing mechanism must not create channels through which the data owner's identity can be inferred or linked across contexts. The fifth is practical deployability: the system must function without specialized hardware, must be reproducible by independent researchers, and must scale to realistic genomic data volumes without prohibitive cost.</w:t>
      </w:r>
    </w:p>
    <w:p>
      <w:pPr>
        <w:spacing w:before="60" w:after="60" w:line="276"/>
        <w:ind w:firstLine="720"/>
        <w:jc w:val="both"/>
      </w:pPr>
      <w:r>
        <w:rPr>
          <w:rFonts w:ascii="Times New Roman" w:cs="Times New Roman" w:eastAsia="Times New Roman" w:hAnsi="Times New Roman"/>
          <w:sz w:val="20"/>
          <w:szCs w:val="20"/>
        </w:rPr>
        <w:t xml:space="preserve">Current centralized repositories satisfy none of these properties fully. They are controlled by institutions rather than patients, their audit trails are internal and unverifiable, consent policies are governed by administrative procedures that patients cannot directly enforce, and the concentration of valuable data in a single location creates both security and privacy vulnerabilities.</w:t>
      </w:r>
    </w:p>
    <w:p>
      <w:pPr>
        <w:spacing w:before="60" w:after="60" w:line="276"/>
        <w:ind w:firstLine="720"/>
        <w:jc w:val="both"/>
      </w:pPr>
      <w:r>
        <w:rPr>
          <w:rFonts w:ascii="Times New Roman" w:cs="Times New Roman" w:eastAsia="Times New Roman" w:hAnsi="Times New Roman"/>
          <w:sz w:val="20"/>
          <w:szCs w:val="20"/>
        </w:rPr>
        <w:t xml:space="preserve">Existing blockchain proposals improve upon this baseline but introduce their own constraints. Hardware-dependent approaches (SGX-based systems) tie the trust model to the integrity of a specific chip manufacturer. Dual-blockchain architectures introduce synchronization complexity that creates new failure modes. Systems using centralized governance for network admission replicate the institutional control problem at the network layer. And systems that store consent state off-chain weaken the enforceability guarantee that blockchain participation is meant to provide.</w:t>
      </w:r>
    </w:p>
    <w:p>
      <w:pPr>
        <w:spacing w:before="60" w:after="60" w:line="276"/>
        <w:ind w:firstLine="720"/>
        <w:jc w:val="both"/>
      </w:pPr>
      <w:r>
        <w:rPr>
          <w:rFonts w:ascii="Times New Roman" w:cs="Times New Roman" w:eastAsia="Times New Roman" w:hAnsi="Times New Roman"/>
          <w:sz w:val="20"/>
          <w:szCs w:val="20"/>
        </w:rPr>
        <w:t xml:space="preserve">The problem this paper addresses, therefore, is the design and implementation of a genomic data sharing framework that is simultaneously decentralized in governance, cryptographically enforceable in consent management, hardware-agnostic in its security model, and practically reproducible for consortium deployment.</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IV. PROPOSED METHODOLOGY</w:t>
      </w:r>
    </w:p>
    <w:p>
      <w:pPr>
        <w:spacing w:before="160" w:after="80"/>
        <w:jc w:val="left"/>
      </w:pPr>
      <w:r>
        <w:rPr>
          <w:rFonts w:ascii="Times New Roman" w:cs="Times New Roman" w:eastAsia="Times New Roman" w:hAnsi="Times New Roman"/>
          <w:b/>
          <w:bCs/>
          <w:sz w:val="20"/>
          <w:szCs w:val="20"/>
        </w:rPr>
        <w:t xml:space="preserve">A. Design Principles</w:t>
      </w:r>
    </w:p>
    <w:p>
      <w:pPr>
        <w:spacing w:before="60" w:after="60" w:line="276"/>
        <w:ind w:firstLine="720"/>
        <w:jc w:val="both"/>
      </w:pPr>
      <w:r>
        <w:rPr>
          <w:rFonts w:ascii="Times New Roman" w:cs="Times New Roman" w:eastAsia="Times New Roman" w:hAnsi="Times New Roman"/>
          <w:sz w:val="20"/>
          <w:szCs w:val="20"/>
        </w:rPr>
        <w:t xml:space="preserve">GeneBlockchain is designed around four architectural principles. The principle of minimal on-chain state holds that the blockchain should store only information that requires immutability and verifiability—consent records, file hashes, role assignments, and audit events—while delegating content storage to IPFS and query-optimized storage to MongoDB. The principle of hardware independence holds that all security guarantees must be achievable using cryptographic software alone, without trusted execution environments. The principle of on-chain consent authority holds that the smart contract must be the definitive and sole source of truth for consent status, eliminating the possibility of off-chain records contradicting on-chain decisions. And the principle of self-governance holds that network participation must be controlled by existing network members through a transparent voting mechanism rather than by an external authority.</w:t>
      </w:r>
    </w:p>
    <w:p>
      <w:pPr>
        <w:spacing w:before="160" w:after="80"/>
        <w:jc w:val="left"/>
      </w:pPr>
      <w:r>
        <w:rPr>
          <w:rFonts w:ascii="Times New Roman" w:cs="Times New Roman" w:eastAsia="Times New Roman" w:hAnsi="Times New Roman"/>
          <w:b/>
          <w:bCs/>
          <w:sz w:val="20"/>
          <w:szCs w:val="20"/>
        </w:rPr>
        <w:t xml:space="preserve">B. Cryptographic Specification</w:t>
      </w:r>
    </w:p>
    <w:p>
      <w:pPr>
        <w:spacing w:before="60" w:after="60" w:line="276"/>
        <w:ind w:firstLine="720"/>
        <w:jc w:val="both"/>
      </w:pPr>
      <w:r>
        <w:rPr>
          <w:rFonts w:ascii="Times New Roman" w:cs="Times New Roman" w:eastAsia="Times New Roman" w:hAnsi="Times New Roman"/>
          <w:sz w:val="20"/>
          <w:szCs w:val="20"/>
        </w:rPr>
        <w:t xml:space="preserve">Genomic files are encrypted using AES-256-CBC (Advanced Encryption Standard in Cipher Block Chaining mode) prior to IPFS upload. Key derivation uses Scrypt with a 32-byte output length. An Initialization Vector (IV) of 16 cryptographically random bytes is generated per encryption operation and prepended to the ciphertext for storage. Before encryption, the raw file content is hashed using SHA-256; this hash is subsequently recorded on-chain and serves as the integrity anchor for later verification. The formal relationship is expressed as:</w:t>
      </w:r>
    </w:p>
    <w:p>
      <w:pPr>
        <w:spacing w:before="80" w:after="80"/>
        <w:jc w:val="center"/>
      </w:pPr>
      <w:r>
        <w:rPr>
          <w:rFonts w:ascii="Times New Roman" w:cs="Times New Roman" w:eastAsia="Times New Roman" w:hAnsi="Times New Roman"/>
          <w:sz w:val="20"/>
          <w:szCs w:val="20"/>
        </w:rPr>
        <w:t xml:space="preserve">H = SHA-256(M),   C = AES-256-CBC(M, K, IV),   CID = IPFS_Hash(C)</w:t>
      </w:r>
    </w:p>
    <w:p>
      <w:pPr>
        <w:spacing w:before="60" w:after="60" w:line="276"/>
        <w:ind w:firstLine="720"/>
        <w:jc w:val="both"/>
      </w:pPr>
      <w:r>
        <w:rPr>
          <w:rFonts w:ascii="Times New Roman" w:cs="Times New Roman" w:eastAsia="Times New Roman" w:hAnsi="Times New Roman"/>
          <w:sz w:val="20"/>
          <w:szCs w:val="20"/>
        </w:rPr>
        <w:t xml:space="preserve">where M is the plaintext genomic file, K is the derived encryption key, C is the ciphertext, H is the integrity hash recorded on-chain, and CID is the IPFS Content Identifier. Upon retrieval, a verifier computes SHA-256 of the decrypted file and compares it to H retrieved from the blockchain; any discrepancy indicates tampering.</w:t>
      </w:r>
    </w:p>
    <w:p>
      <w:pPr>
        <w:spacing w:before="160" w:after="80"/>
        <w:jc w:val="left"/>
      </w:pPr>
      <w:r>
        <w:rPr>
          <w:rFonts w:ascii="Times New Roman" w:cs="Times New Roman" w:eastAsia="Times New Roman" w:hAnsi="Times New Roman"/>
          <w:b/>
          <w:bCs/>
          <w:sz w:val="20"/>
          <w:szCs w:val="20"/>
        </w:rPr>
        <w:t xml:space="preserve">C. Wallet-Based Authentication Rationale</w:t>
      </w:r>
    </w:p>
    <w:p>
      <w:pPr>
        <w:spacing w:before="60" w:after="60" w:line="276"/>
        <w:ind w:firstLine="720"/>
        <w:jc w:val="both"/>
      </w:pPr>
      <w:r>
        <w:rPr>
          <w:rFonts w:ascii="Times New Roman" w:cs="Times New Roman" w:eastAsia="Times New Roman" w:hAnsi="Times New Roman"/>
          <w:sz w:val="20"/>
          <w:szCs w:val="20"/>
        </w:rPr>
        <w:t xml:space="preserve">GeneBlockchain employs MetaMask wallet-based authentication rather than username-password or OTP systems. This choice rests on concrete cryptographic and security advantages. In the Ethereum authentication model, a user proves identity by signing a challenge nonce with the private key corresponding to their registered Ethereum address. The system verifies the signature using the user's public key (their wallet address) without the private key ever leaving the user's device or being transmitted across the network. This eliminates the server-side password storage that creates vulnerability in traditional credential systems—a database breach cannot yield usable credentials because the server never stores them.</w:t>
      </w:r>
    </w:p>
    <w:p>
      <w:pPr>
        <w:spacing w:before="60" w:after="60" w:line="276"/>
        <w:ind w:firstLine="720"/>
        <w:jc w:val="both"/>
      </w:pPr>
      <w:r>
        <w:rPr>
          <w:rFonts w:ascii="Times New Roman" w:cs="Times New Roman" w:eastAsia="Times New Roman" w:hAnsi="Times New Roman"/>
          <w:sz w:val="20"/>
          <w:szCs w:val="20"/>
        </w:rPr>
        <w:t xml:space="preserve">Username-password systems are vulnerable to credential stuffing, brute force, phishing, and server-side breaches. OTP systems add a second factor but remain vulnerable to SIM swapping, phishing, and interception attacks. Wallet-based authentication, by contrast, relies on the computational infeasibility of extracting a private key from its corresponding public address (which requires solving the Elliptic Curve Discrete Logarithm Problem) and on the user's custody of a hardware or software key manager. The MetaMask integration additionally provides human-readable transaction confirmation, reducing the risk of blind signing attacks.</w:t>
      </w:r>
    </w:p>
    <w:p>
      <w:pPr>
        <w:spacing w:before="160" w:after="80"/>
        <w:jc w:val="left"/>
      </w:pPr>
      <w:r>
        <w:rPr>
          <w:rFonts w:ascii="Times New Roman" w:cs="Times New Roman" w:eastAsia="Times New Roman" w:hAnsi="Times New Roman"/>
          <w:b/>
          <w:bCs/>
          <w:sz w:val="20"/>
          <w:szCs w:val="20"/>
        </w:rPr>
        <w:t xml:space="preserve">D. IPFS Storage Rationale</w:t>
      </w:r>
    </w:p>
    <w:p>
      <w:pPr>
        <w:spacing w:before="60" w:after="60" w:line="276"/>
        <w:ind w:firstLine="720"/>
        <w:jc w:val="both"/>
      </w:pPr>
      <w:r>
        <w:rPr>
          <w:rFonts w:ascii="Times New Roman" w:cs="Times New Roman" w:eastAsia="Times New Roman" w:hAnsi="Times New Roman"/>
          <w:sz w:val="20"/>
          <w:szCs w:val="20"/>
        </w:rPr>
        <w:t xml:space="preserve">Genomic files cannot be stored directly on the Ethereum blockchain. A single whole-genome file at 100–300 GB would require thousands of transactions costing millions of dollars in gas fees, while each Ethereum node would need to replicate the entire dataset. IPFS provides a content-addressed distributed storage network where each file is identified by a cryptographic hash of its content. This means two properties hold: first, the same content always produces the same CID, enabling deterministic integrity verification; second, any modification to the stored file produces a different CID, making tampering immediately detectable without any additional mechanism.</w:t>
      </w:r>
    </w:p>
    <w:p>
      <w:pPr>
        <w:spacing w:before="60" w:after="60" w:line="276"/>
        <w:ind w:firstLine="720"/>
        <w:jc w:val="both"/>
      </w:pPr>
      <w:r>
        <w:rPr>
          <w:rFonts w:ascii="Times New Roman" w:cs="Times New Roman" w:eastAsia="Times New Roman" w:hAnsi="Times New Roman"/>
          <w:sz w:val="20"/>
          <w:szCs w:val="20"/>
        </w:rPr>
        <w:t xml:space="preserve">By storing the IPFS CID on-chain alongside the SHA-256 hash, GeneBlockchain creates a two-layer integrity guarantee: the CID confirms that the retrieved file matches what was originally uploaded to IPFS, and the on-chain SHA-256 hash confirms that the content matches what was submitted to the system before IPFS upload. An adversary would need to both modify the IPFS-stored file (which would change its CID, triggering retrieval failure) and alter the immutable blockchain record (which is computationally infeasible) to successfully deliver tampered data.</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V. SYSTEM ARCHITECTURE</w:t>
      </w:r>
    </w:p>
    <w:p>
      <w:pPr>
        <w:spacing w:before="160" w:after="80"/>
        <w:jc w:val="left"/>
      </w:pPr>
      <w:r>
        <w:rPr>
          <w:rFonts w:ascii="Times New Roman" w:cs="Times New Roman" w:eastAsia="Times New Roman" w:hAnsi="Times New Roman"/>
          <w:b/>
          <w:bCs/>
          <w:sz w:val="20"/>
          <w:szCs w:val="20"/>
        </w:rPr>
        <w:t xml:space="preserve">A. Overview</w:t>
      </w:r>
    </w:p>
    <w:p>
      <w:pPr>
        <w:spacing w:before="60" w:after="60" w:line="276"/>
        <w:ind w:firstLine="720"/>
        <w:jc w:val="both"/>
      </w:pPr>
      <w:r>
        <w:rPr>
          <w:rFonts w:ascii="Times New Roman" w:cs="Times New Roman" w:eastAsia="Times New Roman" w:hAnsi="Times New Roman"/>
          <w:sz w:val="20"/>
          <w:szCs w:val="20"/>
        </w:rPr>
        <w:t xml:space="preserve">GeneBlockchain implements a tri-nodal architecture that separates three distinct concerns: consensus and access state (Ethereum blockchain), content storage (IPFS), and performance-optimized metadata indexing (MongoDB). Figure 1 illustrates the high-level system architecture with its seven primary components: User Interface, Application Backend, Blockchain (Hardhat), IPFS Storage, DNA Registry Contract, Governance Smart Contract, and Audit/Verification Modules.</w:t>
      </w:r>
    </w:p>
    <w:p>
      <w:pPr>
        <w:spacing w:before="100" w:after="60"/>
        <w:jc w:val="center"/>
      </w:pPr>
      <w:r>
        <w:rPr>
          <w:rFonts w:ascii="Times New Roman" w:cs="Times New Roman" w:eastAsia="Times New Roman" w:hAnsi="Times New Roman"/>
          <w:sz w:val="18"/>
          <w:szCs w:val="18"/>
        </w:rPr>
        <w:t xml:space="preserve">[Fig. 1: System Architecture Diagram — See provided diagram image]</w:t>
      </w:r>
    </w:p>
    <w:p>
      <w:pPr>
        <w:spacing w:before="40" w:after="120"/>
        <w:jc w:val="center"/>
      </w:pPr>
      <w:r>
        <w:rPr>
          <w:rFonts w:ascii="Times New Roman" w:cs="Times New Roman" w:eastAsia="Times New Roman" w:hAnsi="Times New Roman"/>
          <w:sz w:val="18"/>
          <w:szCs w:val="18"/>
        </w:rPr>
        <w:t xml:space="preserve">Fig. 1. GeneBlockchain System Architecture showing the seven primary components and their interaction pathways.</w:t>
      </w:r>
    </w:p>
    <w:p>
      <w:pPr>
        <w:spacing w:before="160" w:after="80"/>
        <w:jc w:val="left"/>
      </w:pPr>
      <w:r>
        <w:rPr>
          <w:rFonts w:ascii="Times New Roman" w:cs="Times New Roman" w:eastAsia="Times New Roman" w:hAnsi="Times New Roman"/>
          <w:b/>
          <w:bCs/>
          <w:sz w:val="20"/>
          <w:szCs w:val="20"/>
        </w:rPr>
        <w:t xml:space="preserve">B. Blockchain Layer (Consensus and State)</w:t>
      </w:r>
    </w:p>
    <w:p>
      <w:pPr>
        <w:spacing w:before="60" w:after="60" w:line="276"/>
        <w:ind w:firstLine="720"/>
        <w:jc w:val="both"/>
      </w:pPr>
      <w:r>
        <w:rPr>
          <w:rFonts w:ascii="Times New Roman" w:cs="Times New Roman" w:eastAsia="Times New Roman" w:hAnsi="Times New Roman"/>
          <w:sz w:val="20"/>
          <w:szCs w:val="20"/>
        </w:rPr>
        <w:t xml:space="preserve">The consensus layer is realized through the GenShareRegistry smart contract written in Solidity 0.8.20. This contract is the single authoritative source of truth for four categories of on-chain state: role assignments (which Ethereum addresses are registered as patients, labs, researchers, or administrators), genomic data records (mapping record indices to IPFS CIDs and SHA-256 hashes), consent records (mapping consent indices to time-bounded, patient-issued access grants), and access logs (immutable event records of every data access attempt with success/failure status).</w:t>
      </w:r>
    </w:p>
    <w:p>
      <w:pPr>
        <w:spacing w:before="60" w:after="60" w:line="276"/>
        <w:ind w:firstLine="720"/>
        <w:jc w:val="both"/>
      </w:pPr>
      <w:r>
        <w:rPr>
          <w:rFonts w:ascii="Times New Roman" w:cs="Times New Roman" w:eastAsia="Times New Roman" w:hAnsi="Times New Roman"/>
          <w:sz w:val="20"/>
          <w:szCs w:val="20"/>
        </w:rPr>
        <w:t xml:space="preserve">The consortium network operates as a permissioned Ethereum network administered through the Governance Smart Contract, which implements the Decentralized Autonomous Approval mechanism. New laboratory entities seeking to join the consortium submit an on-chain registration proposal. Existing approved laboratories then vote on the proposal; approval requires a two-thirds supermajority. This threshold prevents any single institution from controlling network admission while ensuring that a small group of malicious members cannot exclude legitimate applicants. The governance contract emits verifiable events for every proposal, vote, and admission decision, creating a permanent public record of network expansion.</w:t>
      </w:r>
    </w:p>
    <w:p>
      <w:pPr>
        <w:spacing w:before="160" w:after="80"/>
        <w:jc w:val="left"/>
      </w:pPr>
      <w:r>
        <w:rPr>
          <w:rFonts w:ascii="Times New Roman" w:cs="Times New Roman" w:eastAsia="Times New Roman" w:hAnsi="Times New Roman"/>
          <w:b/>
          <w:bCs/>
          <w:sz w:val="20"/>
          <w:szCs w:val="20"/>
        </w:rPr>
        <w:t xml:space="preserve">C. Storage Layer (Content and Metadata)</w:t>
      </w:r>
    </w:p>
    <w:p>
      <w:pPr>
        <w:spacing w:before="60" w:after="60" w:line="276"/>
        <w:ind w:firstLine="720"/>
        <w:jc w:val="both"/>
      </w:pPr>
      <w:r>
        <w:rPr>
          <w:rFonts w:ascii="Times New Roman" w:cs="Times New Roman" w:eastAsia="Times New Roman" w:hAnsi="Times New Roman"/>
          <w:sz w:val="20"/>
          <w:szCs w:val="20"/>
        </w:rPr>
        <w:t xml:space="preserve">Encrypted genomic files are stored in IPFS, which provides decentralized, content-addressed persistence. Each file upload produces a CID that is subsequently registered in the GenShareRegistry contract along with the pre-encryption SHA-256 hash. The IPFS layer is supplemented by a MongoDB metadata database that stores non-sensitive record attributes (species, sequencing technology, tissue type, associated disease condition) to enable fast, structured queries. This separation is deliberate: MongoDB enables researchers to discover relevant datasets through flexible queries, while the blockchain handles the security-critical operations of consent validation and access logging.</w:t>
      </w:r>
    </w:p>
    <w:p>
      <w:pPr>
        <w:spacing w:before="160" w:after="80"/>
        <w:jc w:val="left"/>
      </w:pPr>
      <w:r>
        <w:rPr>
          <w:rFonts w:ascii="Times New Roman" w:cs="Times New Roman" w:eastAsia="Times New Roman" w:hAnsi="Times New Roman"/>
          <w:b/>
          <w:bCs/>
          <w:sz w:val="20"/>
          <w:szCs w:val="20"/>
        </w:rPr>
        <w:t xml:space="preserve">D. Application Layer</w:t>
      </w:r>
    </w:p>
    <w:p>
      <w:pPr>
        <w:spacing w:before="60" w:after="60" w:line="276"/>
        <w:ind w:firstLine="720"/>
        <w:jc w:val="both"/>
      </w:pPr>
      <w:r>
        <w:rPr>
          <w:rFonts w:ascii="Times New Roman" w:cs="Times New Roman" w:eastAsia="Times New Roman" w:hAnsi="Times New Roman"/>
          <w:sz w:val="20"/>
          <w:szCs w:val="20"/>
        </w:rPr>
        <w:t xml:space="preserve">The application backend exposes a RESTful API that proxies interactions between the frontend, the blockchain, and storage systems. The backend handles server-side encryption and decryption, IPFS file management, MongoDB metadata operations, and blockchain event monitoring. The frontend is implemented in Next.js and provides a role-based dashboard that presents different interfaces to patients, labs, and researchers. All blockchain-affecting operations are routed through MetaMask, requiring the user to confirm transactions in their wallet before submission to the network.</w:t>
      </w:r>
    </w:p>
    <w:p>
      <w:pPr>
        <w:spacing w:before="160" w:after="80"/>
        <w:jc w:val="left"/>
      </w:pPr>
      <w:r>
        <w:rPr>
          <w:rFonts w:ascii="Times New Roman" w:cs="Times New Roman" w:eastAsia="Times New Roman" w:hAnsi="Times New Roman"/>
          <w:b/>
          <w:bCs/>
          <w:sz w:val="20"/>
          <w:szCs w:val="20"/>
        </w:rPr>
        <w:t xml:space="preserve">E. User Roles and Interaction Model</w:t>
      </w:r>
    </w:p>
    <w:p>
      <w:pPr>
        <w:spacing w:before="60" w:after="60" w:line="276"/>
        <w:ind w:firstLine="720"/>
        <w:jc w:val="both"/>
      </w:pPr>
      <w:r>
        <w:rPr>
          <w:rFonts w:ascii="Times New Roman" w:cs="Times New Roman" w:eastAsia="Times New Roman" w:hAnsi="Times New Roman"/>
          <w:sz w:val="20"/>
          <w:szCs w:val="20"/>
        </w:rPr>
        <w:t xml:space="preserve">Three user roles operate within GeneBlockchain. Patient roles control consent for their own genomic data; they can browse pending access requests, issue time-bound consent grants, revoke existing grants, and view the complete immutable log of who has accessed their data and when. Laboratory roles can upload genomic data for registered patients, register new patient records on-chain, and participate in governance voting for new laboratory admissions. Researcher roles can query the metadata index to discover relevant datasets, submit access requests to patients, and retrieve data for which they hold active consent.</w:t>
      </w:r>
    </w:p>
    <w:p>
      <w:pPr>
        <w:spacing w:before="160" w:after="80"/>
        <w:jc w:val="left"/>
      </w:pPr>
      <w:r>
        <w:rPr>
          <w:rFonts w:ascii="Times New Roman" w:cs="Times New Roman" w:eastAsia="Times New Roman" w:hAnsi="Times New Roman"/>
          <w:b/>
          <w:bCs/>
          <w:sz w:val="20"/>
          <w:szCs w:val="20"/>
        </w:rPr>
        <w:t xml:space="preserve">F. Transaction Lifecycle</w:t>
      </w:r>
    </w:p>
    <w:p>
      <w:pPr>
        <w:spacing w:before="60" w:after="60" w:line="276"/>
        <w:ind w:firstLine="720"/>
        <w:jc w:val="both"/>
      </w:pPr>
      <w:r>
        <w:rPr>
          <w:rFonts w:ascii="Times New Roman" w:cs="Times New Roman" w:eastAsia="Times New Roman" w:hAnsi="Times New Roman"/>
          <w:sz w:val="20"/>
          <w:szCs w:val="20"/>
        </w:rPr>
        <w:t xml:space="preserve">A complete data sharing transaction proceeds as follows. The laboratory encrypts the genomic file using AES-256-CBC and uploads the ciphertext to IPFS, receiving a CID. The backend computes SHA-256 of the plaintext and submits a registerGenomicData transaction to the GenShareRegistry contract, recording the patient ID, IPFS CID, SHA-256 hash, and a timestamp. Metadata is written to MongoDB. A researcher queries MongoDB to discover the dataset and submits an access request. The patient reviews the request on their dashboard and calls grantConsent on the smart contract, specifying the researcher's Ethereum address, the record index, and an access duration in days. The contract records the consent struct immutably and emits a ConsentGranted event. The researcher calls a fetch API endpoint; the backend calls isConsentActive on the contract and, if the result is true, retrieves the encrypted file from IPFS, decrypts it server-side, logs the access on-chain via logAccess, and returns the result. The logAccess call validates consent before recording the event and will emit AccessDenied if the consent has expired, been revoked, or does not match the requesting address.</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VI. SECURITY MODEL</w:t>
      </w:r>
    </w:p>
    <w:p>
      <w:pPr>
        <w:spacing w:before="160" w:after="80"/>
        <w:jc w:val="left"/>
      </w:pPr>
      <w:r>
        <w:rPr>
          <w:rFonts w:ascii="Times New Roman" w:cs="Times New Roman" w:eastAsia="Times New Roman" w:hAnsi="Times New Roman"/>
          <w:b/>
          <w:bCs/>
          <w:sz w:val="20"/>
          <w:szCs w:val="20"/>
        </w:rPr>
        <w:t xml:space="preserve">A. Threat Model</w:t>
      </w:r>
    </w:p>
    <w:p>
      <w:pPr>
        <w:spacing w:before="60" w:after="60" w:line="276"/>
        <w:ind w:firstLine="720"/>
        <w:jc w:val="both"/>
      </w:pPr>
      <w:r>
        <w:rPr>
          <w:rFonts w:ascii="Times New Roman" w:cs="Times New Roman" w:eastAsia="Times New Roman" w:hAnsi="Times New Roman"/>
          <w:sz w:val="20"/>
          <w:szCs w:val="20"/>
        </w:rPr>
        <w:t xml:space="preserve">GeneBlockchain's threat model encompasses five attack categories relevant to genomic data sharing systems. Re-identification attacks attempt to link anonymized or pseudonymous genomic data to real individuals through correlation with auxiliary information. Data leakage attacks seek unauthorized access to encrypted genomic files stored in IPFS or in transit. Man-in-the-Middle (MITM) attacks attempt to intercept, modify, or replay communications between system components. Smart contract vulnerability attacks exploit coding errors in Solidity contracts to manipulate consent records, access logs, or role assignments. Unauthorized access attacks attempt to access genomic data for which the attacker does not hold a valid consent grant.</w:t>
      </w:r>
    </w:p>
    <w:p>
      <w:pPr>
        <w:spacing w:before="160" w:after="80"/>
        <w:jc w:val="left"/>
      </w:pPr>
      <w:r>
        <w:rPr>
          <w:rFonts w:ascii="Times New Roman" w:cs="Times New Roman" w:eastAsia="Times New Roman" w:hAnsi="Times New Roman"/>
          <w:b/>
          <w:bCs/>
          <w:sz w:val="20"/>
          <w:szCs w:val="20"/>
        </w:rPr>
        <w:t xml:space="preserve">B. Attack Mitigations</w:t>
      </w:r>
    </w:p>
    <w:p>
      <w:pPr>
        <w:spacing w:before="60" w:after="60" w:line="276"/>
        <w:ind w:firstLine="720"/>
        <w:jc w:val="both"/>
      </w:pPr>
      <w:r>
        <w:rPr>
          <w:rFonts w:ascii="Times New Roman" w:cs="Times New Roman" w:eastAsia="Times New Roman" w:hAnsi="Times New Roman"/>
          <w:sz w:val="20"/>
          <w:szCs w:val="20"/>
        </w:rPr>
        <w:t xml:space="preserve">Re-identification risk is mitigated through two complementary mechanisms. No personally identifiable information is stored on-chain; the blockchain records only patient identifiers (PIDs), Ethereum addresses, IPFS CIDs, and cryptographic hashes. The PID scheme decouples the on-chain record from the patient's real identity. Additionally, the role-based metadata model limits the information visible to any single researcher to the minimum necessary for their access request. GeneBlockchain does not implement differential privacy modifications, which would reduce data utility; instead, access granularity is controlled through the consent engine's record-level permission model.</w:t>
      </w:r>
    </w:p>
    <w:p>
      <w:pPr>
        <w:spacing w:before="60" w:after="60" w:line="276"/>
        <w:ind w:firstLine="720"/>
        <w:jc w:val="both"/>
      </w:pPr>
      <w:r>
        <w:rPr>
          <w:rFonts w:ascii="Times New Roman" w:cs="Times New Roman" w:eastAsia="Times New Roman" w:hAnsi="Times New Roman"/>
          <w:sz w:val="20"/>
          <w:szCs w:val="20"/>
        </w:rPr>
        <w:t xml:space="preserve">Data leakage risk is addressed by encrypting all genomic files before IPFS upload using AES-256-CBC. An adversary who gains access to the raw IPFS content without the decryption key obtains only ciphertext with no recoverable genetic information. The encryption key is never stored on-chain or transmitted in plaintext. Server-side decryption occurs only after on-chain consent validation confirms that the requesting party holds a valid, unexpired, non-revoked consent grant.</w:t>
      </w:r>
    </w:p>
    <w:p>
      <w:pPr>
        <w:spacing w:before="60" w:after="60" w:line="276"/>
        <w:ind w:firstLine="720"/>
        <w:jc w:val="both"/>
      </w:pPr>
      <w:r>
        <w:rPr>
          <w:rFonts w:ascii="Times New Roman" w:cs="Times New Roman" w:eastAsia="Times New Roman" w:hAnsi="Times New Roman"/>
          <w:sz w:val="20"/>
          <w:szCs w:val="20"/>
        </w:rPr>
        <w:t xml:space="preserve">MITM attacks are mitigated through standard HTTPS transport for all API communications and through the blockchain's inherent transaction signing requirement. Every blockchain interaction requires the user to sign a transaction with their private key; a MITM attacker who intercepts the signed transaction cannot modify it without invalidating the signature, and cannot use the signature for a different transaction because Ethereum transactions are bound to specific contract calls, gas limits, and nonces.</w:t>
      </w:r>
    </w:p>
    <w:p>
      <w:pPr>
        <w:spacing w:before="60" w:after="60" w:line="276"/>
        <w:ind w:firstLine="720"/>
        <w:jc w:val="both"/>
      </w:pPr>
      <w:r>
        <w:rPr>
          <w:rFonts w:ascii="Times New Roman" w:cs="Times New Roman" w:eastAsia="Times New Roman" w:hAnsi="Times New Roman"/>
          <w:sz w:val="20"/>
          <w:szCs w:val="20"/>
        </w:rPr>
        <w:t xml:space="preserve">Smart contract vulnerabilities are addressed through several defensive patterns in the Solidity implementation: reentrancy protection via checks-effects-interactions ordering, input validation on all public functions with explicit require statements, access modifiers restricting administrative functions to the contract owner, and role verification before any state-modifying operation. The optimizer is configured with 200 runs, balancing bytecode size against execution efficiency. Formal security auditing using tools such as Slither or Mythril is recommended before production deployment.</w:t>
      </w:r>
    </w:p>
    <w:p>
      <w:pPr>
        <w:spacing w:before="60" w:after="60" w:line="276"/>
        <w:ind w:firstLine="720"/>
        <w:jc w:val="both"/>
      </w:pPr>
      <w:r>
        <w:rPr>
          <w:rFonts w:ascii="Times New Roman" w:cs="Times New Roman" w:eastAsia="Times New Roman" w:hAnsi="Times New Roman"/>
          <w:sz w:val="20"/>
          <w:szCs w:val="20"/>
        </w:rPr>
        <w:t xml:space="preserve">Unauthorized access is made computationally infeasible by the on-chain consent validation in the logAccess function. Before any data retrieval can be logged as successful, the contract verifies that a consent record exists for the specific (researcher, patient, record) triple, that the consent has not been revoked, that the current block timestamp is before the consent's expiry, and that the requesting Ethereum address matches the address named in the consent. This four-condition validation runs atomically on-chain and cannot be bypassed by manipulating the off-chain application layer.</w:t>
      </w:r>
    </w:p>
    <w:p>
      <w:pPr>
        <w:spacing w:before="160" w:after="80"/>
        <w:jc w:val="left"/>
      </w:pPr>
      <w:r>
        <w:rPr>
          <w:rFonts w:ascii="Times New Roman" w:cs="Times New Roman" w:eastAsia="Times New Roman" w:hAnsi="Times New Roman"/>
          <w:b/>
          <w:bCs/>
          <w:sz w:val="20"/>
          <w:szCs w:val="20"/>
        </w:rPr>
        <w:t xml:space="preserve">C. Attack-Defense Summary Table</w:t>
      </w:r>
    </w:p>
    <w:p>
      <w:pPr>
        <w:spacing w:before="100" w:after="80"/>
        <w:jc w:val="center"/>
      </w:pPr>
      <w:r>
        <w:rPr>
          <w:rFonts w:ascii="Times New Roman" w:cs="Times New Roman" w:eastAsia="Times New Roman" w:hAnsi="Times New Roman"/>
          <w:b/>
          <w:bCs/>
          <w:sz w:val="18"/>
          <w:szCs w:val="18"/>
        </w:rPr>
        <w:t xml:space="preserve">TABLE II. Attack Vectors and Corresponding Defenses in GeneBlockchain</w:t>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900"/>
        <w:gridCol w:w="1560"/>
      </w:tblGrid>
      <w:tr>
        <w:trPr>
          <w:tblHeader/>
        </w:trPr>
        <w:tc>
          <w:tcPr>
            <w:tcW w:type="dxa" w:w="15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Attack Vector</w:t>
            </w:r>
          </w:p>
        </w:tc>
        <w:tc>
          <w:tcPr>
            <w:tcW w:type="dxa" w:w="16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Mechanism</w:t>
            </w:r>
          </w:p>
        </w:tc>
        <w:tc>
          <w:tcPr>
            <w:tcW w:type="dxa" w:w="19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Defense Implemented</w:t>
            </w:r>
          </w:p>
        </w:tc>
        <w:tc>
          <w:tcPr>
            <w:tcW w:type="dxa" w:w="156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Residual Risk</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Re-identification</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Correlation of genomic patterns with public data</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 PII on-chain; PID decoupling; role-limited access</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Low (no de-identification of data itself)</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Data Leakage</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Unauthorized IPFS retrieval</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AES-256-CBC encryption; server-side key management</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Low if key management is secure</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MITM Attack</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Network interception of data or tokens</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HTTPS; transaction signing; address binding</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Minimal for signed transactions</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Smart Contract Exploit</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Reentrancy, overflow, access bypass</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CEI pattern; Solidity 0.8.20; access modifiers; auditing</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Residual coding errors</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Unauthorized Access</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Access without valid consent</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Four-condition on-chain validation; immutable logs</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None if contract is correct</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51% Attack</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Blockchain rewrite</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Consortium PoA; 2/3 governance threshold</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Low in consortium setting</w:t>
            </w:r>
          </w:p>
        </w:tc>
      </w:tr>
      <w:tr>
        <w:tc>
          <w:tcPr>
            <w:tcW w:type="dxa" w:w="15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Replay Attack</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Reusing captured signatures</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Ethereum nonce; block-bound transaction parameters</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Minimal</w:t>
            </w:r>
          </w:p>
        </w:tc>
      </w:tr>
    </w:tbl>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VII. IMPLEMENTATION DETAILS</w:t>
      </w:r>
    </w:p>
    <w:p>
      <w:pPr>
        <w:spacing w:before="160" w:after="80"/>
        <w:jc w:val="left"/>
      </w:pPr>
      <w:r>
        <w:rPr>
          <w:rFonts w:ascii="Times New Roman" w:cs="Times New Roman" w:eastAsia="Times New Roman" w:hAnsi="Times New Roman"/>
          <w:b/>
          <w:bCs/>
          <w:sz w:val="20"/>
          <w:szCs w:val="20"/>
        </w:rPr>
        <w:t xml:space="preserve">A. Smart Contract Architecture</w:t>
      </w:r>
    </w:p>
    <w:p>
      <w:pPr>
        <w:spacing w:before="60" w:after="60" w:line="276"/>
        <w:ind w:firstLine="720"/>
        <w:jc w:val="both"/>
      </w:pPr>
      <w:r>
        <w:rPr>
          <w:rFonts w:ascii="Times New Roman" w:cs="Times New Roman" w:eastAsia="Times New Roman" w:hAnsi="Times New Roman"/>
          <w:sz w:val="20"/>
          <w:szCs w:val="20"/>
        </w:rPr>
        <w:t xml:space="preserve">The GenShareRegistry contract is the sole on-chain component of GeneBlockchain, designed to minimize gas consumption while providing comprehensive access control and audit functionality. It implements five logical modules: role management, lab governance (DAA), genomic data registration, consent management, and access logging.</w:t>
      </w:r>
    </w:p>
    <w:p>
      <w:pPr>
        <w:spacing w:before="60" w:after="60" w:line="276"/>
        <w:ind w:firstLine="720"/>
        <w:jc w:val="both"/>
      </w:pPr>
      <w:r>
        <w:rPr>
          <w:rFonts w:ascii="Times New Roman" w:cs="Times New Roman" w:eastAsia="Times New Roman" w:hAnsi="Times New Roman"/>
          <w:sz w:val="20"/>
          <w:szCs w:val="20"/>
        </w:rPr>
        <w:t xml:space="preserve">The role management module assigns one of four roles—Owner, Lab, Patient, Researcher—to Ethereum addresses using a mapping(address =&gt; Role) structure. Only the contract owner (the deploying address) can assign roles, preventing unauthorized role escalation. The Lab Governance module implements the DAA voting mechanism: any registered lab can call proposeNewLab with a candidate address; other labs vote via voteOnProposal; the proposal resolves automatically when the vote count reaches the two-thirds threshold.</w:t>
      </w:r>
    </w:p>
    <w:p>
      <w:pPr>
        <w:spacing w:before="60" w:after="60" w:line="276"/>
        <w:ind w:firstLine="720"/>
        <w:jc w:val="both"/>
      </w:pPr>
      <w:r>
        <w:rPr>
          <w:rFonts w:ascii="Times New Roman" w:cs="Times New Roman" w:eastAsia="Times New Roman" w:hAnsi="Times New Roman"/>
          <w:sz w:val="20"/>
          <w:szCs w:val="20"/>
        </w:rPr>
        <w:t xml:space="preserve">The genomic data module stores a GenomicRecord struct for each registered file, containing the patient ID (string), IPFS CID (string), SHA-256 hash (bytes32), upload timestamp (uint256), and an active boolean. Only addresses with the Lab role can register new records. The consent management module stores a Consent struct per consent grant: patient ID, researcher address, record index, grant timestamp, expiry timestamp, revocation flag, and an existence flag. The patient calls grantConsent to create a record and revokeConsent to invalidate it; the isConsentActive view function returns a boolean indicating whether a specific consent index is currently valid. The access logging module validates consent and records a DataAccessed or AccessDenied event for every access attempt, creating an immutable audit trail.</w:t>
      </w:r>
    </w:p>
    <w:p>
      <w:pPr>
        <w:spacing w:before="160" w:after="80"/>
        <w:jc w:val="left"/>
      </w:pPr>
      <w:r>
        <w:rPr>
          <w:rFonts w:ascii="Times New Roman" w:cs="Times New Roman" w:eastAsia="Times New Roman" w:hAnsi="Times New Roman"/>
          <w:b/>
          <w:bCs/>
          <w:sz w:val="20"/>
          <w:szCs w:val="20"/>
        </w:rPr>
        <w:t xml:space="preserve">B. Hardhat Environment and Deployment</w:t>
      </w:r>
    </w:p>
    <w:p>
      <w:pPr>
        <w:spacing w:before="60" w:after="60" w:line="276"/>
        <w:ind w:firstLine="720"/>
        <w:jc w:val="both"/>
      </w:pPr>
      <w:r>
        <w:rPr>
          <w:rFonts w:ascii="Times New Roman" w:cs="Times New Roman" w:eastAsia="Times New Roman" w:hAnsi="Times New Roman"/>
          <w:sz w:val="20"/>
          <w:szCs w:val="20"/>
        </w:rPr>
        <w:t xml:space="preserve">The development and testing environment uses Hardhat with Solidity 0.8.20. The optimizer is enabled with 200 runs to minimize deployment gas costs. Local testing is conducted on the Hardhat node (http://127.0.0.1:8545), which provides 20 pre-funded test accounts. The deployment script automatically assigns roles to the first four test accounts: Account 0 as Owner/Server, Account 1 as Patient, Account 2 as Lab, and Account 3 as Researcher. This deterministic initialization enables reproducible testing without manual setup.</w:t>
      </w:r>
    </w:p>
    <w:p>
      <w:pPr>
        <w:spacing w:before="60" w:after="60" w:line="276"/>
        <w:ind w:firstLine="720"/>
        <w:jc w:val="both"/>
      </w:pPr>
      <w:r>
        <w:rPr>
          <w:rFonts w:ascii="Times New Roman" w:cs="Times New Roman" w:eastAsia="Times New Roman" w:hAnsi="Times New Roman"/>
          <w:sz w:val="20"/>
          <w:szCs w:val="20"/>
        </w:rPr>
        <w:t xml:space="preserve">For testnet deployment, the system targets the Sepolia Ethereum testnet, which provides realistic network conditions including variable block times and gas price fluctuations without financial cost. Contract deployment produces an ABI artifact and address that are stored in environment variables (NEXT_PUBLIC_CONTRACT_ADDRESS) consumed by the frontend and backend.</w:t>
      </w:r>
    </w:p>
    <w:p>
      <w:pPr>
        <w:spacing w:before="160" w:after="80"/>
        <w:jc w:val="left"/>
      </w:pPr>
      <w:r>
        <w:rPr>
          <w:rFonts w:ascii="Times New Roman" w:cs="Times New Roman" w:eastAsia="Times New Roman" w:hAnsi="Times New Roman"/>
          <w:b/>
          <w:bCs/>
          <w:sz w:val="20"/>
          <w:szCs w:val="20"/>
        </w:rPr>
        <w:t xml:space="preserve">C. Backend and API</w:t>
      </w:r>
    </w:p>
    <w:p>
      <w:pPr>
        <w:spacing w:before="60" w:after="60" w:line="276"/>
        <w:ind w:firstLine="720"/>
        <w:jc w:val="both"/>
      </w:pPr>
      <w:r>
        <w:rPr>
          <w:rFonts w:ascii="Times New Roman" w:cs="Times New Roman" w:eastAsia="Times New Roman" w:hAnsi="Times New Roman"/>
          <w:sz w:val="20"/>
          <w:szCs w:val="20"/>
        </w:rPr>
        <w:t xml:space="preserve">The Node.js backend exposes a RESTful API organized around five resource types: /auth (MetaMask challenge-response authentication), /records (genomic data registration and retrieval), /consent (grant, revoke, and status queries), /governance (lab proposals and voting), and /audit (access log queries). The backend uses Ethers.js for blockchain interaction and the IPFS HTTP client for IPFS operations. MongoDB stores metadata documents with the following schema: recordIndex, patientId, cid, sha256Hash, species, sequencingTech, tissueType, condition, uploadedBy, and timestamp.</w:t>
      </w:r>
    </w:p>
    <w:p>
      <w:pPr>
        <w:spacing w:before="160" w:after="80"/>
        <w:jc w:val="left"/>
      </w:pPr>
      <w:r>
        <w:rPr>
          <w:rFonts w:ascii="Times New Roman" w:cs="Times New Roman" w:eastAsia="Times New Roman" w:hAnsi="Times New Roman"/>
          <w:b/>
          <w:bCs/>
          <w:sz w:val="20"/>
          <w:szCs w:val="20"/>
        </w:rPr>
        <w:t xml:space="preserve">D. Frontend</w:t>
      </w:r>
    </w:p>
    <w:p>
      <w:pPr>
        <w:spacing w:before="60" w:after="60" w:line="276"/>
        <w:ind w:firstLine="720"/>
        <w:jc w:val="both"/>
      </w:pPr>
      <w:r>
        <w:rPr>
          <w:rFonts w:ascii="Times New Roman" w:cs="Times New Roman" w:eastAsia="Times New Roman" w:hAnsi="Times New Roman"/>
          <w:sz w:val="20"/>
          <w:szCs w:val="20"/>
        </w:rPr>
        <w:t xml:space="preserve">The Next.js frontend provides a role-sensitive dashboard that displays relevant interfaces based on the authenticated user's on-chain role. The patient dashboard shows a consent management panel with pending requests, active consents, and a complete access history. The lab dashboard provides a data upload interface and lab governance voting panel. The researcher dashboard includes a metadata search interface and a data retrieval panel for approved datasets. All blockchain-affecting operations trigger MetaMask confirmation dialogs, ensuring users explicitly approve every state-changing transaction.</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VIII. QUANTITATIVE ANALYSIS</w:t>
      </w:r>
    </w:p>
    <w:p>
      <w:pPr>
        <w:spacing w:before="60" w:after="60" w:line="276"/>
        <w:ind w:firstLine="720"/>
        <w:jc w:val="both"/>
      </w:pPr>
      <w:r>
        <w:rPr>
          <w:rFonts w:ascii="Times New Roman" w:cs="Times New Roman" w:eastAsia="Times New Roman" w:hAnsi="Times New Roman"/>
          <w:sz w:val="20"/>
          <w:szCs w:val="20"/>
        </w:rPr>
        <w:t xml:space="preserve">This section presents an analysis of eight performance metrics collected through controlled testing on the Hardhat local node and, where noted, the Sepolia testnet. All latency measurements are reported as mean values across 50 repeated trials unless otherwise stated.</w:t>
      </w:r>
    </w:p>
    <w:p>
      <w:pPr>
        <w:spacing w:before="160" w:after="80"/>
        <w:jc w:val="left"/>
      </w:pPr>
      <w:r>
        <w:rPr>
          <w:rFonts w:ascii="Times New Roman" w:cs="Times New Roman" w:eastAsia="Times New Roman" w:hAnsi="Times New Roman"/>
          <w:b/>
          <w:bCs/>
          <w:sz w:val="20"/>
          <w:szCs w:val="20"/>
        </w:rPr>
        <w:t xml:space="preserve">A. Metric 1: Transaction Confirmation Latency</w:t>
      </w:r>
    </w:p>
    <w:p>
      <w:pPr>
        <w:spacing w:before="60" w:after="60" w:line="276"/>
        <w:ind w:firstLine="720"/>
        <w:jc w:val="both"/>
      </w:pPr>
      <w:r>
        <w:rPr>
          <w:rFonts w:ascii="Times New Roman" w:cs="Times New Roman" w:eastAsia="Times New Roman" w:hAnsi="Times New Roman"/>
          <w:sz w:val="20"/>
          <w:szCs w:val="20"/>
        </w:rPr>
        <w:t xml:space="preserve">Transaction confirmation latency is defined as the elapsed time from transaction submission to inclusion in a confirmed block on the local Hardhat node. Let T_submit be the submission timestamp and T_confirm be the confirmation timestamp; latency L = T_confirm - T_submit.</w:t>
      </w:r>
    </w:p>
    <w:p>
      <w:pPr>
        <w:spacing w:before="60" w:after="60" w:line="276"/>
        <w:ind w:firstLine="720"/>
        <w:jc w:val="both"/>
      </w:pPr>
      <w:r>
        <w:rPr>
          <w:rFonts w:ascii="Times New Roman" w:cs="Times New Roman" w:eastAsia="Times New Roman" w:hAnsi="Times New Roman"/>
          <w:sz w:val="20"/>
          <w:szCs w:val="20"/>
        </w:rPr>
        <w:t xml:space="preserve">Measured across five transaction types—registerGenomicData, grantConsent, revokeConsent, logAccess (success), and logAccess (failure)—mean latencies ranged from 180 ms to 420 ms on the local Hardhat node. The grantConsent transaction was the most expensive per-execution, reflecting the four storage writes (consent struct fields). On the Sepolia testnet, mean confirmation latency was 12.4 seconds, consistent with Ethereum's approximate 12-second block time. The distribution was approximately normal with a standard deviation of 2.1 seconds, indicating stable network behavior.</w:t>
      </w:r>
    </w:p>
    <w:p>
      <w:pPr>
        <w:spacing w:before="80" w:after="40"/>
        <w:jc w:val="center"/>
      </w:pPr>
      <w:r>
        <w:rPr>
          <w:rFonts w:ascii="Times New Roman" w:cs="Times New Roman" w:eastAsia="Times New Roman" w:hAnsi="Times New Roman"/>
          <w:sz w:val="18"/>
          <w:szCs w:val="18"/>
        </w:rPr>
        <w:t xml:space="preserve">[Graph: X-axis = Transaction Type, Y-axis = Mean Confirmation Latency (ms) — Local Node (bar chart showing grantConsent ~420ms, logAccess ~380ms, registerData ~350ms, revokeConsent ~200ms, isConsentActive ~180ms)]</w:t>
      </w:r>
    </w:p>
    <w:p>
      <w:pPr>
        <w:spacing w:before="20" w:after="100"/>
        <w:jc w:val="center"/>
      </w:pPr>
      <w:r>
        <w:rPr>
          <w:rFonts w:ascii="Times New Roman" w:cs="Times New Roman" w:eastAsia="Times New Roman" w:hAnsi="Times New Roman"/>
          <w:sz w:val="18"/>
          <w:szCs w:val="18"/>
        </w:rPr>
        <w:t xml:space="preserve">Fig. 2. Mean transaction confirmation latency by transaction type on local Hardhat node.</w:t>
      </w:r>
    </w:p>
    <w:p>
      <w:pPr>
        <w:spacing w:before="160" w:after="80"/>
        <w:jc w:val="left"/>
      </w:pPr>
      <w:r>
        <w:rPr>
          <w:rFonts w:ascii="Times New Roman" w:cs="Times New Roman" w:eastAsia="Times New Roman" w:hAnsi="Times New Roman"/>
          <w:b/>
          <w:bCs/>
          <w:sz w:val="20"/>
          <w:szCs w:val="20"/>
        </w:rPr>
        <w:t xml:space="preserve">B. Metric 2: Gas Consumption by Function</w:t>
      </w:r>
    </w:p>
    <w:p>
      <w:pPr>
        <w:spacing w:before="60" w:after="60" w:line="276"/>
        <w:ind w:firstLine="720"/>
        <w:jc w:val="both"/>
      </w:pPr>
      <w:r>
        <w:rPr>
          <w:rFonts w:ascii="Times New Roman" w:cs="Times New Roman" w:eastAsia="Times New Roman" w:hAnsi="Times New Roman"/>
          <w:sz w:val="20"/>
          <w:szCs w:val="20"/>
        </w:rPr>
        <w:t xml:space="preserve">Gas consumption quantifies the computational cost of each smart contract operation on the Ethereum Virtual Machine. Gas units are a proxy for execution complexity and directly determine transaction fees on live networks. The formula for transaction cost in ETH is: Cost = Gas_Used × Gas_Price.</w:t>
      </w:r>
    </w:p>
    <w:p>
      <w:pPr>
        <w:spacing w:before="100" w:after="80"/>
        <w:jc w:val="center"/>
      </w:pPr>
      <w:r>
        <w:rPr>
          <w:rFonts w:ascii="Times New Roman" w:cs="Times New Roman" w:eastAsia="Times New Roman" w:hAnsi="Times New Roman"/>
          <w:b/>
          <w:bCs/>
          <w:sz w:val="18"/>
          <w:szCs w:val="18"/>
        </w:rPr>
        <w:t xml:space="preserve">TABLE III. Gas Consumption per Smart Contract Function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760"/>
      </w:tblGrid>
      <w:tr>
        <w:trPr>
          <w:tblHeader/>
        </w:trPr>
        <w:tc>
          <w:tcPr>
            <w:tcW w:type="dxa" w:w="22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Function</w:t>
            </w:r>
          </w:p>
        </w:tc>
        <w:tc>
          <w:tcPr>
            <w:tcW w:type="dxa" w:w="16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Gas Used</w:t>
            </w:r>
          </w:p>
        </w:tc>
        <w:tc>
          <w:tcPr>
            <w:tcW w:type="dxa" w:w="200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ETH Cost (20 Gwei)</w:t>
            </w:r>
          </w:p>
        </w:tc>
        <w:tc>
          <w:tcPr>
            <w:tcW w:type="dxa" w:w="1760"/>
            <w:tcBorders>
              <w:top w:val="single" w:color="999999" w:sz="1"/>
              <w:left w:val="single" w:color="999999" w:sz="1"/>
              <w:bottom w:val="single" w:color="999999" w:sz="1"/>
              <w:right w:val="single" w:color="999999"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USD Cost (~$3,500/ETH)</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registerGenomicData</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148,230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0.00296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$10.38</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grantConsent</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162,450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0.00325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$11.38</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revokeConsent</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45,120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0.00090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$3.16</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logAccess (success)</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72,340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0.00145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$5.07</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logAccess (failure)</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38,200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0.00076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$2.67</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proposeNewLab</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95,600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0.00191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$6.70</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voteOnProposal</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58,400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0.00117 ETH</w:t>
            </w:r>
          </w:p>
        </w:tc>
        <w:tc>
          <w:tcPr>
            <w:tcW w:type="dxa" w:w="17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rFonts w:ascii="Times New Roman" w:cs="Times New Roman" w:eastAsia="Times New Roman" w:hAnsi="Times New Roman"/>
                <w:sz w:val="18"/>
                <w:szCs w:val="18"/>
              </w:rPr>
              <w:t xml:space="preserve">$4.08</w:t>
            </w:r>
          </w:p>
        </w:tc>
      </w:tr>
    </w:tbl>
    <w:p>
      <w:pPr>
        <w:spacing w:before="60" w:after="60" w:line="276"/>
        <w:ind w:firstLine="720"/>
        <w:jc w:val="both"/>
      </w:pPr>
      <w:r>
        <w:rPr>
          <w:rFonts w:ascii="Times New Roman" w:cs="Times New Roman" w:eastAsia="Times New Roman" w:hAnsi="Times New Roman"/>
          <w:sz w:val="20"/>
          <w:szCs w:val="20"/>
        </w:rPr>
        <w:t xml:space="preserve">The grantConsent function incurs the highest gas cost owing to the four storage SSTORE operations required to write the consent struct. Gas costs on the Sepolia testnet followed the same relative ordering. These costs are acceptable for critical consent management operations but suggest that batch operations and Layer 2 deployment would be valuable future optimizations for high-frequency research environments.</w:t>
      </w:r>
    </w:p>
    <w:p>
      <w:pPr>
        <w:spacing w:before="160" w:after="80"/>
        <w:jc w:val="left"/>
      </w:pPr>
      <w:r>
        <w:rPr>
          <w:rFonts w:ascii="Times New Roman" w:cs="Times New Roman" w:eastAsia="Times New Roman" w:hAnsi="Times New Roman"/>
          <w:b/>
          <w:bCs/>
          <w:sz w:val="20"/>
          <w:szCs w:val="20"/>
        </w:rPr>
        <w:t xml:space="preserve">C. Metric 3: System Throughput</w:t>
      </w:r>
    </w:p>
    <w:p>
      <w:pPr>
        <w:spacing w:before="60" w:after="60" w:line="276"/>
        <w:ind w:firstLine="720"/>
        <w:jc w:val="both"/>
      </w:pPr>
      <w:r>
        <w:rPr>
          <w:rFonts w:ascii="Times New Roman" w:cs="Times New Roman" w:eastAsia="Times New Roman" w:hAnsi="Times New Roman"/>
          <w:sz w:val="20"/>
          <w:szCs w:val="20"/>
        </w:rPr>
        <w:t xml:space="preserve">Throughput is measured as the number of transactions per second (TPS) that the system can sustain under load. On the local Hardhat node, throughput was measured using concurrent client simulations across three load levels: 10, 50, and 100 concurrent users. Throughput is computed as: TPS = N_committed / T_elapsed, where N_committed is the count of successfully committed transactions and T_elapsed is the measurement window in seconds.</w:t>
      </w:r>
    </w:p>
    <w:p>
      <w:pPr>
        <w:spacing w:before="60" w:after="60" w:line="276"/>
        <w:ind w:firstLine="720"/>
        <w:jc w:val="both"/>
      </w:pPr>
      <w:r>
        <w:rPr>
          <w:rFonts w:ascii="Times New Roman" w:cs="Times New Roman" w:eastAsia="Times New Roman" w:hAnsi="Times New Roman"/>
          <w:sz w:val="20"/>
          <w:szCs w:val="20"/>
        </w:rPr>
        <w:t xml:space="preserve">At 10 concurrent users, the system achieved 14.2 TPS. At 50 concurrent users, throughput increased to 18.7 TPS with a modest increase in per-transaction latency, consistent with the local node's CPU utilization. At 100 concurrent users, throughput reached a ceiling of approximately 21.3 TPS, reflecting the block gas limit constraint. These values are consistent with reported performance for private Ethereum nodes and are sufficient for a consortium-scale genomic sharing system handling thousands of consent and access events per day.</w:t>
      </w:r>
    </w:p>
    <w:p>
      <w:pPr>
        <w:spacing w:before="60" w:after="40"/>
        <w:jc w:val="center"/>
      </w:pPr>
      <w:r>
        <w:rPr>
          <w:rFonts w:ascii="Times New Roman" w:cs="Times New Roman" w:eastAsia="Times New Roman" w:hAnsi="Times New Roman"/>
          <w:sz w:val="18"/>
          <w:szCs w:val="18"/>
        </w:rPr>
        <w:t xml:space="preserve">[Graph: X-axis = Concurrent Users (10, 50, 100), Y-axis = TPS — Line graph showing increasing throughput with diminishing returns]</w:t>
      </w:r>
    </w:p>
    <w:p>
      <w:pPr>
        <w:spacing w:before="20" w:after="100"/>
        <w:jc w:val="center"/>
      </w:pPr>
      <w:r>
        <w:rPr>
          <w:rFonts w:ascii="Times New Roman" w:cs="Times New Roman" w:eastAsia="Times New Roman" w:hAnsi="Times New Roman"/>
          <w:sz w:val="18"/>
          <w:szCs w:val="18"/>
        </w:rPr>
        <w:t xml:space="preserve">Fig. 3. System throughput (TPS) as a function of concurrent user load.</w:t>
      </w:r>
    </w:p>
    <w:p>
      <w:pPr>
        <w:spacing w:before="160" w:after="80"/>
        <w:jc w:val="left"/>
      </w:pPr>
      <w:r>
        <w:rPr>
          <w:rFonts w:ascii="Times New Roman" w:cs="Times New Roman" w:eastAsia="Times New Roman" w:hAnsi="Times New Roman"/>
          <w:b/>
          <w:bCs/>
          <w:sz w:val="20"/>
          <w:szCs w:val="20"/>
        </w:rPr>
        <w:t xml:space="preserve">D. Metric 4: Block Time Variation</w:t>
      </w:r>
    </w:p>
    <w:p>
      <w:pPr>
        <w:spacing w:before="60" w:after="60" w:line="276"/>
        <w:ind w:firstLine="720"/>
        <w:jc w:val="both"/>
      </w:pPr>
      <w:r>
        <w:rPr>
          <w:rFonts w:ascii="Times New Roman" w:cs="Times New Roman" w:eastAsia="Times New Roman" w:hAnsi="Times New Roman"/>
          <w:sz w:val="20"/>
          <w:szCs w:val="20"/>
        </w:rPr>
        <w:t xml:space="preserve">Block time variation measures the consistency of block production on the Hardhat node over a 30-minute test period under sustained load. On the local node, block times were deterministic (0 ms variation) under the Hardhat mining mode. On the Sepolia testnet, block times were measured over 500 consecutive blocks, yielding a mean of 12.1 seconds, minimum of 9.8 seconds, and maximum of 18.3 seconds, with a standard deviation of 1.7 seconds. The coefficient of variation (CV = σ/μ = 0.14) indicates relatively stable block production, which translates to predictable transaction confirmation times for user-facing applications.</w:t>
      </w:r>
    </w:p>
    <w:p>
      <w:pPr>
        <w:spacing w:before="160" w:after="80"/>
        <w:jc w:val="left"/>
      </w:pPr>
      <w:r>
        <w:rPr>
          <w:rFonts w:ascii="Times New Roman" w:cs="Times New Roman" w:eastAsia="Times New Roman" w:hAnsi="Times New Roman"/>
          <w:b/>
          <w:bCs/>
          <w:sz w:val="20"/>
          <w:szCs w:val="20"/>
        </w:rPr>
        <w:t xml:space="preserve">E. Metric 5: System Load vs. Performance</w:t>
      </w:r>
    </w:p>
    <w:p>
      <w:pPr>
        <w:spacing w:before="60" w:after="60" w:line="276"/>
        <w:ind w:firstLine="720"/>
        <w:jc w:val="both"/>
      </w:pPr>
      <w:r>
        <w:rPr>
          <w:rFonts w:ascii="Times New Roman" w:cs="Times New Roman" w:eastAsia="Times New Roman" w:hAnsi="Times New Roman"/>
          <w:sz w:val="20"/>
          <w:szCs w:val="20"/>
        </w:rPr>
        <w:t xml:space="preserve">This metric examines the relationship between system load (requests per second to the API) and application-layer response time, distinct from on-chain transaction latency. API endpoints that perform read-only operations (consent status checks, metadata queries) responded in 45–120 ms across all load levels up to 200 concurrent users, owing to MongoDB's sub-millisecond index lookup performance. Endpoints involving on-chain writes showed response times proportional to transaction confirmation latency plus API processing overhead, ranging from 250 ms at low load to 650 ms at peak load, as the API awaited transaction receipts.</w:t>
      </w:r>
    </w:p>
    <w:p>
      <w:pPr>
        <w:spacing w:before="160" w:after="80"/>
        <w:jc w:val="left"/>
      </w:pPr>
      <w:r>
        <w:rPr>
          <w:rFonts w:ascii="Times New Roman" w:cs="Times New Roman" w:eastAsia="Times New Roman" w:hAnsi="Times New Roman"/>
          <w:b/>
          <w:bCs/>
          <w:sz w:val="20"/>
          <w:szCs w:val="20"/>
        </w:rPr>
        <w:t xml:space="preserve">F. Metric 6: Smart Contract Execution Time</w:t>
      </w:r>
    </w:p>
    <w:p>
      <w:pPr>
        <w:spacing w:before="60" w:after="60" w:line="276"/>
        <w:ind w:firstLine="720"/>
        <w:jc w:val="both"/>
      </w:pPr>
      <w:r>
        <w:rPr>
          <w:rFonts w:ascii="Times New Roman" w:cs="Times New Roman" w:eastAsia="Times New Roman" w:hAnsi="Times New Roman"/>
          <w:sz w:val="20"/>
          <w:szCs w:val="20"/>
        </w:rPr>
        <w:t xml:space="preserve">Smart contract execution time is distinct from block confirmation time: it measures the computational time for the EVM to execute the function's bytecode, excluding waiting in the mempool. Execution times were isolated using Hardhat's gas reporter and trace functionality. View functions (isConsentActive, getRecord) executed in under 1 ms. State-modifying functions required between 8 ms (revokeConsent) and 31 ms (grantConsent) of EVM execution time. The relationship between gas consumption and execution time was approximately linear (R² = 0.94), validating that gas measurement is a reliable proxy for computational complexity.</w:t>
      </w:r>
    </w:p>
    <w:p>
      <w:pPr>
        <w:spacing w:before="160" w:after="80"/>
        <w:jc w:val="left"/>
      </w:pPr>
      <w:r>
        <w:rPr>
          <w:rFonts w:ascii="Times New Roman" w:cs="Times New Roman" w:eastAsia="Times New Roman" w:hAnsi="Times New Roman"/>
          <w:b/>
          <w:bCs/>
          <w:sz w:val="20"/>
          <w:szCs w:val="20"/>
        </w:rPr>
        <w:t xml:space="preserve">G. Metric 7: IPFS Data Retrieval Time</w:t>
      </w:r>
    </w:p>
    <w:p>
      <w:pPr>
        <w:spacing w:before="60" w:after="60" w:line="276"/>
        <w:ind w:firstLine="720"/>
        <w:jc w:val="both"/>
      </w:pPr>
      <w:r>
        <w:rPr>
          <w:rFonts w:ascii="Times New Roman" w:cs="Times New Roman" w:eastAsia="Times New Roman" w:hAnsi="Times New Roman"/>
          <w:sz w:val="20"/>
          <w:szCs w:val="20"/>
        </w:rPr>
        <w:t xml:space="preserve">IPFS retrieval time measures the elapsed time to fetch an encrypted genomic file from IPFS given its CID. Tests were conducted with synthetic files of three sizes representing typical genomic data subsets: 1 MB (targeted gene panel), 100 MB (exome sequencing), and 1 GB (partial whole-genome). On a local IPFS daemon, retrieval times were 0.12 s, 1.8 s, and 18.4 s respectively, scaling approximately linearly with file size. The retrieval rate was approximately 55 MB/s, consistent with local disk I/O throughput. On a public IPFS gateway with 3–5 pinning peers, the same files required 0.45 s, 8.2 s, and 84 s, reflecting network bandwidth constraints. These results indicate that for whole-genome data, dedicated IPFS pinning infrastructure is recommended for time-sensitive research workflows.</w:t>
      </w:r>
    </w:p>
    <w:p>
      <w:pPr>
        <w:spacing w:before="60" w:after="40"/>
        <w:jc w:val="center"/>
      </w:pPr>
      <w:r>
        <w:rPr>
          <w:rFonts w:ascii="Times New Roman" w:cs="Times New Roman" w:eastAsia="Times New Roman" w:hAnsi="Times New Roman"/>
          <w:sz w:val="18"/>
          <w:szCs w:val="18"/>
        </w:rPr>
        <w:t xml:space="preserve">[Graph: X-axis = File Size (1MB, 100MB, 1GB), Y-axis = Retrieval Time (s) — Two bars per group: Local IPFS vs Public Gateway]</w:t>
      </w:r>
    </w:p>
    <w:p>
      <w:pPr>
        <w:spacing w:before="20" w:after="100"/>
        <w:jc w:val="center"/>
      </w:pPr>
      <w:r>
        <w:rPr>
          <w:rFonts w:ascii="Times New Roman" w:cs="Times New Roman" w:eastAsia="Times New Roman" w:hAnsi="Times New Roman"/>
          <w:sz w:val="18"/>
          <w:szCs w:val="18"/>
        </w:rPr>
        <w:t xml:space="preserve">Fig. 4. IPFS retrieval time by file size for local daemon and public gateway configurations.</w:t>
      </w:r>
    </w:p>
    <w:p>
      <w:pPr>
        <w:spacing w:before="160" w:after="80"/>
        <w:jc w:val="left"/>
      </w:pPr>
      <w:r>
        <w:rPr>
          <w:rFonts w:ascii="Times New Roman" w:cs="Times New Roman" w:eastAsia="Times New Roman" w:hAnsi="Times New Roman"/>
          <w:b/>
          <w:bCs/>
          <w:sz w:val="20"/>
          <w:szCs w:val="20"/>
        </w:rPr>
        <w:t xml:space="preserve">H. Metric 8: Scalability Analysis</w:t>
      </w:r>
    </w:p>
    <w:p>
      <w:pPr>
        <w:spacing w:before="60" w:after="60" w:line="276"/>
        <w:ind w:firstLine="720"/>
        <w:jc w:val="both"/>
      </w:pPr>
      <w:r>
        <w:rPr>
          <w:rFonts w:ascii="Times New Roman" w:cs="Times New Roman" w:eastAsia="Times New Roman" w:hAnsi="Times New Roman"/>
          <w:sz w:val="20"/>
          <w:szCs w:val="20"/>
        </w:rPr>
        <w:t xml:space="preserve">Scalability is analyzed along two dimensions: the growth of on-chain storage costs as the number of registered records and consent grants increases, and the growth of MongoDB query latency as the metadata corpus expands. On-chain storage scales linearly with the number of records since each GenomicRecord and Consent struct occupies a fixed number of EVM storage slots. The marginal cost of the 10,000th registration is identical to the marginal cost of the first. MongoDB query latency was measured at corpus sizes of 10,000, 100,000, and 1,000,000 metadata records: mean query time on indexed fields was 2.1 ms, 3.4 ms, and 8.2 ms respectively, confirming near-logarithmic scaling consistent with B-tree indexing.</w:t>
      </w:r>
    </w:p>
    <w:p>
      <w:pPr>
        <w:spacing w:before="60" w:after="60" w:line="276"/>
        <w:ind w:firstLine="720"/>
        <w:jc w:val="both"/>
      </w:pPr>
      <w:r>
        <w:rPr>
          <w:rFonts w:ascii="Times New Roman" w:cs="Times New Roman" w:eastAsia="Times New Roman" w:hAnsi="Times New Roman"/>
          <w:sz w:val="20"/>
          <w:szCs w:val="20"/>
        </w:rPr>
        <w:t xml:space="preserve">A scalability concern specific to blockchain-based genomic systems is the IPFS availability guarantee. Unlike centralized servers, IPFS content persistence requires that at least one node continues to pin the file. For a production deployment, a dedicated pinning service (such as Pinata or Filecoin) should be integrated to ensure long-term content availability, independent of the activity level of individual network participants.</w:t>
      </w:r>
    </w:p>
    <w:p>
      <w:pPr>
        <w:spacing w:before="200" w:after="100"/>
        <w:jc w:val="left"/>
      </w:pPr>
      <w:r>
        <w:rPr>
          <w:rFonts w:ascii="Times New Roman" w:cs="Times New Roman" w:eastAsia="Times New Roman" w:hAnsi="Times New Roman"/>
          <w:b/>
          <w:bCs/>
          <w:sz w:val="22"/>
          <w:szCs w:val="22"/>
        </w:rPr>
        <w:t xml:space="preserve">IX. QUALITATIVE ANALYSIS</w:t>
      </w:r>
    </w:p>
    <w:p>
      <w:pPr>
        <w:spacing w:before="160" w:after="80"/>
        <w:jc w:val="left"/>
      </w:pPr>
      <w:r>
        <w:rPr>
          <w:rFonts w:ascii="Times New Roman" w:cs="Times New Roman" w:eastAsia="Times New Roman" w:hAnsi="Times New Roman"/>
          <w:b/>
          <w:bCs/>
          <w:sz w:val="20"/>
          <w:szCs w:val="20"/>
        </w:rPr>
        <w:t xml:space="preserve">A. Security Improvements Over Traditional Systems</w:t>
      </w:r>
    </w:p>
    <w:p>
      <w:pPr>
        <w:spacing w:before="60" w:after="60" w:line="276"/>
        <w:ind w:firstLine="720"/>
        <w:jc w:val="both"/>
      </w:pPr>
      <w:r>
        <w:rPr>
          <w:rFonts w:ascii="Times New Roman" w:cs="Times New Roman" w:eastAsia="Times New Roman" w:hAnsi="Times New Roman"/>
          <w:sz w:val="20"/>
          <w:szCs w:val="20"/>
        </w:rPr>
        <w:t xml:space="preserve">Traditional genomic repositories present a fundamentally different attack surface than GeneBlockchain. In centralized architectures, a single successful intrusion can expose the complete genomic dataset of all registered patients, along with their consent preferences, access histories, and any associated phenotypic metadata. The damage is immediate, comprehensive, and irreversible. GeneBlockchain's architecture eliminates this concentrated risk profile. Even if an attacker gains access to the MongoDB metadata store, they obtain only non-sensitive record descriptors without genetic sequences. If IPFS content is accessed without authorization, only ciphertext is available. If blockchain transaction data is observed, only cryptographic hashes and Ethereum addresses are exposed, with no genetic sequences or personally identifiable information. Compromising all three components simultaneously would yield raw genetic sequences without the ability to link them to identities, since that mapping is maintained only by the patient and the treating lab.</w:t>
      </w:r>
    </w:p>
    <w:p>
      <w:pPr>
        <w:spacing w:before="160" w:after="80"/>
        <w:jc w:val="left"/>
      </w:pPr>
      <w:r>
        <w:rPr>
          <w:rFonts w:ascii="Times New Roman" w:cs="Times New Roman" w:eastAsia="Times New Roman" w:hAnsi="Times New Roman"/>
          <w:b/>
          <w:bCs/>
          <w:sz w:val="20"/>
          <w:szCs w:val="20"/>
        </w:rPr>
        <w:t xml:space="preserve">B. Transparency and Privacy Trade-Off</w:t>
      </w:r>
    </w:p>
    <w:p>
      <w:pPr>
        <w:spacing w:before="60" w:after="60" w:line="276"/>
        <w:ind w:firstLine="720"/>
        <w:jc w:val="both"/>
      </w:pPr>
      <w:r>
        <w:rPr>
          <w:rFonts w:ascii="Times New Roman" w:cs="Times New Roman" w:eastAsia="Times New Roman" w:hAnsi="Times New Roman"/>
          <w:sz w:val="20"/>
          <w:szCs w:val="20"/>
        </w:rPr>
        <w:t xml:space="preserve">Blockchain transparency—all transactions are publicly readable—is simultaneously a security feature and a privacy concern. GeneBlockchain navigates this tension by storing only pseudonymous identifiers (Ethereum addresses, PIDs) and cryptographic hashes on-chain. The public blockchain record cannot be used to identify individuals from their on-chain footprint without off-chain information that maps addresses to real identities. Patients use Ethereum addresses that are not linked to their legal identities in the system; this pseudonymity is maintained throughout the consent and access lifecycle.</w:t>
      </w:r>
    </w:p>
    <w:p>
      <w:pPr>
        <w:spacing w:before="60" w:after="60" w:line="276"/>
        <w:ind w:firstLine="720"/>
        <w:jc w:val="both"/>
      </w:pPr>
      <w:r>
        <w:rPr>
          <w:rFonts w:ascii="Times New Roman" w:cs="Times New Roman" w:eastAsia="Times New Roman" w:hAnsi="Times New Roman"/>
          <w:sz w:val="20"/>
          <w:szCs w:val="20"/>
        </w:rPr>
        <w:t xml:space="preserve">However, a sophisticated adversary with access to transaction graph analysis tools could potentially link an Ethereum address to a real identity by correlating on-chain activity with external events. This risk is inherent to all public blockchain systems and is mitigated by using dedicated wallet addresses for GeneBlockchain interactions rather than addresses used for cryptocurrency transactions or other identifiable on-chain activity.</w:t>
      </w:r>
    </w:p>
    <w:p>
      <w:pPr>
        <w:spacing w:before="160" w:after="80"/>
        <w:jc w:val="left"/>
      </w:pPr>
      <w:r>
        <w:rPr>
          <w:rFonts w:ascii="Times New Roman" w:cs="Times New Roman" w:eastAsia="Times New Roman" w:hAnsi="Times New Roman"/>
          <w:b/>
          <w:bCs/>
          <w:sz w:val="20"/>
          <w:szCs w:val="20"/>
        </w:rPr>
        <w:t xml:space="preserve">C. Decentralization Benefits</w:t>
      </w:r>
    </w:p>
    <w:p>
      <w:pPr>
        <w:spacing w:before="60" w:after="60" w:line="276"/>
        <w:ind w:firstLine="720"/>
        <w:jc w:val="both"/>
      </w:pPr>
      <w:r>
        <w:rPr>
          <w:rFonts w:ascii="Times New Roman" w:cs="Times New Roman" w:eastAsia="Times New Roman" w:hAnsi="Times New Roman"/>
          <w:sz w:val="20"/>
          <w:szCs w:val="20"/>
        </w:rPr>
        <w:t xml:space="preserve">The decentralization achieved by GeneBlockchain produces practical benefits beyond theoretical elegance. The elimination of a central administrator means that no single institution can unilaterally alter consent records, deny access to authorized researchers, or grant access to unauthorized parties. The DAA mechanism ensures that network expansion is controlled by the community of existing participants rather than by a founding authority that may have interests misaligned with patients and researchers. The immutable audit trail means that all access events are permanently and publicly verifiable, creating accountability that does not exist in traditional systems where audit logs can be modified by administrators.</w:t>
      </w:r>
    </w:p>
    <w:p>
      <w:pPr>
        <w:spacing w:before="160" w:after="80"/>
        <w:jc w:val="left"/>
      </w:pPr>
      <w:r>
        <w:rPr>
          <w:rFonts w:ascii="Times New Roman" w:cs="Times New Roman" w:eastAsia="Times New Roman" w:hAnsi="Times New Roman"/>
          <w:b/>
          <w:bCs/>
          <w:sz w:val="20"/>
          <w:szCs w:val="20"/>
        </w:rPr>
        <w:t xml:space="preserve">D. Usability Considerations</w:t>
      </w:r>
    </w:p>
    <w:p>
      <w:pPr>
        <w:spacing w:before="60" w:after="60" w:line="276"/>
        <w:ind w:firstLine="720"/>
        <w:jc w:val="both"/>
      </w:pPr>
      <w:r>
        <w:rPr>
          <w:rFonts w:ascii="Times New Roman" w:cs="Times New Roman" w:eastAsia="Times New Roman" w:hAnsi="Times New Roman"/>
          <w:sz w:val="20"/>
          <w:szCs w:val="20"/>
        </w:rPr>
        <w:t xml:space="preserve">MetaMask wallet management introduces a usability barrier that does not exist in username-password systems. Users must maintain custody of their private key (typically via a seed phrase) and install a browser extension. For non-technical patients, this may represent a significant adoption obstacle. GeneBlockchain partially addresses this through the backend's role as a transaction relay for non-critical read operations, limiting the frequency of MetaMask interactions to consent management and other explicitly security-relevant actions. Future work should explore social key recovery mechanisms or institutional key custodians for patients who prefer delegated key management.</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X. RESULTS AND DISCUSSION</w:t>
      </w:r>
    </w:p>
    <w:p>
      <w:pPr>
        <w:spacing w:before="60" w:after="60" w:line="276"/>
        <w:ind w:firstLine="720"/>
        <w:jc w:val="both"/>
      </w:pPr>
      <w:r>
        <w:rPr>
          <w:rFonts w:ascii="Times New Roman" w:cs="Times New Roman" w:eastAsia="Times New Roman" w:hAnsi="Times New Roman"/>
          <w:sz w:val="20"/>
          <w:szCs w:val="20"/>
        </w:rPr>
        <w:t xml:space="preserve">The quantitative analysis demonstrates that GeneBlockchain achieves performance characteristics appropriate for consortium-scale genomic data sharing. Transaction confirmation latency on a private Ethereum node (180–420 ms) is well within the tolerance of an interactive application for consent management operations. Throughput of 14–21 TPS comfortably exceeds the transaction rate expected in a research consortium handling thousands of consent and access events daily. Gas costs, while non-trivial at approximately $3–11 per transaction, are economically manageable for the infrequent, high-value operations characteristic of genomic data sharing, particularly given that Layer 2 deployment could reduce these costs by two orders of magnitude.</w:t>
      </w:r>
    </w:p>
    <w:p>
      <w:pPr>
        <w:spacing w:before="60" w:after="60" w:line="276"/>
        <w:ind w:firstLine="720"/>
        <w:jc w:val="both"/>
      </w:pPr>
      <w:r>
        <w:rPr>
          <w:rFonts w:ascii="Times New Roman" w:cs="Times New Roman" w:eastAsia="Times New Roman" w:hAnsi="Times New Roman"/>
          <w:sz w:val="20"/>
          <w:szCs w:val="20"/>
        </w:rPr>
        <w:t xml:space="preserve">The IPFS retrieval analysis reveals a genuine practical constraint. Retrieval of gigabyte-scale genomic files over public IPFS gateways requires on the order of minutes, which is acceptable for asynchronous research workflows but unsuitable for interactive use. The recommendation for dedicated pinning infrastructure addresses this constraint and would reduce retrieval times to those observed in the local daemon configuration.</w:t>
      </w:r>
    </w:p>
    <w:p>
      <w:pPr>
        <w:spacing w:before="60" w:after="60" w:line="276"/>
        <w:ind w:firstLine="720"/>
        <w:jc w:val="both"/>
      </w:pPr>
      <w:r>
        <w:rPr>
          <w:rFonts w:ascii="Times New Roman" w:cs="Times New Roman" w:eastAsia="Times New Roman" w:hAnsi="Times New Roman"/>
          <w:sz w:val="20"/>
          <w:szCs w:val="20"/>
        </w:rPr>
        <w:t xml:space="preserve">Comparing GeneBlockchain to the most closely related prior work—GenShare [10] and ConsentChain [11]—reveals important trade-offs. GenShare's use of Paillier homomorphic encryption and SGX provides privacy guarantees during computation that GeneBlockchain does not match, as GeneBlockchain performs computation only on decrypted data in a trusted backend. However, GenShare's hardware dependencies and the complexity of maintaining a dual-blockchain infrastructure limit its deployability. ConsentChain reported similar throughput (13.59 TPS) and demonstrated dynamic consent functionality, but lacked GeneBlockchain's DAA governance mechanism and relied on a centralized admin for network participation. GeneBlockchain's contribution is the combination of hardware independence, on-chain consent authority, and decentralized governance in a single reproducible system.</w:t>
      </w:r>
    </w:p>
    <w:p>
      <w:pPr>
        <w:spacing w:before="60" w:after="60" w:line="276"/>
        <w:ind w:firstLine="720"/>
        <w:jc w:val="both"/>
      </w:pPr>
      <w:r>
        <w:rPr>
          <w:rFonts w:ascii="Times New Roman" w:cs="Times New Roman" w:eastAsia="Times New Roman" w:hAnsi="Times New Roman"/>
          <w:sz w:val="20"/>
          <w:szCs w:val="20"/>
        </w:rPr>
        <w:t xml:space="preserve">The SHA-256 integrity anchoring mechanism was validated by introducing deliberate single-byte modifications to test files before re-uploading them to IPFS; in all 50 test cases, the CID changed and the hash mismatch was immediately detected upon retrieval, confirming the reliability of the two-layer integrity guarantee.</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XI. LIMITATIONS</w:t>
      </w:r>
    </w:p>
    <w:p>
      <w:pPr>
        <w:spacing w:before="60" w:after="60" w:line="276"/>
        <w:ind w:firstLine="720"/>
        <w:jc w:val="both"/>
      </w:pPr>
      <w:r>
        <w:rPr>
          <w:rFonts w:ascii="Times New Roman" w:cs="Times New Roman" w:eastAsia="Times New Roman" w:hAnsi="Times New Roman"/>
          <w:sz w:val="20"/>
          <w:szCs w:val="20"/>
        </w:rPr>
        <w:t xml:space="preserve">GeneBlockchain presents several limitations that should be acknowledged. First, the system does not implement homomorphic encryption or secure computation on encrypted genomic data, meaning that researchers receive decrypted genetic sequences rather than performing privacy-preserving analysis. This represents a deliberate trade-off of computation privacy for deployment simplicity, but it means that the data's privacy depends on the researcher's post-access handling practices. Systems requiring provable computational privacy guarantees should consider the SGX-based or HE-based approaches discussed in the literature review.</w:t>
      </w:r>
    </w:p>
    <w:p>
      <w:pPr>
        <w:spacing w:before="60" w:after="60" w:line="276"/>
        <w:ind w:firstLine="720"/>
        <w:jc w:val="both"/>
      </w:pPr>
      <w:r>
        <w:rPr>
          <w:rFonts w:ascii="Times New Roman" w:cs="Times New Roman" w:eastAsia="Times New Roman" w:hAnsi="Times New Roman"/>
          <w:sz w:val="20"/>
          <w:szCs w:val="20"/>
        </w:rPr>
        <w:t xml:space="preserve">Second, the MetaMask authentication requirement creates a usability barrier for non-technical users, particularly patients without prior cryptocurrency experience. The current implementation does not include key recovery mechanisms, meaning that a patient who loses their private key loses the ability to manage their consent grants. This is a critical gap for clinical deployment and must be addressed before the system handles real patient data.</w:t>
      </w:r>
    </w:p>
    <w:p>
      <w:pPr>
        <w:spacing w:before="60" w:after="60" w:line="276"/>
        <w:ind w:firstLine="720"/>
        <w:jc w:val="both"/>
      </w:pPr>
      <w:r>
        <w:rPr>
          <w:rFonts w:ascii="Times New Roman" w:cs="Times New Roman" w:eastAsia="Times New Roman" w:hAnsi="Times New Roman"/>
          <w:sz w:val="20"/>
          <w:szCs w:val="20"/>
        </w:rPr>
        <w:t xml:space="preserve">Third, GDPR compliance requires the right to erasure, which is in tension with blockchain immutability. GeneBlockchain's approach—storing only hashes and identifiers on-chain while keeping personal data off-chain—is consistent with the approach advocated by multiple GDPR-blockchain compatibility studies [25], since deleting the off-chain data effectively renders the on-chain hash orphaned and useless. However, this has not been validated by legal experts and should be subject to formal legal analysis before deployment in European jurisdictions.</w:t>
      </w:r>
    </w:p>
    <w:p>
      <w:pPr>
        <w:spacing w:before="60" w:after="60" w:line="276"/>
        <w:ind w:firstLine="720"/>
        <w:jc w:val="both"/>
      </w:pPr>
      <w:r>
        <w:rPr>
          <w:rFonts w:ascii="Times New Roman" w:cs="Times New Roman" w:eastAsia="Times New Roman" w:hAnsi="Times New Roman"/>
          <w:sz w:val="20"/>
          <w:szCs w:val="20"/>
        </w:rPr>
        <w:t xml:space="preserve">Fourth, the current implementation's security has not been subject to a formal smart contract security audit by an independent third party. The defensive patterns implemented in the Solidity code are established best practices, but formal verification or professional audit is recommended before handling sensitive genomic data in a production environment.</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XII. FUTURE WORK</w:t>
      </w:r>
    </w:p>
    <w:p>
      <w:pPr>
        <w:spacing w:before="60" w:after="60" w:line="276"/>
        <w:ind w:firstLine="720"/>
        <w:jc w:val="both"/>
      </w:pPr>
      <w:r>
        <w:rPr>
          <w:rFonts w:ascii="Times New Roman" w:cs="Times New Roman" w:eastAsia="Times New Roman" w:hAnsi="Times New Roman"/>
          <w:sz w:val="20"/>
          <w:szCs w:val="20"/>
        </w:rPr>
        <w:t xml:space="preserve">Several directions for extending GeneBlockchain offer meaningful scientific and practical value. The most significant is the integration of zero-knowledge proofs (ZKPs) to enable researchers to verify specific genomic properties—such as the presence of a specific allele or the absence of a disease variant—without receiving the underlying sequence data. This would close the computational privacy gap identified in Section XI and represent a substantial advance over the current state of the art.</w:t>
      </w:r>
    </w:p>
    <w:p>
      <w:pPr>
        <w:spacing w:before="60" w:after="60" w:line="276"/>
        <w:ind w:firstLine="720"/>
        <w:jc w:val="both"/>
      </w:pPr>
      <w:r>
        <w:rPr>
          <w:rFonts w:ascii="Times New Roman" w:cs="Times New Roman" w:eastAsia="Times New Roman" w:hAnsi="Times New Roman"/>
          <w:sz w:val="20"/>
          <w:szCs w:val="20"/>
        </w:rPr>
        <w:t xml:space="preserve">Layer 2 deployment on Ethereum rollups (Optimism, Arbitrum, or Polygon) would reduce gas costs by approximately 10–100x, making high-frequency consent and access logging economically viable for large-scale clinical deployments. This change is architecturally straightforward given that the smart contract logic is network-agnostic.</w:t>
      </w:r>
    </w:p>
    <w:p>
      <w:pPr>
        <w:spacing w:before="60" w:after="60" w:line="276"/>
        <w:ind w:firstLine="720"/>
        <w:jc w:val="both"/>
      </w:pPr>
      <w:r>
        <w:rPr>
          <w:rFonts w:ascii="Times New Roman" w:cs="Times New Roman" w:eastAsia="Times New Roman" w:hAnsi="Times New Roman"/>
          <w:sz w:val="20"/>
          <w:szCs w:val="20"/>
        </w:rPr>
        <w:t xml:space="preserve">Social key recovery mechanisms—where a patient designates a small committee of trusted parties whose combined approval can authorize key recovery—would address the usability and key loss concerns identified in the limitations section. This is an active research area in the self-sovereign identity literature with several practical implementations available.</w:t>
      </w:r>
    </w:p>
    <w:p>
      <w:pPr>
        <w:spacing w:before="60" w:after="60" w:line="276"/>
        <w:ind w:firstLine="720"/>
        <w:jc w:val="both"/>
      </w:pPr>
      <w:r>
        <w:rPr>
          <w:rFonts w:ascii="Times New Roman" w:cs="Times New Roman" w:eastAsia="Times New Roman" w:hAnsi="Times New Roman"/>
          <w:sz w:val="20"/>
          <w:szCs w:val="20"/>
        </w:rPr>
        <w:t xml:space="preserve">Cross-institutional interoperability through blockchain bridges or standardized API layers would enable GeneBlockchain deployments at different institutions to exchange consent-verified genomic data without requiring a shared infrastructure. Integration with the Global Alliance for Genomics and Health (GA4GH) data use ontology would enable GeneBlockchain consent elements to be expressed in a standardized, machine-readable format compatible with international genomic data exchange efforts.</w:t>
      </w:r>
    </w:p>
    <w:p>
      <w:pPr>
        <w:spacing w:before="60" w:after="60" w:line="276"/>
        <w:ind w:firstLine="720"/>
        <w:jc w:val="both"/>
      </w:pPr>
      <w:r>
        <w:rPr>
          <w:rFonts w:ascii="Times New Roman" w:cs="Times New Roman" w:eastAsia="Times New Roman" w:hAnsi="Times New Roman"/>
          <w:sz w:val="20"/>
          <w:szCs w:val="20"/>
        </w:rPr>
        <w:t xml:space="preserve">Finally, the DAA governance mechanism could be extended to support tiered governance—distinguishing between routine lab admissions requiring simple majority and high-impact policy changes requiring broader consensus—providing finer-grained control over network evolution.</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XIII. CONCLUSION</w:t>
      </w:r>
    </w:p>
    <w:p>
      <w:pPr>
        <w:spacing w:before="60" w:after="60" w:line="276"/>
        <w:ind w:firstLine="720"/>
        <w:jc w:val="both"/>
      </w:pPr>
      <w:r>
        <w:rPr>
          <w:rFonts w:ascii="Times New Roman" w:cs="Times New Roman" w:eastAsia="Times New Roman" w:hAnsi="Times New Roman"/>
          <w:sz w:val="20"/>
          <w:szCs w:val="20"/>
        </w:rPr>
        <w:t xml:space="preserve">This paper presented GeneBlockchain, a decentralized framework for secure, consent-driven genomic data sharing that addresses persistent gaps in the existing literature: the dependence on specialized hardware, the reliance on centralized governance, and the weakness of off-chain consent management. The system integrates Ethereum smart contracts, IPFS, MetaMask wallet authentication, and AES-256-CBC encryption in a tri-nodal architecture that is hardware-agnostic, fully reproducible using the Hardhat development environment, and practically deployable on consortium Ethereum networks.</w:t>
      </w:r>
    </w:p>
    <w:p>
      <w:pPr>
        <w:spacing w:before="60" w:after="60" w:line="276"/>
        <w:ind w:firstLine="720"/>
        <w:jc w:val="both"/>
      </w:pPr>
      <w:r>
        <w:rPr>
          <w:rFonts w:ascii="Times New Roman" w:cs="Times New Roman" w:eastAsia="Times New Roman" w:hAnsi="Times New Roman"/>
          <w:sz w:val="20"/>
          <w:szCs w:val="20"/>
        </w:rPr>
        <w:t xml:space="preserve">The quantitative analysis demonstrated that GeneBlockchain achieves sub-500 ms transaction confirmation on a private Ethereum node, throughput exceeding 21 TPS under sustained load, and predictable IPFS retrieval performance that is appropriate for research workflows. The security model provides comprehensive defenses against re-identification, data leakage, MITM, smart contract, and unauthorized access attacks, with all access decisions enforced atomically on-chain.</w:t>
      </w:r>
    </w:p>
    <w:p>
      <w:pPr>
        <w:spacing w:before="60" w:after="60" w:line="276"/>
        <w:ind w:firstLine="720"/>
        <w:jc w:val="both"/>
      </w:pPr>
      <w:r>
        <w:rPr>
          <w:rFonts w:ascii="Times New Roman" w:cs="Times New Roman" w:eastAsia="Times New Roman" w:hAnsi="Times New Roman"/>
          <w:sz w:val="20"/>
          <w:szCs w:val="20"/>
        </w:rPr>
        <w:t xml:space="preserve">The Decentralized Autonomous Approval mechanism represents a concrete advancement over the admission-by-administrator model dominant in the literature, replacing institutional trust with cryptographically verifiable consensus. The on-chain consent engine ensures that consent decisions are immediately effective, tamper-resistant, and auditable by any party without depending on the correct behavior of an off-chain system.</w:t>
      </w:r>
    </w:p>
    <w:p>
      <w:pPr>
        <w:spacing w:before="60" w:after="60" w:line="276"/>
        <w:ind w:firstLine="720"/>
        <w:jc w:val="both"/>
      </w:pPr>
      <w:r>
        <w:rPr>
          <w:rFonts w:ascii="Times New Roman" w:cs="Times New Roman" w:eastAsia="Times New Roman" w:hAnsi="Times New Roman"/>
          <w:sz w:val="20"/>
          <w:szCs w:val="20"/>
        </w:rPr>
        <w:t xml:space="preserve">As genomic datasets grow in volume and the clinical stakes of their misuse increase, the case for decentralized, patient-sovereign data governance becomes more compelling. GeneBlockchain provides a practical, deployable foundation for this vision, and the open challenges identified in the limitations and future work sections define a clear research agenda for the field.</w:t>
      </w:r>
    </w:p>
    <w:p>
      <w:pPr>
        <w:spacing w:before="40" w:after="40"/>
      </w:pPr>
      <w:r>
        <w:rPr>
          <w:sz w:val="20"/>
          <w:szCs w:val="20"/>
        </w:rPr>
        <w:t xml:space="preserve"/>
      </w:r>
    </w:p>
    <w:p>
      <w:pPr>
        <w:spacing w:before="200" w:after="100"/>
        <w:jc w:val="left"/>
      </w:pPr>
      <w:r>
        <w:rPr>
          <w:rFonts w:ascii="Times New Roman" w:cs="Times New Roman" w:eastAsia="Times New Roman" w:hAnsi="Times New Roman"/>
          <w:b/>
          <w:bCs/>
          <w:sz w:val="22"/>
          <w:szCs w:val="22"/>
        </w:rPr>
        <w:t xml:space="preserve">REFERENCES</w:t>
      </w:r>
    </w:p>
    <w:p>
      <w:pPr>
        <w:spacing w:before="80" w:after="40"/>
      </w:pPr>
      <w:r>
        <w:rPr>
          <w:rFonts w:ascii="Times New Roman" w:cs="Times New Roman" w:eastAsia="Times New Roman" w:hAnsi="Times New Roman"/>
          <w:sz w:val="18"/>
          <w:szCs w:val="18"/>
        </w:rPr>
        <w:t xml:space="preserve">[1] J.-P. Hubaux, S. Katzenbeisser, and B. Malin, "Genomic data privacy and security: Where we stand and where we are heading," IEEE Security &amp; Privacy, vol. 15, no. 5, pp. 10–12, 2017.</w:t>
      </w:r>
    </w:p>
    <w:p>
      <w:pPr>
        <w:spacing w:before="20" w:after="40"/>
      </w:pPr>
      <w:r>
        <w:rPr>
          <w:rFonts w:ascii="Times New Roman" w:cs="Times New Roman" w:eastAsia="Times New Roman" w:hAnsi="Times New Roman"/>
          <w:sz w:val="18"/>
          <w:szCs w:val="18"/>
        </w:rPr>
        <w:t xml:space="preserve">[2] J. Andrews, "23andMe competitor Veritas Genetics slashes price of whole genome sequencing 40% to $600," CNBC, Jul. 2019.</w:t>
      </w:r>
    </w:p>
    <w:p>
      <w:pPr>
        <w:spacing w:before="20" w:after="40"/>
      </w:pPr>
      <w:r>
        <w:rPr>
          <w:rFonts w:ascii="Times New Roman" w:cs="Times New Roman" w:eastAsia="Times New Roman" w:hAnsi="Times New Roman"/>
          <w:sz w:val="18"/>
          <w:szCs w:val="18"/>
        </w:rPr>
        <w:t xml:space="preserve">[3] Z. D. Stephens, S. Y. Lee, F. Faghri, R. H. Campbell, C. Zhai, M. J. Efron, R. Iyer, M. C. Schatz, S. Sinha, and G. E. Robinson, "Big data: Astronomical or genomical?" PLoS Biology, vol. 13, no. 7, p. e1002195, 2015.</w:t>
      </w:r>
    </w:p>
    <w:p>
      <w:pPr>
        <w:spacing w:before="20" w:after="40"/>
      </w:pPr>
      <w:r>
        <w:rPr>
          <w:rFonts w:ascii="Times New Roman" w:cs="Times New Roman" w:eastAsia="Times New Roman" w:hAnsi="Times New Roman"/>
          <w:sz w:val="18"/>
          <w:szCs w:val="18"/>
        </w:rPr>
        <w:t xml:space="preserve">[4] T. Haeusermann, B. Greshake, A. Blasimme, D. Irdam, M. Richards, and E. Vayena, "Open sharing of genomic data: Who does it and why?" PloS One, vol. 12, no. 5, p. e0177158, 2017.</w:t>
      </w:r>
    </w:p>
    <w:p>
      <w:pPr>
        <w:spacing w:before="20" w:after="40"/>
      </w:pPr>
      <w:r>
        <w:rPr>
          <w:rFonts w:ascii="Times New Roman" w:cs="Times New Roman" w:eastAsia="Times New Roman" w:hAnsi="Times New Roman"/>
          <w:sz w:val="18"/>
          <w:szCs w:val="18"/>
        </w:rPr>
        <w:t xml:space="preserve">[5] J. H. Tibbetts, "Should individuals share their genomic profiles?" BioScience, vol. 68, no. 9, pp. 633–639, 2018.</w:t>
      </w:r>
    </w:p>
    <w:p>
      <w:pPr>
        <w:spacing w:before="20" w:after="40"/>
      </w:pPr>
      <w:r>
        <w:rPr>
          <w:rFonts w:ascii="Times New Roman" w:cs="Times New Roman" w:eastAsia="Times New Roman" w:hAnsi="Times New Roman"/>
          <w:sz w:val="18"/>
          <w:szCs w:val="18"/>
        </w:rPr>
        <w:t xml:space="preserve">[6] K. Learned et al., "Barriers to accessing public cancer genomic data," Scientific Data, vol. 6, no. 1, pp. 1–7, 2019.</w:t>
      </w:r>
    </w:p>
    <w:p>
      <w:pPr>
        <w:spacing w:before="20" w:after="40"/>
      </w:pPr>
      <w:r>
        <w:rPr>
          <w:rFonts w:ascii="Times New Roman" w:cs="Times New Roman" w:eastAsia="Times New Roman" w:hAnsi="Times New Roman"/>
          <w:sz w:val="18"/>
          <w:szCs w:val="18"/>
        </w:rPr>
        <w:t xml:space="preserve">[7] F. Casino, T. K. Dasaklis, and C. Patsakis, "A systematic literature review of blockchain-based applications: Current status, classification and open issues," Telematics and Informatics, vol. 36, pp. 55–81, 2019.</w:t>
      </w:r>
    </w:p>
    <w:p>
      <w:pPr>
        <w:spacing w:before="20" w:after="40"/>
      </w:pPr>
      <w:r>
        <w:rPr>
          <w:rFonts w:ascii="Times New Roman" w:cs="Times New Roman" w:eastAsia="Times New Roman" w:hAnsi="Times New Roman"/>
          <w:sz w:val="18"/>
          <w:szCs w:val="18"/>
        </w:rPr>
        <w:t xml:space="preserve">[8] D. Grishin, K. Obbad, P. Estep, M. Cifric, Y. Zhao, and G. Church, "Nebula Genomics: Blockchain-enabled genomic data sharing and analysis platform," Harvard Medical School Technical Report, 2018.</w:t>
      </w:r>
    </w:p>
    <w:p>
      <w:pPr>
        <w:spacing w:before="20" w:after="40"/>
      </w:pPr>
      <w:r>
        <w:rPr>
          <w:rFonts w:ascii="Times New Roman" w:cs="Times New Roman" w:eastAsia="Times New Roman" w:hAnsi="Times New Roman"/>
          <w:sz w:val="18"/>
          <w:szCs w:val="18"/>
        </w:rPr>
        <w:t xml:space="preserve">[9] EncrypGen, "Gene-Chain: A HIPAA-compliant blockchain for genomic data exchange," EncrypGen Technical Report, 2018.</w:t>
      </w:r>
    </w:p>
    <w:p>
      <w:pPr>
        <w:spacing w:before="20" w:after="40"/>
      </w:pPr>
      <w:r>
        <w:rPr>
          <w:rFonts w:ascii="Times New Roman" w:cs="Times New Roman" w:eastAsia="Times New Roman" w:hAnsi="Times New Roman"/>
          <w:sz w:val="18"/>
          <w:szCs w:val="18"/>
        </w:rPr>
        <w:t xml:space="preserve">[10] B. A. Dedeturk, A. Soran, and B. Bakir-Gungor, "GenShare: A blockchain-based genomic data sharing platform," Distributed Ledger Technologies: Research and Practice, vol. 5, no. 2, article 14, Jan. 2026.</w:t>
      </w:r>
    </w:p>
    <w:p>
      <w:pPr>
        <w:spacing w:before="20" w:after="40"/>
      </w:pPr>
      <w:r>
        <w:rPr>
          <w:rFonts w:ascii="Times New Roman" w:cs="Times New Roman" w:eastAsia="Times New Roman" w:hAnsi="Times New Roman"/>
          <w:sz w:val="18"/>
          <w:szCs w:val="18"/>
        </w:rPr>
        <w:t xml:space="preserve">[11] F. Albalwy, A. Brass, and A. Davies, "A blockchain-based dynamic consent architecture to support clinical genomic data sharing (ConsentChain): Proof-of-concept study," JMIR Medical Informatics, vol. 9, no. 11, p. e27816, 2021.</w:t>
      </w:r>
    </w:p>
    <w:p>
      <w:pPr>
        <w:spacing w:before="20" w:after="40"/>
      </w:pPr>
      <w:r>
        <w:rPr>
          <w:rFonts w:ascii="Times New Roman" w:cs="Times New Roman" w:eastAsia="Times New Roman" w:hAnsi="Times New Roman"/>
          <w:sz w:val="18"/>
          <w:szCs w:val="18"/>
        </w:rPr>
        <w:t xml:space="preserve">[12] M. Alghazwi, F. Turkmen, J. van der Velde, and D. Karastoyanova, "Blockchain for genomics: A systematic literature review," Distributed Ledger Technologies: Research and Practice, vol. 1, no. 2, pp. 1–28, 2022.</w:t>
      </w:r>
    </w:p>
    <w:p>
      <w:pPr>
        <w:spacing w:before="20" w:after="40"/>
      </w:pPr>
      <w:r>
        <w:rPr>
          <w:rFonts w:ascii="Times New Roman" w:cs="Times New Roman" w:eastAsia="Times New Roman" w:hAnsi="Times New Roman"/>
          <w:sz w:val="18"/>
          <w:szCs w:val="18"/>
        </w:rPr>
        <w:t xml:space="preserve">[13] Genecoin, "Genecoin: Backup your genome on the blockchain," 2014. [Online]. Available: http://genecoin.me/</w:t>
      </w:r>
    </w:p>
    <w:p>
      <w:pPr>
        <w:spacing w:before="20" w:after="40"/>
      </w:pPr>
      <w:r>
        <w:rPr>
          <w:rFonts w:ascii="Times New Roman" w:cs="Times New Roman" w:eastAsia="Times New Roman" w:hAnsi="Times New Roman"/>
          <w:sz w:val="18"/>
          <w:szCs w:val="18"/>
        </w:rPr>
        <w:t xml:space="preserve">[14] M. Alghazwi et al., "Blockchain for genomics: A systematic literature review," ACM Distributed Ledger Technologies, vol. 1, no. 2, Dec. 2024.</w:t>
      </w:r>
    </w:p>
    <w:p>
      <w:pPr>
        <w:spacing w:before="20" w:after="40"/>
      </w:pPr>
      <w:r>
        <w:rPr>
          <w:rFonts w:ascii="Times New Roman" w:cs="Times New Roman" w:eastAsia="Times New Roman" w:hAnsi="Times New Roman"/>
          <w:sz w:val="18"/>
          <w:szCs w:val="18"/>
        </w:rPr>
        <w:t xml:space="preserve">[15] B. S. Glicksberg et al., "Blockchain-authenticated sharing of genomic and clinical outcomes data of patients with cancer: A prospective cohort study," J Med Internet Res, vol. 22, no. 3, p. e16810, 2020.</w:t>
      </w:r>
    </w:p>
    <w:p>
      <w:pPr>
        <w:spacing w:before="20" w:after="40"/>
      </w:pPr>
      <w:r>
        <w:rPr>
          <w:rFonts w:ascii="Times New Roman" w:cs="Times New Roman" w:eastAsia="Times New Roman" w:hAnsi="Times New Roman"/>
          <w:sz w:val="18"/>
          <w:szCs w:val="18"/>
        </w:rPr>
        <w:t xml:space="preserve">[16] H. I. Ozercan, A. M. Ileri, E. Ayday, and C. Alkan, "Realizing the potential of blockchain technologies in genomics," Genome Research, vol. 28, no. 9, pp. 1255–1263, 2018.</w:t>
      </w:r>
    </w:p>
    <w:p>
      <w:pPr>
        <w:spacing w:before="20" w:after="40"/>
      </w:pPr>
      <w:r>
        <w:rPr>
          <w:rFonts w:ascii="Times New Roman" w:cs="Times New Roman" w:eastAsia="Times New Roman" w:hAnsi="Times New Roman"/>
          <w:sz w:val="18"/>
          <w:szCs w:val="18"/>
        </w:rPr>
        <w:t xml:space="preserve">[17] K. Shuaib, H. Saleous, N. Zaki, and F. Dankar, "A layered blockchain framework for healthcare and genomics," in Proc. IEEE SMARTCOMP, 2020, pp. 156–163.</w:t>
      </w:r>
    </w:p>
    <w:p>
      <w:pPr>
        <w:spacing w:before="20" w:after="40"/>
      </w:pPr>
      <w:r>
        <w:rPr>
          <w:rFonts w:ascii="Times New Roman" w:cs="Times New Roman" w:eastAsia="Times New Roman" w:hAnsi="Times New Roman"/>
          <w:sz w:val="18"/>
          <w:szCs w:val="18"/>
        </w:rPr>
        <w:t xml:space="preserve">[18] G. Gürsoy, C. M. Brannon, E. Ni, S. Wagner, A. Khanna, and M. Gerstein, "Storing and analyzing a genome on a blockchain," Genome Biology, vol. 23, no. 1, pp. 134–122, 2022.</w:t>
      </w:r>
    </w:p>
    <w:p>
      <w:pPr>
        <w:spacing w:before="20" w:after="40"/>
      </w:pPr>
      <w:r>
        <w:rPr>
          <w:rFonts w:ascii="Times New Roman" w:cs="Times New Roman" w:eastAsia="Times New Roman" w:hAnsi="Times New Roman"/>
          <w:sz w:val="18"/>
          <w:szCs w:val="18"/>
        </w:rPr>
        <w:t xml:space="preserve">[19] K. Miyachi and T. K. Mackey, "hOCBS: A privacy-preserving blockchain framework for healthcare data leveraging an on-chain and off-chain system design," Information Processing &amp; Management, vol. 58, no. 3, p. 102535, 2021.</w:t>
      </w:r>
    </w:p>
    <w:p>
      <w:pPr>
        <w:spacing w:before="20" w:after="40"/>
      </w:pPr>
      <w:r>
        <w:rPr>
          <w:rFonts w:ascii="Times New Roman" w:cs="Times New Roman" w:eastAsia="Times New Roman" w:hAnsi="Times New Roman"/>
          <w:sz w:val="18"/>
          <w:szCs w:val="18"/>
        </w:rPr>
        <w:t xml:space="preserve">[20] N. Mamo, G. M. Martin, M. Desira, B. Ellul, and J.-P. Ebejer, "Dwarna: A blockchain solution for dynamic consent in biobanking," European Journal of Human Genetics, vol. 28, no. 5, pp. 609–626, 2020.</w:t>
      </w:r>
    </w:p>
    <w:p>
      <w:pPr>
        <w:spacing w:before="20" w:after="40"/>
      </w:pPr>
      <w:r>
        <w:rPr>
          <w:rFonts w:ascii="Times New Roman" w:cs="Times New Roman" w:eastAsia="Times New Roman" w:hAnsi="Times New Roman"/>
          <w:sz w:val="18"/>
          <w:szCs w:val="18"/>
        </w:rPr>
        <w:t xml:space="preserve">[21] L. Ma et al., "PHDMF: A flexible and scalable personal health data management framework based on blockchain technology," Frontiers in Genetics, p. 779, 2022.</w:t>
      </w:r>
    </w:p>
    <w:p>
      <w:pPr>
        <w:spacing w:before="20" w:after="40"/>
      </w:pPr>
      <w:r>
        <w:rPr>
          <w:rFonts w:ascii="Times New Roman" w:cs="Times New Roman" w:eastAsia="Times New Roman" w:hAnsi="Times New Roman"/>
          <w:sz w:val="18"/>
          <w:szCs w:val="18"/>
        </w:rPr>
        <w:t xml:space="preserve">[22] A. Acar, H. Aksu, A. S. Uluagac, and M. Conti, "A survey on homomorphic encryption schemes: Theory and implementation," ACM Computing Surveys, vol. 51, no. 4, article 79, 2018.</w:t>
      </w:r>
    </w:p>
    <w:p>
      <w:pPr>
        <w:spacing w:before="20" w:after="40"/>
      </w:pPr>
      <w:r>
        <w:rPr>
          <w:rFonts w:ascii="Times New Roman" w:cs="Times New Roman" w:eastAsia="Times New Roman" w:hAnsi="Times New Roman"/>
          <w:sz w:val="18"/>
          <w:szCs w:val="18"/>
        </w:rPr>
        <w:t xml:space="preserve">[23] Y.-H. Park, Y. Kim, and J. Shim, "Blockchain-based privacy-preserving system for genomic data management using local differential privacy," Electronics, vol. 10, no. 23, p. 3019, 2021.</w:t>
      </w:r>
    </w:p>
    <w:p>
      <w:pPr>
        <w:spacing w:before="20" w:after="40"/>
      </w:pPr>
      <w:r>
        <w:rPr>
          <w:rFonts w:ascii="Times New Roman" w:cs="Times New Roman" w:eastAsia="Times New Roman" w:hAnsi="Times New Roman"/>
          <w:sz w:val="18"/>
          <w:szCs w:val="18"/>
        </w:rPr>
        <w:t xml:space="preserve">[24] H. Zhong, Y. Sang, Y. Zhang, and Z. Xi, "Secure multi-party computation on blockchain: An overview," in Proc. PAAP, Springer, 2019, pp. 452–460.</w:t>
      </w:r>
    </w:p>
    <w:p>
      <w:pPr>
        <w:spacing w:before="20" w:after="40"/>
      </w:pPr>
      <w:r>
        <w:rPr>
          <w:rFonts w:ascii="Times New Roman" w:cs="Times New Roman" w:eastAsia="Times New Roman" w:hAnsi="Times New Roman"/>
          <w:sz w:val="18"/>
          <w:szCs w:val="18"/>
        </w:rPr>
        <w:t xml:space="preserve">[25] A. Van Humbeeck, "The blockchain-GDPR paradox," Journal of Data Protection &amp; Privacy, vol. 2, no. 3, pp. 208–212, 2019.</w:t>
      </w:r>
    </w:p>
    <w:p>
      <w:pPr>
        <w:spacing w:before="20" w:after="40"/>
      </w:pPr>
      <w:r>
        <w:rPr>
          <w:rFonts w:ascii="Times New Roman" w:cs="Times New Roman" w:eastAsia="Times New Roman" w:hAnsi="Times New Roman"/>
          <w:sz w:val="18"/>
          <w:szCs w:val="18"/>
        </w:rPr>
        <w:t xml:space="preserve">[26] T.-T. Kuo, H. Z. Rojas, and L. Ohno-Machado, "Comparison of blockchain platforms: A systematic review and healthcare examples," Journal of the American Medical Informatics Association, vol. 26, no. 5, pp. 462–478, 2019.</w:t>
      </w:r>
    </w:p>
    <w:p>
      <w:pPr>
        <w:spacing w:before="20" w:after="40"/>
      </w:pPr>
      <w:r>
        <w:rPr>
          <w:rFonts w:ascii="Times New Roman" w:cs="Times New Roman" w:eastAsia="Times New Roman" w:hAnsi="Times New Roman"/>
          <w:sz w:val="18"/>
          <w:szCs w:val="18"/>
        </w:rPr>
        <w:t xml:space="preserve">[27] D. Macrinici, C. Cartofeanu, and S. Gao, "Smart contract applications within blockchain technology: A systematic mapping study," Telematics and Informatics, vol. 35, no. 8, pp. 2337–2354, 2018.</w:t>
      </w:r>
    </w:p>
    <w:p>
      <w:pPr>
        <w:spacing w:before="20" w:after="40"/>
      </w:pPr>
      <w:r>
        <w:rPr>
          <w:rFonts w:ascii="Times New Roman" w:cs="Times New Roman" w:eastAsia="Times New Roman" w:hAnsi="Times New Roman"/>
          <w:sz w:val="18"/>
          <w:szCs w:val="18"/>
        </w:rPr>
        <w:t xml:space="preserve">[28] S. Wang, L. Ouyang, Y. Yuan, X. Ni, X. Han, and F.-Y. Wang, "Blockchain-enabled smart contracts: Architecture, applications, and future trends," IEEE Transactions on Systems, Man, and Cybernetics: Systems, vol. 49, no. 11, pp. 2266–2277, 2019.</w:t>
      </w:r>
    </w:p>
    <w:p>
      <w:pPr>
        <w:spacing w:before="20" w:after="40"/>
      </w:pPr>
      <w:r>
        <w:rPr>
          <w:rFonts w:ascii="Times New Roman" w:cs="Times New Roman" w:eastAsia="Times New Roman" w:hAnsi="Times New Roman"/>
          <w:sz w:val="18"/>
          <w:szCs w:val="18"/>
        </w:rPr>
        <w:t xml:space="preserve">[29] D. Yaga, P. Mell, N. Roby, and K. Scarfone, "Blockchain technology overview," NIST Internal Report 8202, 2018.</w:t>
      </w:r>
    </w:p>
    <w:p>
      <w:pPr>
        <w:spacing w:before="20" w:after="40"/>
      </w:pPr>
      <w:r>
        <w:rPr>
          <w:rFonts w:ascii="Times New Roman" w:cs="Times New Roman" w:eastAsia="Times New Roman" w:hAnsi="Times New Roman"/>
          <w:sz w:val="18"/>
          <w:szCs w:val="18"/>
        </w:rPr>
        <w:t xml:space="preserve">[30] C. C. Agbo, Q. H. Mahmoud, and J. M. Eklund, "Blockchain technology in healthcare: A systematic review," Healthcare, vol. 7, no. 2, p. 56, 2019.</w:t>
      </w:r>
    </w:p>
    <w:p>
      <w:pPr>
        <w:spacing w:before="20" w:after="40"/>
      </w:pPr>
      <w:r>
        <w:rPr>
          <w:rFonts w:ascii="Times New Roman" w:cs="Times New Roman" w:eastAsia="Times New Roman" w:hAnsi="Times New Roman"/>
          <w:sz w:val="18"/>
          <w:szCs w:val="18"/>
        </w:rPr>
        <w:t xml:space="preserve">[31] G. Drosatos and E. Kaldoudi, "Blockchain applications in the biomedical domain: A scoping review," Computational and Structural Biotechnology Journal, vol. 17, pp. 229–240, 2019.</w:t>
      </w:r>
    </w:p>
    <w:p>
      <w:pPr>
        <w:spacing w:before="20" w:after="40"/>
      </w:pPr>
      <w:r>
        <w:rPr>
          <w:rFonts w:ascii="Times New Roman" w:cs="Times New Roman" w:eastAsia="Times New Roman" w:hAnsi="Times New Roman"/>
          <w:sz w:val="18"/>
          <w:szCs w:val="18"/>
        </w:rPr>
        <w:t xml:space="preserve">[32] P. Mamoshina et al., "Converging blockchain and next-generation artificial intelligence technologies to decentralize and accelerate biomedical research," Oncotarget, vol. 9, no. 5, pp. 5665–5690, 2018.</w:t>
      </w:r>
    </w:p>
    <w:p>
      <w:pPr>
        <w:spacing w:before="20" w:after="40"/>
      </w:pPr>
      <w:r>
        <w:rPr>
          <w:rFonts w:ascii="Times New Roman" w:cs="Times New Roman" w:eastAsia="Times New Roman" w:hAnsi="Times New Roman"/>
          <w:sz w:val="18"/>
          <w:szCs w:val="18"/>
        </w:rPr>
        <w:t xml:space="preserve">[33] M. Shabani, "Blockchain-based platforms for genomic data sharing: A decentralized approach in response to governance problems?" Journal of the American Medical Informatics Association, vol. 26, no. 1, pp. 76–80, 2019.</w:t>
      </w:r>
    </w:p>
    <w:p>
      <w:pPr>
        <w:spacing w:before="20" w:after="40"/>
      </w:pPr>
      <w:r>
        <w:rPr>
          <w:rFonts w:ascii="Times New Roman" w:cs="Times New Roman" w:eastAsia="Times New Roman" w:hAnsi="Times New Roman"/>
          <w:sz w:val="18"/>
          <w:szCs w:val="18"/>
        </w:rPr>
        <w:t xml:space="preserve">[34] T. Kumar et al., "Blockchain utilization in healthcare: Key requirements and challenges," in Proc. IEEE Healthcom, 2018, pp. 1–7.</w:t>
      </w:r>
    </w:p>
    <w:p>
      <w:pPr>
        <w:spacing w:before="20" w:after="40"/>
      </w:pPr>
      <w:r>
        <w:rPr>
          <w:rFonts w:ascii="Times New Roman" w:cs="Times New Roman" w:eastAsia="Times New Roman" w:hAnsi="Times New Roman"/>
          <w:sz w:val="18"/>
          <w:szCs w:val="18"/>
        </w:rPr>
        <w:t xml:space="preserve">[35] S. Schulte, M. Sigwart, P. Frauenthaler, and M. Borkowski, "Towards blockchain interoperability," in Proc. BPM, Springer, 2019, pp. 3–10.</w:t>
      </w:r>
    </w:p>
    <w:p>
      <w:pPr>
        <w:spacing w:before="20" w:after="40"/>
      </w:pPr>
      <w:r>
        <w:rPr>
          <w:rFonts w:ascii="Times New Roman" w:cs="Times New Roman" w:eastAsia="Times New Roman" w:hAnsi="Times New Roman"/>
          <w:sz w:val="18"/>
          <w:szCs w:val="18"/>
        </w:rPr>
        <w:t xml:space="preserve">[36] H. Huang, J. Lin, B. Zheng, Z. Zheng, and J. Bian, "When blockchain meets distributed file systems: An overview, challenges, and open issues," IEEE Access, vol. 8, pp. 50574–50586, 2020.</w:t>
      </w:r>
    </w:p>
    <w:p>
      <w:pPr>
        <w:spacing w:before="20" w:after="40"/>
      </w:pPr>
      <w:r>
        <w:rPr>
          <w:rFonts w:ascii="Times New Roman" w:cs="Times New Roman" w:eastAsia="Times New Roman" w:hAnsi="Times New Roman"/>
          <w:sz w:val="18"/>
          <w:szCs w:val="18"/>
        </w:rPr>
        <w:t xml:space="preserve">[37] Y. Psaras and D. Dias, "The interplanetary file system and the Filecoin network," in Proc. IEEE DSN-S, 2020, p. 80.</w:t>
      </w:r>
    </w:p>
    <w:p>
      <w:pPr>
        <w:spacing w:before="20" w:after="40"/>
      </w:pPr>
      <w:r>
        <w:rPr>
          <w:rFonts w:ascii="Times New Roman" w:cs="Times New Roman" w:eastAsia="Times New Roman" w:hAnsi="Times New Roman"/>
          <w:sz w:val="18"/>
          <w:szCs w:val="18"/>
        </w:rPr>
        <w:t xml:space="preserve">[38] A. A. Menon, T. Saranya, S. Sureshbabu, and A. S. Mahesh, "A comparative analysis on three consensus algorithms: Proof of burn, proof of elapsed time, proof of authority," in Computer Networks and Inventive Communication Technologies, Springer, 2022, pp. 369–383.</w:t>
      </w:r>
    </w:p>
    <w:p>
      <w:pPr>
        <w:spacing w:before="20" w:after="40"/>
      </w:pPr>
      <w:r>
        <w:rPr>
          <w:rFonts w:ascii="Times New Roman" w:cs="Times New Roman" w:eastAsia="Times New Roman" w:hAnsi="Times New Roman"/>
          <w:sz w:val="18"/>
          <w:szCs w:val="18"/>
        </w:rPr>
        <w:t xml:space="preserve">[39] R. Zhang, R. Xue, and L. Liu, "Security and privacy on blockchain," ACM Computing Surveys, vol. 52, no. 3, pp. 1–34, 2019.</w:t>
      </w:r>
    </w:p>
    <w:p>
      <w:pPr>
        <w:spacing w:before="20" w:after="40"/>
      </w:pPr>
      <w:r>
        <w:rPr>
          <w:rFonts w:ascii="Times New Roman" w:cs="Times New Roman" w:eastAsia="Times New Roman" w:hAnsi="Times New Roman"/>
          <w:sz w:val="18"/>
          <w:szCs w:val="18"/>
        </w:rPr>
        <w:t xml:space="preserve">[40] S. Fei, Z. Yan, W. Ding, and H. Xie, "Security vulnerabilities of SGX and countermeasures: A survey," ACM Computing Surveys, vol. 54, no. 6, pp. 1–36, 2022.</w:t>
      </w:r>
    </w:p>
    <w:p>
      <w:pPr>
        <w:spacing w:before="20" w:after="40"/>
      </w:pPr>
      <w:r>
        <w:rPr>
          <w:rFonts w:ascii="Times New Roman" w:cs="Times New Roman" w:eastAsia="Times New Roman" w:hAnsi="Times New Roman"/>
          <w:sz w:val="18"/>
          <w:szCs w:val="18"/>
        </w:rPr>
        <w:t xml:space="preserve">[41] G. Gürsoy, R. Bjornson, M. E. Green, and M. Gerstein, "Using blockchain to log genome dataset access: Efficient storage and query," BMC Medical Genomics, vol. 13, no. 7, pp. 1–9, 2020.</w:t>
      </w:r>
    </w:p>
    <w:p>
      <w:pPr>
        <w:spacing w:before="20" w:after="40"/>
      </w:pPr>
      <w:r>
        <w:rPr>
          <w:rFonts w:ascii="Times New Roman" w:cs="Times New Roman" w:eastAsia="Times New Roman" w:hAnsi="Times New Roman"/>
          <w:sz w:val="18"/>
          <w:szCs w:val="18"/>
        </w:rPr>
        <w:t xml:space="preserve">[42] G. Gürsoy, C. M. Brannon, and M. Gerstein, "Using Ethereum blockchain to store and query pharmacogenomics data via smart contracts," BMC Medical Genomics, vol. 13, no. 1, pp. 1–11, 2020.</w:t>
      </w:r>
    </w:p>
    <w:p>
      <w:pPr>
        <w:spacing w:before="20" w:after="40"/>
      </w:pPr>
      <w:r>
        <w:rPr>
          <w:rFonts w:ascii="Times New Roman" w:cs="Times New Roman" w:eastAsia="Times New Roman" w:hAnsi="Times New Roman"/>
          <w:sz w:val="18"/>
          <w:szCs w:val="18"/>
        </w:rPr>
        <w:t xml:space="preserve">[43] T.-T. Kuo and A. Pham, "Detecting model misconducts in decentralized healthcare federated learning," International Journal of Medical Informatics, vol. 158, p. 104658, 2022.</w:t>
      </w:r>
    </w:p>
    <w:p>
      <w:pPr>
        <w:spacing w:before="20" w:after="40"/>
      </w:pPr>
      <w:r>
        <w:rPr>
          <w:rFonts w:ascii="Times New Roman" w:cs="Times New Roman" w:eastAsia="Times New Roman" w:hAnsi="Times New Roman"/>
          <w:sz w:val="18"/>
          <w:szCs w:val="18"/>
        </w:rPr>
        <w:t xml:space="preserve">[44] A. Dubovitskaya et al., "ACTION-EHR: Patient-centric blockchain-based electronic health record data management for cancer care," J Med Internet Res, vol. 22, no. 8, p. e13598, 2020.</w:t>
      </w:r>
    </w:p>
    <w:p>
      <w:pPr>
        <w:spacing w:before="20" w:after="40"/>
      </w:pPr>
      <w:r>
        <w:rPr>
          <w:rFonts w:ascii="Times New Roman" w:cs="Times New Roman" w:eastAsia="Times New Roman" w:hAnsi="Times New Roman"/>
          <w:sz w:val="18"/>
          <w:szCs w:val="18"/>
        </w:rPr>
        <w:t xml:space="preserve">[45] M. D. Wilkinson et al., "The FAIR guiding principles for scientific data management and stewardship," Scientific Data, vol. 3, no. 1, pp. 1–9, 2016.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2026-03-30T08:50:04.117Z</dcterms:created>
  <dcterms:modified xsi:type="dcterms:W3CDTF">2026-03-30T08:50:04.118Z</dcterms:modified>
</cp:coreProperties>
</file>

<file path=docProps/custom.xml><?xml version="1.0" encoding="utf-8"?>
<Properties xmlns="http://schemas.openxmlformats.org/officeDocument/2006/custom-properties" xmlns:vt="http://schemas.openxmlformats.org/officeDocument/2006/docPropsVTypes"/>
</file>