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398E4" w14:textId="77777777" w:rsidR="00472430" w:rsidRPr="004643C5" w:rsidRDefault="00000000">
      <w:pPr>
        <w:pStyle w:val="Title"/>
        <w:framePr w:w="0" w:hSpace="0" w:vSpace="0" w:wrap="auto" w:vAnchor="margin" w:hAnchor="text" w:xAlign="left" w:yAlign="inline"/>
        <w:rPr>
          <w:color w:val="1F4E79" w:themeColor="accent1" w:themeShade="80"/>
        </w:rPr>
      </w:pPr>
      <w:r w:rsidRPr="004643C5">
        <w:rPr>
          <w:color w:val="1F4E79" w:themeColor="accent1" w:themeShade="80"/>
          <w:sz w:val="28"/>
          <w:szCs w:val="28"/>
        </w:rPr>
        <w:t>GeneBlockchain: A Decentralized, Privacy-Preserving Framework for Secure Genomic Data Sharing Using Blockchain, Smart Contracts, and IPFS</w:t>
      </w:r>
    </w:p>
    <w:p w14:paraId="32CD3FF7" w14:textId="77777777" w:rsidR="00472430" w:rsidRPr="004643C5" w:rsidRDefault="00000000">
      <w:pPr>
        <w:spacing w:before="80" w:after="40" w:line="252" w:lineRule="auto"/>
        <w:jc w:val="center"/>
        <w:rPr>
          <w:color w:val="1F4E79" w:themeColor="accent1" w:themeShade="80"/>
        </w:rPr>
      </w:pPr>
      <w:r w:rsidRPr="004643C5">
        <w:rPr>
          <w:color w:val="1F4E79" w:themeColor="accent1" w:themeShade="80"/>
          <w:sz w:val="22"/>
          <w:szCs w:val="22"/>
        </w:rPr>
        <w:t xml:space="preserve">Aastha Thakker,  </w:t>
      </w:r>
      <w:r w:rsidRPr="004643C5">
        <w:rPr>
          <w:i/>
          <w:iCs/>
          <w:color w:val="1F4E79" w:themeColor="accent1" w:themeShade="80"/>
          <w:sz w:val="22"/>
          <w:szCs w:val="22"/>
        </w:rPr>
        <w:t>Student Member, IEEE</w:t>
      </w:r>
      <w:r w:rsidRPr="004643C5">
        <w:rPr>
          <w:i/>
          <w:iCs/>
          <w:color w:val="1F4E79" w:themeColor="accent1" w:themeShade="80"/>
        </w:rPr>
        <w:t xml:space="preserve">  —  National Forensic Sciences University</w:t>
      </w:r>
    </w:p>
    <w:p w14:paraId="071BB81B" w14:textId="77777777" w:rsidR="00472430" w:rsidRPr="004643C5" w:rsidRDefault="00000000">
      <w:pPr>
        <w:spacing w:before="20" w:after="320"/>
        <w:ind w:firstLine="202"/>
        <w:jc w:val="both"/>
        <w:rPr>
          <w:color w:val="1F4E79" w:themeColor="accent1" w:themeShade="80"/>
        </w:rPr>
      </w:pPr>
      <w:r w:rsidRPr="004643C5">
        <w:rPr>
          <w:b/>
          <w:i/>
          <w:iCs/>
          <w:color w:val="1F4E79" w:themeColor="accent1" w:themeShade="80"/>
          <w:sz w:val="18"/>
          <w:szCs w:val="18"/>
        </w:rPr>
        <w:t>Abstract</w:t>
      </w:r>
      <w:r w:rsidRPr="004643C5">
        <w:rPr>
          <w:b/>
          <w:color w:val="1F4E79" w:themeColor="accent1" w:themeShade="80"/>
          <w:sz w:val="18"/>
          <w:szCs w:val="18"/>
        </w:rPr>
        <w:t>—The exponential growth of next-generation sequencing (NGS) technologies has generated genomic datasets of extraordinary scientific value, yet their broader utility remains constrained by persistent challenges in privacy protection, unauthorized access, and static consent management. Centralized genomic repositories introduce single points of failure while stripping data sovereignty from the patients whose information they hold. This paper presents GeneBlockchain, a decentralized, privacy-preserving framework that integrates Ethereum-based smart contracts, the InterPlanetary File System (IPFS), and a cryptographic wallet interface for authentication, to address these limitations systematically. The architecture introduces a Decentralized Autonomous Approval (DAA) mechanism for peer-governed network admission, a dynamic consent engine enforcing time-bound patient-controlled access permissions on-chain, and a tri-nodal storage model separating blockchain state, AES-256-CBC encrypted content, and queryable metadata. The threat model is formalized using the STRIDE methodology, covering Spoofing, Tampering, Repudiation, Information Disclosure, Denial of Service, and Elevation of Privilege. We present a simulation-based quantitative analysis across eight performance metrics and a qualitative assessment addressing GDPR compliance, post-access data governance, and the scope boundary of on-chain versus institutional controls. Results demonstrate sub-500 ms transaction confirmation, consistent cryptographic integrity, and scalable architecture suitable for consortium deployment on the Ethereum Sepolia testnet.</w:t>
      </w:r>
    </w:p>
    <w:p w14:paraId="4D72A153" w14:textId="77777777" w:rsidR="00472430" w:rsidRPr="004643C5" w:rsidRDefault="00000000">
      <w:pPr>
        <w:spacing w:after="320"/>
        <w:ind w:firstLine="202"/>
        <w:jc w:val="both"/>
        <w:rPr>
          <w:color w:val="1F4E79" w:themeColor="accent1" w:themeShade="80"/>
        </w:rPr>
      </w:pPr>
      <w:r w:rsidRPr="004643C5">
        <w:rPr>
          <w:b/>
          <w:i/>
          <w:iCs/>
          <w:color w:val="1F4E79" w:themeColor="accent1" w:themeShade="80"/>
          <w:sz w:val="18"/>
          <w:szCs w:val="18"/>
        </w:rPr>
        <w:t>Index Terms</w:t>
      </w:r>
      <w:r w:rsidRPr="004643C5">
        <w:rPr>
          <w:b/>
          <w:color w:val="1F4E79" w:themeColor="accent1" w:themeShade="80"/>
          <w:sz w:val="18"/>
          <w:szCs w:val="18"/>
        </w:rPr>
        <w:t>—Blockchain, Consent Management, Content Identifier (CID), Decentralized Access Control, Ethereum, GDPR, Genomic Data Sharing, IPFS, Privacy-Preserving Systems, Smart Contracts, STRIDE, Wallet Authentication.</w:t>
      </w:r>
    </w:p>
    <w:p w14:paraId="41A3CBDD" w14:textId="77777777" w:rsidR="00472430" w:rsidRPr="004643C5" w:rsidRDefault="00472430">
      <w:pPr>
        <w:spacing w:before="20" w:after="320"/>
        <w:ind w:firstLine="202"/>
        <w:jc w:val="both"/>
        <w:rPr>
          <w:color w:val="1F4E79" w:themeColor="accent1" w:themeShade="80"/>
        </w:rPr>
        <w:sectPr w:rsidR="00472430" w:rsidRPr="004643C5">
          <w:type w:val="continuous"/>
          <w:pgSz w:w="12240" w:h="15840"/>
          <w:pgMar w:top="1008" w:right="936" w:bottom="1008" w:left="936" w:header="432" w:footer="432" w:gutter="0"/>
          <w:pgNumType w:start="1"/>
          <w:cols w:space="288"/>
        </w:sectPr>
      </w:pPr>
    </w:p>
    <w:p w14:paraId="43D0A78A" w14:textId="77777777" w:rsidR="00472430" w:rsidRPr="004643C5" w:rsidRDefault="00000000">
      <w:pPr>
        <w:pStyle w:val="Heading1"/>
        <w:rPr>
          <w:color w:val="000000" w:themeColor="text1"/>
        </w:rPr>
      </w:pPr>
      <w:r w:rsidRPr="004643C5">
        <w:rPr>
          <w:color w:val="000000" w:themeColor="text1"/>
          <w:sz w:val="18"/>
          <w:szCs w:val="18"/>
        </w:rPr>
        <w:t>I. Introduction</w:t>
      </w:r>
    </w:p>
    <w:p w14:paraId="36B83333" w14:textId="77777777" w:rsidR="00472430" w:rsidRPr="004643C5" w:rsidRDefault="00000000">
      <w:pPr>
        <w:spacing w:line="252" w:lineRule="auto"/>
        <w:ind w:firstLine="202"/>
        <w:jc w:val="both"/>
        <w:rPr>
          <w:color w:val="000000" w:themeColor="text1"/>
        </w:rPr>
      </w:pPr>
      <w:r w:rsidRPr="004643C5">
        <w:rPr>
          <w:color w:val="000000" w:themeColor="text1"/>
          <w:sz w:val="18"/>
          <w:szCs w:val="18"/>
        </w:rPr>
        <w:t>The human genome encodes approximately 3.2 billion base pairs of genetic information, representing the most sensitive category of personal data in existence. Unlike a password, a genomic sequence cannot be revoked once disclosed; its biological implications extend permanently to the data owner's living relatives and biological descendants [1]. The rapid maturation of Next-Generation Sequencing (NGS) technologies has reduced the cost of whole-genome sequencing to under $600 [2], triggering an explosion of clinically and scientifically actionable genetic data. One projection estimates between 100 million and two billion human genomes could be sequenced by 2025 [3], producing datasets measured in petabytes annually.</w:t>
      </w:r>
    </w:p>
    <w:p w14:paraId="5390EBBD" w14:textId="77777777" w:rsidR="00472430" w:rsidRPr="004643C5" w:rsidRDefault="00000000">
      <w:pPr>
        <w:spacing w:line="252" w:lineRule="auto"/>
        <w:ind w:firstLine="202"/>
        <w:jc w:val="both"/>
        <w:rPr>
          <w:color w:val="000000" w:themeColor="text1"/>
        </w:rPr>
      </w:pPr>
      <w:r w:rsidRPr="004643C5">
        <w:rPr>
          <w:color w:val="000000" w:themeColor="text1"/>
          <w:sz w:val="18"/>
          <w:szCs w:val="18"/>
        </w:rPr>
        <w:t>For this data to fulfill its scientific potential—enabling advances in oncology, rare disease diagnosis, pharmacogenomics, and population health—it must be shared across institutional boundaries. Yet the current infrastructure for genomic data sharing is fundamentally misaligned with this requirement. Dominant platforms rely on centralized repositories managed by institutional administrators, where patients surrender practical control once data is submitted [4]. Consent mechanisms are static, revocation is often procedurally impossible, and audit trails are internal to the managing institution rather than externally verifiable [5]. A successful breach of such a repository permanently compromises deeply personal biological information for thousands or millions of individuals and their families.</w:t>
      </w:r>
    </w:p>
    <w:p w14:paraId="79B0A50C" w14:textId="77777777" w:rsidR="00472430" w:rsidRPr="004643C5" w:rsidRDefault="00000000">
      <w:pPr>
        <w:spacing w:line="252" w:lineRule="auto"/>
        <w:ind w:firstLine="202"/>
        <w:jc w:val="both"/>
        <w:rPr>
          <w:color w:val="000000" w:themeColor="text1"/>
        </w:rPr>
      </w:pPr>
      <w:r w:rsidRPr="004643C5">
        <w:rPr>
          <w:color w:val="000000" w:themeColor="text1"/>
          <w:sz w:val="18"/>
          <w:szCs w:val="18"/>
        </w:rPr>
        <w:t>Blockchain technology offers a compelling infrastructure alternative. Its core properties—immutability, decentralized consensus, and programmable execution via smart contracts—map naturally onto the requirements of trustworthy genomic data governance [6]. Several research groups have explored blockchain-based approaches: commercial genomic marketplaces such as Nebula Genomics [7] and EncrypGen [8], and academic systems such as GenShare [9], ConsentChain [10], and the systematic review by Alghazwi et al. [11]. However, these efforts exhibit recurring limitations: dependence on specialized hardware (Intel SGX), reliance on centralized certification authorities for network admission, and consent state stored off-chain rather than enforced natively by smart contracts.</w:t>
      </w:r>
    </w:p>
    <w:p w14:paraId="08B8B313" w14:textId="77777777" w:rsidR="00472430" w:rsidRPr="004643C5" w:rsidRDefault="00000000">
      <w:pPr>
        <w:spacing w:line="252" w:lineRule="auto"/>
        <w:ind w:firstLine="202"/>
        <w:jc w:val="both"/>
        <w:rPr>
          <w:color w:val="000000" w:themeColor="text1"/>
        </w:rPr>
      </w:pPr>
      <w:r w:rsidRPr="004643C5">
        <w:rPr>
          <w:color w:val="000000" w:themeColor="text1"/>
          <w:sz w:val="18"/>
          <w:szCs w:val="18"/>
        </w:rPr>
        <w:t>This paper presents GeneBlockchain, a practical, hardware-agnostic, and fully decentralized framework that addresses these gaps. The primary contributions are: (1) a Decentralized Autonomous Approval (DAA) mechanism replacing centralized admission with on-chain voting; (2) a dynamic, time-bound consent engine implemented in Solidity 0.8.20; (3) a tri-nodal hybrid storage architecture combining Ethereum state, IPFS encrypted content, and MongoDB metadata; (4) cryptographic wallet-based authentication with AES-256-CBC encryption; and (5) a formal STRIDE-based threat model with concrete attack-scenario mappings. The remainder of this paper is organized as follows: Section II reviews existing systems and identifies gaps; Section III formulates the problem; Sections IV–VI describe methodology, architecture, and security; Sections VII–X present implementation, quantitative analysis, qualitative analysis, and results; Sections XI–XIII address limitations, future enhancements, and conclusions.</w:t>
      </w:r>
    </w:p>
    <w:p w14:paraId="30BAA12B" w14:textId="77777777" w:rsidR="00472430" w:rsidRPr="004643C5" w:rsidRDefault="00000000">
      <w:pPr>
        <w:pStyle w:val="Heading1"/>
        <w:rPr>
          <w:color w:val="000000" w:themeColor="text1"/>
        </w:rPr>
      </w:pPr>
      <w:r w:rsidRPr="004643C5">
        <w:rPr>
          <w:color w:val="000000" w:themeColor="text1"/>
          <w:sz w:val="18"/>
          <w:szCs w:val="18"/>
        </w:rPr>
        <w:t>II. Literature Review</w:t>
      </w:r>
    </w:p>
    <w:p w14:paraId="02C5AA1E" w14:textId="77777777" w:rsidR="00472430" w:rsidRPr="004643C5" w:rsidRDefault="00000000">
      <w:pPr>
        <w:pStyle w:val="Heading2"/>
        <w:rPr>
          <w:color w:val="000000" w:themeColor="text1"/>
        </w:rPr>
      </w:pPr>
      <w:r w:rsidRPr="004643C5">
        <w:rPr>
          <w:color w:val="000000" w:themeColor="text1"/>
          <w:sz w:val="18"/>
          <w:szCs w:val="18"/>
        </w:rPr>
        <w:t>A. Evolution of Blockchain in Genomics</w:t>
      </w:r>
    </w:p>
    <w:p w14:paraId="741BFCEA" w14:textId="77777777" w:rsidR="00472430" w:rsidRPr="004643C5" w:rsidRDefault="00000000">
      <w:pPr>
        <w:spacing w:line="252" w:lineRule="auto"/>
        <w:ind w:firstLine="202"/>
        <w:jc w:val="both"/>
        <w:rPr>
          <w:color w:val="000000" w:themeColor="text1"/>
        </w:rPr>
      </w:pPr>
      <w:r w:rsidRPr="004643C5">
        <w:rPr>
          <w:color w:val="000000" w:themeColor="text1"/>
          <w:sz w:val="18"/>
          <w:szCs w:val="18"/>
        </w:rPr>
        <w:t>The application of blockchain in genomics has grown substantially since 2020. A comprehensive systematic literature review by Alghazwi et al. [11] surveyed 49 papers across commercial and non-commercial applications, cataloguing motivations from immutability and decentralization to smart contract enforcement. The review found that private and permissioned blockchains dominate the genomics landscape, with Ethereum and MultiChain being the most commonly adopted platforms. Immutability and decentralization were identified as the foremost reasons for blockchain adoption, with consent management and access control emerging as the most active research sub-domains.</w:t>
      </w:r>
    </w:p>
    <w:p w14:paraId="70C289CE" w14:textId="77777777" w:rsidR="00472430" w:rsidRPr="004643C5" w:rsidRDefault="00000000">
      <w:pPr>
        <w:pStyle w:val="Heading2"/>
        <w:rPr>
          <w:color w:val="1F4E79" w:themeColor="accent1" w:themeShade="80"/>
        </w:rPr>
      </w:pPr>
      <w:r w:rsidRPr="004643C5">
        <w:rPr>
          <w:color w:val="1F4E79" w:themeColor="accent1" w:themeShade="80"/>
          <w:sz w:val="18"/>
          <w:szCs w:val="18"/>
        </w:rPr>
        <w:t>B. Consent Management Systems</w:t>
      </w:r>
    </w:p>
    <w:p w14:paraId="722D8ADC"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 xml:space="preserve">Dynamic consent—enabling patients to update access permissions in real time—has received dedicated attention. ConsentChain [10], built on a private Ethereum network using Hyperledger Besu, introduced an ontology model for machine-readable consent elements (data type, role, purpose) and demonstrated an average transaction throughput of 13.59 transactions per second with a transaction latency of 2.76 seconds. Ma et al. [12] proposed PHDMF on Hyperledger, emphasizing scalability. A recurring limitation is that </w:t>
      </w:r>
      <w:r w:rsidRPr="004643C5">
        <w:rPr>
          <w:color w:val="1F4E79" w:themeColor="accent1" w:themeShade="80"/>
          <w:sz w:val="18"/>
          <w:szCs w:val="18"/>
        </w:rPr>
        <w:lastRenderedPageBreak/>
        <w:t>consent state is stored in centralized databases with the blockchain used only as an audit log, weakening the enforceability guarantee central to blockchain participation.</w:t>
      </w:r>
    </w:p>
    <w:p w14:paraId="583510D5" w14:textId="77777777" w:rsidR="00472430" w:rsidRPr="004643C5" w:rsidRDefault="00000000">
      <w:pPr>
        <w:pStyle w:val="Heading2"/>
        <w:rPr>
          <w:color w:val="1F4E79" w:themeColor="accent1" w:themeShade="80"/>
        </w:rPr>
      </w:pPr>
      <w:r w:rsidRPr="004643C5">
        <w:rPr>
          <w:color w:val="1F4E79" w:themeColor="accent1" w:themeShade="80"/>
          <w:sz w:val="18"/>
          <w:szCs w:val="18"/>
        </w:rPr>
        <w:t>C. Privacy and Encryption Techniques</w:t>
      </w:r>
    </w:p>
    <w:p w14:paraId="06D39F69"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Homomorphic Encryption (HE) has attracted interest for enabling computation on encrypted genomic data without decryption [13]. GenShare [9] combined Paillier's Partially Homomorphic Encryption with Intel SGX Trusted Execution Environments and a dual-blockchain architecture, demonstrating impressive privacy preservation but requiring specialized hardware. Park et al. [14] applied Local Differential Privacy (LDP) to genomic data using the RAPPOR scheme, achieving provable ε-LDP guarantees while accepting reduced data utility. GeneBlockchain opts for AES-256-CBC encryption and SHA-256 integrity anchoring as a hardware-agnostic alternative that preserves full data utility for authorized researchers.</w:t>
      </w:r>
    </w:p>
    <w:p w14:paraId="7F97456C" w14:textId="77777777" w:rsidR="00472430" w:rsidRPr="004643C5" w:rsidRDefault="00000000">
      <w:pPr>
        <w:pStyle w:val="Heading2"/>
        <w:rPr>
          <w:color w:val="1F4E79" w:themeColor="accent1" w:themeShade="80"/>
        </w:rPr>
      </w:pPr>
      <w:r w:rsidRPr="004643C5">
        <w:rPr>
          <w:color w:val="1F4E79" w:themeColor="accent1" w:themeShade="80"/>
          <w:sz w:val="18"/>
          <w:szCs w:val="18"/>
        </w:rPr>
        <w:t>D. Storage and IPFS-Based Architectures</w:t>
      </w:r>
    </w:p>
    <w:p w14:paraId="694F4EF8"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The fundamental tension between genomic data sizes (100–300 GB per whole-genome sample) and blockchain transaction limits has driven most proposals toward hybrid on-chain/off-chain models [11]. IPFS has emerged as the dominant off-chain storage choice, owing to its content-addressed architecture where each file's Content Identifier (CID) is deterministically derived from its content, making tampering immediately detectable [15]. The hOCBS framework [16] adopted a privacy-preserving on-chain/off-chain design for general healthcare data, storing file hashes and access policies on Ethereum while keeping records off-chain—closely aligned with our approach, though lacking dynamic consent management and decentralized governance.</w:t>
      </w:r>
    </w:p>
    <w:p w14:paraId="22958159" w14:textId="77777777" w:rsidR="00472430" w:rsidRPr="004643C5" w:rsidRDefault="00000000">
      <w:pPr>
        <w:pStyle w:val="Heading2"/>
        <w:rPr>
          <w:color w:val="1F4E79" w:themeColor="accent1" w:themeShade="80"/>
        </w:rPr>
      </w:pPr>
      <w:r w:rsidRPr="004643C5">
        <w:rPr>
          <w:color w:val="1F4E79" w:themeColor="accent1" w:themeShade="80"/>
          <w:sz w:val="18"/>
          <w:szCs w:val="18"/>
        </w:rPr>
        <w:t>E. Identified Gaps</w:t>
      </w:r>
    </w:p>
    <w:p w14:paraId="5C8FF378"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Synthesizing the literature, five persistent gaps motivated this work: (1) hardware dependencies (SGX) impede deployment; (2) network admission in permissioned systems depends on a central authority whose trustworthiness is assumed; (3) consent management is frequently implemented off-chain rather than enforced natively by smart contracts; (4) few systems implement cryptographic wallet-based authentication, instead replicating the vulnerabilities of traditional credential systems; and (5) formal threat models using established methodologies (STRIDE, Dolev-Yao) are absent from most genomic blockchain proposals, making security claims difficult to verify [41].</w:t>
      </w:r>
    </w:p>
    <w:p w14:paraId="197C2F05" w14:textId="77777777" w:rsidR="00472430" w:rsidRPr="004643C5" w:rsidRDefault="00000000">
      <w:pPr>
        <w:keepNext/>
        <w:spacing w:before="160" w:line="252" w:lineRule="auto"/>
        <w:jc w:val="center"/>
        <w:rPr>
          <w:color w:val="1F4E79" w:themeColor="accent1" w:themeShade="80"/>
        </w:rPr>
      </w:pPr>
      <w:r w:rsidRPr="004643C5">
        <w:rPr>
          <w:b/>
          <w:color w:val="1F4E79" w:themeColor="accent1" w:themeShade="80"/>
          <w:sz w:val="18"/>
          <w:szCs w:val="18"/>
        </w:rPr>
        <w:t>TABLE I</w:t>
      </w:r>
    </w:p>
    <w:tbl>
      <w:tblPr>
        <w:tblpPr w:leftFromText="180" w:rightFromText="180" w:vertAnchor="text" w:horzAnchor="page" w:tblpX="411" w:tblpY="-14"/>
        <w:tblW w:w="5652" w:type="dxa"/>
        <w:tblLayout w:type="fixed"/>
        <w:tblLook w:val="04A0" w:firstRow="1" w:lastRow="0" w:firstColumn="1" w:lastColumn="0" w:noHBand="0" w:noVBand="1"/>
      </w:tblPr>
      <w:tblGrid>
        <w:gridCol w:w="1062"/>
        <w:gridCol w:w="1080"/>
        <w:gridCol w:w="990"/>
        <w:gridCol w:w="900"/>
        <w:gridCol w:w="720"/>
        <w:gridCol w:w="900"/>
      </w:tblGrid>
      <w:tr w:rsidR="004643C5" w:rsidRPr="004643C5" w14:paraId="7EDBC3C4" w14:textId="77777777" w:rsidTr="004643C5">
        <w:trPr>
          <w:tblHeader/>
        </w:trPr>
        <w:tc>
          <w:tcPr>
            <w:tcW w:w="1062" w:type="dxa"/>
            <w:shd w:val="clear" w:color="auto" w:fill="CCCCCC"/>
          </w:tcPr>
          <w:p w14:paraId="756CEEDF" w14:textId="77777777" w:rsidR="004643C5" w:rsidRPr="004643C5" w:rsidRDefault="004643C5" w:rsidP="004643C5">
            <w:pPr>
              <w:spacing w:before="40" w:after="40"/>
              <w:jc w:val="center"/>
              <w:rPr>
                <w:color w:val="1F4E79" w:themeColor="accent1" w:themeShade="80"/>
              </w:rPr>
            </w:pPr>
            <w:r w:rsidRPr="004643C5">
              <w:rPr>
                <w:b/>
                <w:color w:val="1F4E79" w:themeColor="accent1" w:themeShade="80"/>
                <w:sz w:val="16"/>
                <w:szCs w:val="16"/>
              </w:rPr>
              <w:t>System</w:t>
            </w:r>
          </w:p>
        </w:tc>
        <w:tc>
          <w:tcPr>
            <w:tcW w:w="1080" w:type="dxa"/>
            <w:shd w:val="clear" w:color="auto" w:fill="CCCCCC"/>
          </w:tcPr>
          <w:p w14:paraId="6F14DBBE" w14:textId="77777777" w:rsidR="004643C5" w:rsidRPr="004643C5" w:rsidRDefault="004643C5" w:rsidP="004643C5">
            <w:pPr>
              <w:spacing w:before="40" w:after="40"/>
              <w:jc w:val="center"/>
              <w:rPr>
                <w:color w:val="1F4E79" w:themeColor="accent1" w:themeShade="80"/>
              </w:rPr>
            </w:pPr>
            <w:r w:rsidRPr="004643C5">
              <w:rPr>
                <w:b/>
                <w:color w:val="1F4E79" w:themeColor="accent1" w:themeShade="80"/>
                <w:sz w:val="16"/>
                <w:szCs w:val="16"/>
              </w:rPr>
              <w:t>Blockchain</w:t>
            </w:r>
          </w:p>
        </w:tc>
        <w:tc>
          <w:tcPr>
            <w:tcW w:w="990" w:type="dxa"/>
            <w:shd w:val="clear" w:color="auto" w:fill="CCCCCC"/>
          </w:tcPr>
          <w:p w14:paraId="0E3EF63F" w14:textId="77777777" w:rsidR="004643C5" w:rsidRPr="004643C5" w:rsidRDefault="004643C5" w:rsidP="004643C5">
            <w:pPr>
              <w:spacing w:before="40" w:after="40"/>
              <w:jc w:val="center"/>
              <w:rPr>
                <w:color w:val="1F4E79" w:themeColor="accent1" w:themeShade="80"/>
              </w:rPr>
            </w:pPr>
            <w:r w:rsidRPr="004643C5">
              <w:rPr>
                <w:b/>
                <w:color w:val="1F4E79" w:themeColor="accent1" w:themeShade="80"/>
                <w:sz w:val="16"/>
                <w:szCs w:val="16"/>
              </w:rPr>
              <w:t>Auth Method</w:t>
            </w:r>
          </w:p>
        </w:tc>
        <w:tc>
          <w:tcPr>
            <w:tcW w:w="900" w:type="dxa"/>
            <w:shd w:val="clear" w:color="auto" w:fill="CCCCCC"/>
          </w:tcPr>
          <w:p w14:paraId="207989DC" w14:textId="77777777" w:rsidR="004643C5" w:rsidRPr="004643C5" w:rsidRDefault="004643C5" w:rsidP="004643C5">
            <w:pPr>
              <w:spacing w:before="40" w:after="40"/>
              <w:jc w:val="center"/>
              <w:rPr>
                <w:color w:val="1F4E79" w:themeColor="accent1" w:themeShade="80"/>
              </w:rPr>
            </w:pPr>
            <w:r w:rsidRPr="004643C5">
              <w:rPr>
                <w:b/>
                <w:color w:val="1F4E79" w:themeColor="accent1" w:themeShade="80"/>
                <w:sz w:val="16"/>
                <w:szCs w:val="16"/>
              </w:rPr>
              <w:t>Consent</w:t>
            </w:r>
          </w:p>
        </w:tc>
        <w:tc>
          <w:tcPr>
            <w:tcW w:w="720" w:type="dxa"/>
            <w:shd w:val="clear" w:color="auto" w:fill="CCCCCC"/>
          </w:tcPr>
          <w:p w14:paraId="71AA6E86" w14:textId="77777777" w:rsidR="004643C5" w:rsidRPr="004643C5" w:rsidRDefault="004643C5" w:rsidP="004643C5">
            <w:pPr>
              <w:spacing w:before="40" w:after="40"/>
              <w:jc w:val="center"/>
              <w:rPr>
                <w:color w:val="1F4E79" w:themeColor="accent1" w:themeShade="80"/>
              </w:rPr>
            </w:pPr>
            <w:r w:rsidRPr="004643C5">
              <w:rPr>
                <w:b/>
                <w:color w:val="1F4E79" w:themeColor="accent1" w:themeShade="80"/>
                <w:sz w:val="16"/>
                <w:szCs w:val="16"/>
              </w:rPr>
              <w:t>HW Dep.</w:t>
            </w:r>
          </w:p>
        </w:tc>
        <w:tc>
          <w:tcPr>
            <w:tcW w:w="900" w:type="dxa"/>
            <w:shd w:val="clear" w:color="auto" w:fill="CCCCCC"/>
          </w:tcPr>
          <w:p w14:paraId="325EEDF6" w14:textId="77777777" w:rsidR="004643C5" w:rsidRPr="004643C5" w:rsidRDefault="004643C5" w:rsidP="004643C5">
            <w:pPr>
              <w:spacing w:before="40" w:after="40"/>
              <w:jc w:val="center"/>
              <w:rPr>
                <w:color w:val="1F4E79" w:themeColor="accent1" w:themeShade="80"/>
              </w:rPr>
            </w:pPr>
            <w:r w:rsidRPr="004643C5">
              <w:rPr>
                <w:b/>
                <w:color w:val="1F4E79" w:themeColor="accent1" w:themeShade="80"/>
                <w:sz w:val="16"/>
                <w:szCs w:val="16"/>
              </w:rPr>
              <w:t>Threat Model</w:t>
            </w:r>
          </w:p>
        </w:tc>
      </w:tr>
      <w:tr w:rsidR="004643C5" w:rsidRPr="004643C5" w14:paraId="70D7C547" w14:textId="77777777" w:rsidTr="004643C5">
        <w:tc>
          <w:tcPr>
            <w:tcW w:w="1062" w:type="dxa"/>
          </w:tcPr>
          <w:p w14:paraId="4FF22865" w14:textId="77777777" w:rsidR="004643C5" w:rsidRPr="004643C5" w:rsidRDefault="004643C5" w:rsidP="004643C5">
            <w:pPr>
              <w:spacing w:before="40" w:after="40"/>
              <w:rPr>
                <w:color w:val="1F4E79" w:themeColor="accent1" w:themeShade="80"/>
              </w:rPr>
            </w:pPr>
            <w:proofErr w:type="spellStart"/>
            <w:r w:rsidRPr="004643C5">
              <w:rPr>
                <w:color w:val="1F4E79" w:themeColor="accent1" w:themeShade="80"/>
                <w:sz w:val="16"/>
                <w:szCs w:val="16"/>
              </w:rPr>
              <w:t>GenShare</w:t>
            </w:r>
            <w:proofErr w:type="spellEnd"/>
            <w:r w:rsidRPr="004643C5">
              <w:rPr>
                <w:color w:val="1F4E79" w:themeColor="accent1" w:themeShade="80"/>
                <w:sz w:val="16"/>
                <w:szCs w:val="16"/>
              </w:rPr>
              <w:t xml:space="preserve"> [9]</w:t>
            </w:r>
          </w:p>
        </w:tc>
        <w:tc>
          <w:tcPr>
            <w:tcW w:w="1080" w:type="dxa"/>
          </w:tcPr>
          <w:p w14:paraId="18047DA4" w14:textId="77777777" w:rsidR="004643C5" w:rsidRPr="004643C5" w:rsidRDefault="004643C5" w:rsidP="004643C5">
            <w:pPr>
              <w:spacing w:before="40" w:after="40"/>
              <w:rPr>
                <w:color w:val="1F4E79" w:themeColor="accent1" w:themeShade="80"/>
              </w:rPr>
            </w:pPr>
            <w:r w:rsidRPr="004643C5">
              <w:rPr>
                <w:color w:val="1F4E79" w:themeColor="accent1" w:themeShade="80"/>
                <w:sz w:val="16"/>
                <w:szCs w:val="16"/>
              </w:rPr>
              <w:t>ETH + HLF</w:t>
            </w:r>
          </w:p>
        </w:tc>
        <w:tc>
          <w:tcPr>
            <w:tcW w:w="990" w:type="dxa"/>
          </w:tcPr>
          <w:p w14:paraId="7F54B2F9" w14:textId="77777777" w:rsidR="004643C5" w:rsidRPr="004643C5" w:rsidRDefault="004643C5" w:rsidP="004643C5">
            <w:pPr>
              <w:spacing w:before="40" w:after="40"/>
              <w:rPr>
                <w:color w:val="1F4E79" w:themeColor="accent1" w:themeShade="80"/>
              </w:rPr>
            </w:pPr>
            <w:r w:rsidRPr="004643C5">
              <w:rPr>
                <w:color w:val="1F4E79" w:themeColor="accent1" w:themeShade="80"/>
                <w:sz w:val="16"/>
                <w:szCs w:val="16"/>
              </w:rPr>
              <w:t>PKI / Cert.</w:t>
            </w:r>
          </w:p>
        </w:tc>
        <w:tc>
          <w:tcPr>
            <w:tcW w:w="900" w:type="dxa"/>
          </w:tcPr>
          <w:p w14:paraId="6F62F5B6" w14:textId="77777777" w:rsidR="004643C5" w:rsidRPr="004643C5" w:rsidRDefault="004643C5" w:rsidP="004643C5">
            <w:pPr>
              <w:spacing w:before="40" w:after="40"/>
              <w:rPr>
                <w:color w:val="1F4E79" w:themeColor="accent1" w:themeShade="80"/>
              </w:rPr>
            </w:pPr>
            <w:r w:rsidRPr="004643C5">
              <w:rPr>
                <w:color w:val="1F4E79" w:themeColor="accent1" w:themeShade="80"/>
                <w:sz w:val="16"/>
                <w:szCs w:val="16"/>
              </w:rPr>
              <w:t>Static</w:t>
            </w:r>
          </w:p>
        </w:tc>
        <w:tc>
          <w:tcPr>
            <w:tcW w:w="720" w:type="dxa"/>
          </w:tcPr>
          <w:p w14:paraId="42793FAD" w14:textId="77777777" w:rsidR="004643C5" w:rsidRPr="004643C5" w:rsidRDefault="004643C5" w:rsidP="004643C5">
            <w:pPr>
              <w:spacing w:before="40" w:after="40"/>
              <w:rPr>
                <w:color w:val="1F4E79" w:themeColor="accent1" w:themeShade="80"/>
              </w:rPr>
            </w:pPr>
            <w:r w:rsidRPr="004643C5">
              <w:rPr>
                <w:color w:val="1F4E79" w:themeColor="accent1" w:themeShade="80"/>
                <w:sz w:val="16"/>
                <w:szCs w:val="16"/>
              </w:rPr>
              <w:t>SGX</w:t>
            </w:r>
          </w:p>
        </w:tc>
        <w:tc>
          <w:tcPr>
            <w:tcW w:w="900" w:type="dxa"/>
          </w:tcPr>
          <w:p w14:paraId="408CB3BA" w14:textId="77777777" w:rsidR="004643C5" w:rsidRPr="004643C5" w:rsidRDefault="004643C5" w:rsidP="004643C5">
            <w:pPr>
              <w:spacing w:before="40" w:after="40"/>
              <w:rPr>
                <w:color w:val="1F4E79" w:themeColor="accent1" w:themeShade="80"/>
              </w:rPr>
            </w:pPr>
            <w:r w:rsidRPr="004643C5">
              <w:rPr>
                <w:color w:val="1F4E79" w:themeColor="accent1" w:themeShade="80"/>
                <w:sz w:val="16"/>
                <w:szCs w:val="16"/>
              </w:rPr>
              <w:t>Informal</w:t>
            </w:r>
          </w:p>
        </w:tc>
      </w:tr>
      <w:tr w:rsidR="004643C5" w:rsidRPr="004643C5" w14:paraId="7B2AF1D1" w14:textId="77777777" w:rsidTr="004643C5">
        <w:tc>
          <w:tcPr>
            <w:tcW w:w="1062" w:type="dxa"/>
          </w:tcPr>
          <w:p w14:paraId="20B8256A" w14:textId="77777777" w:rsidR="004643C5" w:rsidRPr="004643C5" w:rsidRDefault="004643C5" w:rsidP="004643C5">
            <w:pPr>
              <w:spacing w:before="40" w:after="40"/>
              <w:rPr>
                <w:color w:val="1F4E79" w:themeColor="accent1" w:themeShade="80"/>
              </w:rPr>
            </w:pPr>
            <w:r w:rsidRPr="004643C5">
              <w:rPr>
                <w:color w:val="1F4E79" w:themeColor="accent1" w:themeShade="80"/>
                <w:sz w:val="16"/>
                <w:szCs w:val="16"/>
              </w:rPr>
              <w:t>ConsentChain [10]</w:t>
            </w:r>
          </w:p>
        </w:tc>
        <w:tc>
          <w:tcPr>
            <w:tcW w:w="1080" w:type="dxa"/>
          </w:tcPr>
          <w:p w14:paraId="53800748" w14:textId="77777777" w:rsidR="004643C5" w:rsidRPr="004643C5" w:rsidRDefault="004643C5" w:rsidP="004643C5">
            <w:pPr>
              <w:spacing w:before="40" w:after="40"/>
              <w:rPr>
                <w:color w:val="1F4E79" w:themeColor="accent1" w:themeShade="80"/>
              </w:rPr>
            </w:pPr>
            <w:r w:rsidRPr="004643C5">
              <w:rPr>
                <w:color w:val="1F4E79" w:themeColor="accent1" w:themeShade="80"/>
                <w:sz w:val="16"/>
                <w:szCs w:val="16"/>
              </w:rPr>
              <w:t>ETH (Besu)</w:t>
            </w:r>
          </w:p>
        </w:tc>
        <w:tc>
          <w:tcPr>
            <w:tcW w:w="990" w:type="dxa"/>
          </w:tcPr>
          <w:p w14:paraId="71A442B3" w14:textId="77777777" w:rsidR="004643C5" w:rsidRPr="004643C5" w:rsidRDefault="004643C5" w:rsidP="004643C5">
            <w:pPr>
              <w:spacing w:before="40" w:after="40"/>
              <w:rPr>
                <w:color w:val="1F4E79" w:themeColor="accent1" w:themeShade="80"/>
              </w:rPr>
            </w:pPr>
            <w:r w:rsidRPr="004643C5">
              <w:rPr>
                <w:color w:val="1F4E79" w:themeColor="accent1" w:themeShade="80"/>
                <w:sz w:val="16"/>
                <w:szCs w:val="16"/>
              </w:rPr>
              <w:t>Wallet Addr.</w:t>
            </w:r>
          </w:p>
        </w:tc>
        <w:tc>
          <w:tcPr>
            <w:tcW w:w="900" w:type="dxa"/>
          </w:tcPr>
          <w:p w14:paraId="459FBC4C" w14:textId="77777777" w:rsidR="004643C5" w:rsidRPr="004643C5" w:rsidRDefault="004643C5" w:rsidP="004643C5">
            <w:pPr>
              <w:spacing w:before="40" w:after="40"/>
              <w:rPr>
                <w:color w:val="1F4E79" w:themeColor="accent1" w:themeShade="80"/>
              </w:rPr>
            </w:pPr>
            <w:r w:rsidRPr="004643C5">
              <w:rPr>
                <w:color w:val="1F4E79" w:themeColor="accent1" w:themeShade="80"/>
                <w:sz w:val="16"/>
                <w:szCs w:val="16"/>
              </w:rPr>
              <w:t>Dynamic</w:t>
            </w:r>
          </w:p>
        </w:tc>
        <w:tc>
          <w:tcPr>
            <w:tcW w:w="720" w:type="dxa"/>
          </w:tcPr>
          <w:p w14:paraId="1C077F69" w14:textId="77777777" w:rsidR="004643C5" w:rsidRPr="004643C5" w:rsidRDefault="004643C5" w:rsidP="004643C5">
            <w:pPr>
              <w:spacing w:before="40" w:after="40"/>
              <w:rPr>
                <w:color w:val="1F4E79" w:themeColor="accent1" w:themeShade="80"/>
              </w:rPr>
            </w:pPr>
            <w:r w:rsidRPr="004643C5">
              <w:rPr>
                <w:color w:val="1F4E79" w:themeColor="accent1" w:themeShade="80"/>
                <w:sz w:val="16"/>
                <w:szCs w:val="16"/>
              </w:rPr>
              <w:t>None</w:t>
            </w:r>
          </w:p>
        </w:tc>
        <w:tc>
          <w:tcPr>
            <w:tcW w:w="900" w:type="dxa"/>
          </w:tcPr>
          <w:p w14:paraId="66AFA3C7" w14:textId="77777777" w:rsidR="004643C5" w:rsidRPr="004643C5" w:rsidRDefault="004643C5" w:rsidP="004643C5">
            <w:pPr>
              <w:spacing w:before="40" w:after="40"/>
              <w:rPr>
                <w:color w:val="1F4E79" w:themeColor="accent1" w:themeShade="80"/>
              </w:rPr>
            </w:pPr>
            <w:r w:rsidRPr="004643C5">
              <w:rPr>
                <w:color w:val="1F4E79" w:themeColor="accent1" w:themeShade="80"/>
                <w:sz w:val="16"/>
                <w:szCs w:val="16"/>
              </w:rPr>
              <w:t>Partial</w:t>
            </w:r>
          </w:p>
        </w:tc>
      </w:tr>
      <w:tr w:rsidR="004643C5" w:rsidRPr="004643C5" w14:paraId="3C5937F0" w14:textId="77777777" w:rsidTr="004643C5">
        <w:tc>
          <w:tcPr>
            <w:tcW w:w="1062" w:type="dxa"/>
          </w:tcPr>
          <w:p w14:paraId="398BC7AD" w14:textId="77777777" w:rsidR="004643C5" w:rsidRPr="004643C5" w:rsidRDefault="004643C5" w:rsidP="004643C5">
            <w:pPr>
              <w:spacing w:before="40" w:after="40"/>
              <w:rPr>
                <w:color w:val="1F4E79" w:themeColor="accent1" w:themeShade="80"/>
              </w:rPr>
            </w:pPr>
            <w:r w:rsidRPr="004643C5">
              <w:rPr>
                <w:color w:val="1F4E79" w:themeColor="accent1" w:themeShade="80"/>
                <w:sz w:val="16"/>
                <w:szCs w:val="16"/>
              </w:rPr>
              <w:t>Park et al. [14]</w:t>
            </w:r>
          </w:p>
        </w:tc>
        <w:tc>
          <w:tcPr>
            <w:tcW w:w="1080" w:type="dxa"/>
          </w:tcPr>
          <w:p w14:paraId="42780F4A" w14:textId="77777777" w:rsidR="004643C5" w:rsidRPr="004643C5" w:rsidRDefault="004643C5" w:rsidP="004643C5">
            <w:pPr>
              <w:spacing w:before="40" w:after="40"/>
              <w:rPr>
                <w:color w:val="1F4E79" w:themeColor="accent1" w:themeShade="80"/>
              </w:rPr>
            </w:pPr>
            <w:r w:rsidRPr="004643C5">
              <w:rPr>
                <w:color w:val="1F4E79" w:themeColor="accent1" w:themeShade="80"/>
                <w:sz w:val="16"/>
                <w:szCs w:val="16"/>
              </w:rPr>
              <w:t>Ethereum</w:t>
            </w:r>
          </w:p>
        </w:tc>
        <w:tc>
          <w:tcPr>
            <w:tcW w:w="990" w:type="dxa"/>
          </w:tcPr>
          <w:p w14:paraId="12EF62C0" w14:textId="77777777" w:rsidR="004643C5" w:rsidRPr="004643C5" w:rsidRDefault="004643C5" w:rsidP="004643C5">
            <w:pPr>
              <w:spacing w:before="40" w:after="40"/>
              <w:rPr>
                <w:color w:val="1F4E79" w:themeColor="accent1" w:themeShade="80"/>
              </w:rPr>
            </w:pPr>
            <w:r w:rsidRPr="004643C5">
              <w:rPr>
                <w:color w:val="1F4E79" w:themeColor="accent1" w:themeShade="80"/>
                <w:sz w:val="16"/>
                <w:szCs w:val="16"/>
              </w:rPr>
              <w:t>N/A</w:t>
            </w:r>
          </w:p>
        </w:tc>
        <w:tc>
          <w:tcPr>
            <w:tcW w:w="900" w:type="dxa"/>
          </w:tcPr>
          <w:p w14:paraId="04AC2390" w14:textId="77777777" w:rsidR="004643C5" w:rsidRPr="004643C5" w:rsidRDefault="004643C5" w:rsidP="004643C5">
            <w:pPr>
              <w:spacing w:before="40" w:after="40"/>
              <w:rPr>
                <w:color w:val="1F4E79" w:themeColor="accent1" w:themeShade="80"/>
              </w:rPr>
            </w:pPr>
            <w:r w:rsidRPr="004643C5">
              <w:rPr>
                <w:color w:val="1F4E79" w:themeColor="accent1" w:themeShade="80"/>
                <w:sz w:val="16"/>
                <w:szCs w:val="16"/>
              </w:rPr>
              <w:t>None</w:t>
            </w:r>
          </w:p>
        </w:tc>
        <w:tc>
          <w:tcPr>
            <w:tcW w:w="720" w:type="dxa"/>
          </w:tcPr>
          <w:p w14:paraId="5ADD0D8C" w14:textId="77777777" w:rsidR="004643C5" w:rsidRPr="004643C5" w:rsidRDefault="004643C5" w:rsidP="004643C5">
            <w:pPr>
              <w:spacing w:before="40" w:after="40"/>
              <w:rPr>
                <w:color w:val="1F4E79" w:themeColor="accent1" w:themeShade="80"/>
              </w:rPr>
            </w:pPr>
            <w:r w:rsidRPr="004643C5">
              <w:rPr>
                <w:color w:val="1F4E79" w:themeColor="accent1" w:themeShade="80"/>
                <w:sz w:val="16"/>
                <w:szCs w:val="16"/>
              </w:rPr>
              <w:t>None</w:t>
            </w:r>
          </w:p>
        </w:tc>
        <w:tc>
          <w:tcPr>
            <w:tcW w:w="900" w:type="dxa"/>
          </w:tcPr>
          <w:p w14:paraId="6D5DA393" w14:textId="77777777" w:rsidR="004643C5" w:rsidRPr="004643C5" w:rsidRDefault="004643C5" w:rsidP="004643C5">
            <w:pPr>
              <w:spacing w:before="40" w:after="40"/>
              <w:rPr>
                <w:color w:val="1F4E79" w:themeColor="accent1" w:themeShade="80"/>
              </w:rPr>
            </w:pPr>
            <w:r w:rsidRPr="004643C5">
              <w:rPr>
                <w:color w:val="1F4E79" w:themeColor="accent1" w:themeShade="80"/>
                <w:sz w:val="16"/>
                <w:szCs w:val="16"/>
              </w:rPr>
              <w:t>None</w:t>
            </w:r>
          </w:p>
        </w:tc>
      </w:tr>
      <w:tr w:rsidR="004643C5" w:rsidRPr="004643C5" w14:paraId="3DDFD08C" w14:textId="77777777" w:rsidTr="004643C5">
        <w:tc>
          <w:tcPr>
            <w:tcW w:w="1062" w:type="dxa"/>
          </w:tcPr>
          <w:p w14:paraId="45C3BDA4" w14:textId="77777777" w:rsidR="004643C5" w:rsidRPr="004643C5" w:rsidRDefault="004643C5" w:rsidP="004643C5">
            <w:pPr>
              <w:spacing w:before="40" w:after="40"/>
              <w:rPr>
                <w:color w:val="1F4E79" w:themeColor="accent1" w:themeShade="80"/>
              </w:rPr>
            </w:pPr>
            <w:proofErr w:type="spellStart"/>
            <w:r w:rsidRPr="004643C5">
              <w:rPr>
                <w:color w:val="1F4E79" w:themeColor="accent1" w:themeShade="80"/>
                <w:sz w:val="16"/>
                <w:szCs w:val="16"/>
              </w:rPr>
              <w:t>Dwarna</w:t>
            </w:r>
            <w:proofErr w:type="spellEnd"/>
            <w:r w:rsidRPr="004643C5">
              <w:rPr>
                <w:color w:val="1F4E79" w:themeColor="accent1" w:themeShade="80"/>
                <w:sz w:val="16"/>
                <w:szCs w:val="16"/>
              </w:rPr>
              <w:t xml:space="preserve"> [17]</w:t>
            </w:r>
          </w:p>
        </w:tc>
        <w:tc>
          <w:tcPr>
            <w:tcW w:w="1080" w:type="dxa"/>
          </w:tcPr>
          <w:p w14:paraId="014F130D" w14:textId="77777777" w:rsidR="004643C5" w:rsidRPr="004643C5" w:rsidRDefault="004643C5" w:rsidP="004643C5">
            <w:pPr>
              <w:spacing w:before="40" w:after="40"/>
              <w:rPr>
                <w:color w:val="1F4E79" w:themeColor="accent1" w:themeShade="80"/>
              </w:rPr>
            </w:pPr>
            <w:r w:rsidRPr="004643C5">
              <w:rPr>
                <w:color w:val="1F4E79" w:themeColor="accent1" w:themeShade="80"/>
                <w:sz w:val="16"/>
                <w:szCs w:val="16"/>
              </w:rPr>
              <w:t>HLF</w:t>
            </w:r>
          </w:p>
        </w:tc>
        <w:tc>
          <w:tcPr>
            <w:tcW w:w="990" w:type="dxa"/>
          </w:tcPr>
          <w:p w14:paraId="519A7E5D" w14:textId="77777777" w:rsidR="004643C5" w:rsidRPr="004643C5" w:rsidRDefault="004643C5" w:rsidP="004643C5">
            <w:pPr>
              <w:spacing w:before="40" w:after="40"/>
              <w:rPr>
                <w:color w:val="1F4E79" w:themeColor="accent1" w:themeShade="80"/>
              </w:rPr>
            </w:pPr>
            <w:r w:rsidRPr="004643C5">
              <w:rPr>
                <w:color w:val="1F4E79" w:themeColor="accent1" w:themeShade="80"/>
                <w:sz w:val="16"/>
                <w:szCs w:val="16"/>
              </w:rPr>
              <w:t>Username/Pwd</w:t>
            </w:r>
          </w:p>
        </w:tc>
        <w:tc>
          <w:tcPr>
            <w:tcW w:w="900" w:type="dxa"/>
          </w:tcPr>
          <w:p w14:paraId="2EEE88CF" w14:textId="77777777" w:rsidR="004643C5" w:rsidRPr="004643C5" w:rsidRDefault="004643C5" w:rsidP="004643C5">
            <w:pPr>
              <w:spacing w:before="40" w:after="40"/>
              <w:rPr>
                <w:color w:val="1F4E79" w:themeColor="accent1" w:themeShade="80"/>
              </w:rPr>
            </w:pPr>
            <w:r w:rsidRPr="004643C5">
              <w:rPr>
                <w:color w:val="1F4E79" w:themeColor="accent1" w:themeShade="80"/>
                <w:sz w:val="16"/>
                <w:szCs w:val="16"/>
              </w:rPr>
              <w:t>Dynamic</w:t>
            </w:r>
          </w:p>
        </w:tc>
        <w:tc>
          <w:tcPr>
            <w:tcW w:w="720" w:type="dxa"/>
          </w:tcPr>
          <w:p w14:paraId="10033608" w14:textId="77777777" w:rsidR="004643C5" w:rsidRPr="004643C5" w:rsidRDefault="004643C5" w:rsidP="004643C5">
            <w:pPr>
              <w:spacing w:before="40" w:after="40"/>
              <w:rPr>
                <w:color w:val="1F4E79" w:themeColor="accent1" w:themeShade="80"/>
              </w:rPr>
            </w:pPr>
            <w:r w:rsidRPr="004643C5">
              <w:rPr>
                <w:color w:val="1F4E79" w:themeColor="accent1" w:themeShade="80"/>
                <w:sz w:val="16"/>
                <w:szCs w:val="16"/>
              </w:rPr>
              <w:t>None</w:t>
            </w:r>
          </w:p>
        </w:tc>
        <w:tc>
          <w:tcPr>
            <w:tcW w:w="900" w:type="dxa"/>
          </w:tcPr>
          <w:p w14:paraId="663C99A9" w14:textId="77777777" w:rsidR="004643C5" w:rsidRPr="004643C5" w:rsidRDefault="004643C5" w:rsidP="004643C5">
            <w:pPr>
              <w:spacing w:before="40" w:after="40"/>
              <w:rPr>
                <w:color w:val="1F4E79" w:themeColor="accent1" w:themeShade="80"/>
              </w:rPr>
            </w:pPr>
            <w:r w:rsidRPr="004643C5">
              <w:rPr>
                <w:color w:val="1F4E79" w:themeColor="accent1" w:themeShade="80"/>
                <w:sz w:val="16"/>
                <w:szCs w:val="16"/>
              </w:rPr>
              <w:t>None</w:t>
            </w:r>
          </w:p>
        </w:tc>
      </w:tr>
      <w:tr w:rsidR="004643C5" w:rsidRPr="004643C5" w14:paraId="3839F4D8" w14:textId="77777777" w:rsidTr="004643C5">
        <w:tc>
          <w:tcPr>
            <w:tcW w:w="1062" w:type="dxa"/>
          </w:tcPr>
          <w:p w14:paraId="4E5050C4" w14:textId="77777777" w:rsidR="004643C5" w:rsidRPr="004643C5" w:rsidRDefault="004643C5" w:rsidP="004643C5">
            <w:pPr>
              <w:spacing w:before="40" w:after="40"/>
              <w:rPr>
                <w:color w:val="1F4E79" w:themeColor="accent1" w:themeShade="80"/>
              </w:rPr>
            </w:pPr>
            <w:proofErr w:type="spellStart"/>
            <w:r w:rsidRPr="004643C5">
              <w:rPr>
                <w:color w:val="1F4E79" w:themeColor="accent1" w:themeShade="80"/>
                <w:sz w:val="16"/>
                <w:szCs w:val="16"/>
              </w:rPr>
              <w:t>hOCBS</w:t>
            </w:r>
            <w:proofErr w:type="spellEnd"/>
            <w:r w:rsidRPr="004643C5">
              <w:rPr>
                <w:color w:val="1F4E79" w:themeColor="accent1" w:themeShade="80"/>
                <w:sz w:val="16"/>
                <w:szCs w:val="16"/>
              </w:rPr>
              <w:t xml:space="preserve"> [16]</w:t>
            </w:r>
          </w:p>
        </w:tc>
        <w:tc>
          <w:tcPr>
            <w:tcW w:w="1080" w:type="dxa"/>
          </w:tcPr>
          <w:p w14:paraId="7A375B19" w14:textId="77777777" w:rsidR="004643C5" w:rsidRPr="004643C5" w:rsidRDefault="004643C5" w:rsidP="004643C5">
            <w:pPr>
              <w:spacing w:before="40" w:after="40"/>
              <w:rPr>
                <w:color w:val="1F4E79" w:themeColor="accent1" w:themeShade="80"/>
              </w:rPr>
            </w:pPr>
            <w:r w:rsidRPr="004643C5">
              <w:rPr>
                <w:color w:val="1F4E79" w:themeColor="accent1" w:themeShade="80"/>
                <w:sz w:val="16"/>
                <w:szCs w:val="16"/>
              </w:rPr>
              <w:t>Ethereum</w:t>
            </w:r>
          </w:p>
        </w:tc>
        <w:tc>
          <w:tcPr>
            <w:tcW w:w="990" w:type="dxa"/>
          </w:tcPr>
          <w:p w14:paraId="38AEBD80" w14:textId="77777777" w:rsidR="004643C5" w:rsidRPr="004643C5" w:rsidRDefault="004643C5" w:rsidP="004643C5">
            <w:pPr>
              <w:spacing w:before="40" w:after="40"/>
              <w:rPr>
                <w:color w:val="1F4E79" w:themeColor="accent1" w:themeShade="80"/>
              </w:rPr>
            </w:pPr>
            <w:r w:rsidRPr="004643C5">
              <w:rPr>
                <w:color w:val="1F4E79" w:themeColor="accent1" w:themeShade="80"/>
                <w:sz w:val="16"/>
                <w:szCs w:val="16"/>
              </w:rPr>
              <w:t>Institutional</w:t>
            </w:r>
          </w:p>
        </w:tc>
        <w:tc>
          <w:tcPr>
            <w:tcW w:w="900" w:type="dxa"/>
          </w:tcPr>
          <w:p w14:paraId="22A8B53D" w14:textId="77777777" w:rsidR="004643C5" w:rsidRPr="004643C5" w:rsidRDefault="004643C5" w:rsidP="004643C5">
            <w:pPr>
              <w:spacing w:before="40" w:after="40"/>
              <w:rPr>
                <w:color w:val="1F4E79" w:themeColor="accent1" w:themeShade="80"/>
              </w:rPr>
            </w:pPr>
            <w:r w:rsidRPr="004643C5">
              <w:rPr>
                <w:color w:val="1F4E79" w:themeColor="accent1" w:themeShade="80"/>
                <w:sz w:val="16"/>
                <w:szCs w:val="16"/>
              </w:rPr>
              <w:t>Partial</w:t>
            </w:r>
          </w:p>
        </w:tc>
        <w:tc>
          <w:tcPr>
            <w:tcW w:w="720" w:type="dxa"/>
          </w:tcPr>
          <w:p w14:paraId="3D3DA18E" w14:textId="77777777" w:rsidR="004643C5" w:rsidRPr="004643C5" w:rsidRDefault="004643C5" w:rsidP="004643C5">
            <w:pPr>
              <w:spacing w:before="40" w:after="40"/>
              <w:rPr>
                <w:color w:val="1F4E79" w:themeColor="accent1" w:themeShade="80"/>
              </w:rPr>
            </w:pPr>
            <w:r w:rsidRPr="004643C5">
              <w:rPr>
                <w:color w:val="1F4E79" w:themeColor="accent1" w:themeShade="80"/>
                <w:sz w:val="16"/>
                <w:szCs w:val="16"/>
              </w:rPr>
              <w:t>None</w:t>
            </w:r>
          </w:p>
        </w:tc>
        <w:tc>
          <w:tcPr>
            <w:tcW w:w="900" w:type="dxa"/>
          </w:tcPr>
          <w:p w14:paraId="006B8780" w14:textId="77777777" w:rsidR="004643C5" w:rsidRPr="004643C5" w:rsidRDefault="004643C5" w:rsidP="004643C5">
            <w:pPr>
              <w:spacing w:before="40" w:after="40"/>
              <w:rPr>
                <w:color w:val="1F4E79" w:themeColor="accent1" w:themeShade="80"/>
              </w:rPr>
            </w:pPr>
            <w:r w:rsidRPr="004643C5">
              <w:rPr>
                <w:color w:val="1F4E79" w:themeColor="accent1" w:themeShade="80"/>
                <w:sz w:val="16"/>
                <w:szCs w:val="16"/>
              </w:rPr>
              <w:t>Informal</w:t>
            </w:r>
          </w:p>
        </w:tc>
      </w:tr>
      <w:tr w:rsidR="004643C5" w:rsidRPr="004643C5" w14:paraId="6C5DC487" w14:textId="77777777" w:rsidTr="004643C5">
        <w:tc>
          <w:tcPr>
            <w:tcW w:w="1062" w:type="dxa"/>
          </w:tcPr>
          <w:p w14:paraId="2272D6EB" w14:textId="77777777" w:rsidR="004643C5" w:rsidRPr="004643C5" w:rsidRDefault="004643C5" w:rsidP="004643C5">
            <w:pPr>
              <w:spacing w:before="40" w:after="40"/>
              <w:rPr>
                <w:color w:val="1F4E79" w:themeColor="accent1" w:themeShade="80"/>
              </w:rPr>
            </w:pPr>
            <w:proofErr w:type="spellStart"/>
            <w:r w:rsidRPr="004643C5">
              <w:rPr>
                <w:color w:val="1F4E79" w:themeColor="accent1" w:themeShade="80"/>
                <w:sz w:val="16"/>
                <w:szCs w:val="16"/>
              </w:rPr>
              <w:t>GeneBlockchain</w:t>
            </w:r>
            <w:proofErr w:type="spellEnd"/>
          </w:p>
        </w:tc>
        <w:tc>
          <w:tcPr>
            <w:tcW w:w="1080" w:type="dxa"/>
          </w:tcPr>
          <w:p w14:paraId="2AABA926" w14:textId="77777777" w:rsidR="004643C5" w:rsidRPr="004643C5" w:rsidRDefault="004643C5" w:rsidP="004643C5">
            <w:pPr>
              <w:spacing w:before="40" w:after="40"/>
              <w:rPr>
                <w:color w:val="1F4E79" w:themeColor="accent1" w:themeShade="80"/>
              </w:rPr>
            </w:pPr>
            <w:r w:rsidRPr="004643C5">
              <w:rPr>
                <w:color w:val="1F4E79" w:themeColor="accent1" w:themeShade="80"/>
                <w:sz w:val="16"/>
                <w:szCs w:val="16"/>
              </w:rPr>
              <w:t>ETH (Hardhat)</w:t>
            </w:r>
          </w:p>
        </w:tc>
        <w:tc>
          <w:tcPr>
            <w:tcW w:w="990" w:type="dxa"/>
          </w:tcPr>
          <w:p w14:paraId="1684DDFD" w14:textId="77777777" w:rsidR="004643C5" w:rsidRPr="004643C5" w:rsidRDefault="004643C5" w:rsidP="004643C5">
            <w:pPr>
              <w:spacing w:before="40" w:after="40"/>
              <w:rPr>
                <w:color w:val="1F4E79" w:themeColor="accent1" w:themeShade="80"/>
              </w:rPr>
            </w:pPr>
            <w:r w:rsidRPr="004643C5">
              <w:rPr>
                <w:color w:val="1F4E79" w:themeColor="accent1" w:themeShade="80"/>
                <w:sz w:val="16"/>
                <w:szCs w:val="16"/>
              </w:rPr>
              <w:t>Wallet Client</w:t>
            </w:r>
          </w:p>
        </w:tc>
        <w:tc>
          <w:tcPr>
            <w:tcW w:w="900" w:type="dxa"/>
          </w:tcPr>
          <w:p w14:paraId="0244FBD2" w14:textId="77777777" w:rsidR="004643C5" w:rsidRPr="004643C5" w:rsidRDefault="004643C5" w:rsidP="004643C5">
            <w:pPr>
              <w:spacing w:before="40" w:after="40"/>
              <w:rPr>
                <w:color w:val="1F4E79" w:themeColor="accent1" w:themeShade="80"/>
              </w:rPr>
            </w:pPr>
            <w:r w:rsidRPr="004643C5">
              <w:rPr>
                <w:color w:val="1F4E79" w:themeColor="accent1" w:themeShade="80"/>
                <w:sz w:val="16"/>
                <w:szCs w:val="16"/>
              </w:rPr>
              <w:t>On-chain DAA</w:t>
            </w:r>
          </w:p>
        </w:tc>
        <w:tc>
          <w:tcPr>
            <w:tcW w:w="720" w:type="dxa"/>
          </w:tcPr>
          <w:p w14:paraId="2B7D50A7" w14:textId="77777777" w:rsidR="004643C5" w:rsidRPr="004643C5" w:rsidRDefault="004643C5" w:rsidP="004643C5">
            <w:pPr>
              <w:spacing w:before="40" w:after="40"/>
              <w:rPr>
                <w:color w:val="1F4E79" w:themeColor="accent1" w:themeShade="80"/>
              </w:rPr>
            </w:pPr>
            <w:r w:rsidRPr="004643C5">
              <w:rPr>
                <w:color w:val="1F4E79" w:themeColor="accent1" w:themeShade="80"/>
                <w:sz w:val="16"/>
                <w:szCs w:val="16"/>
              </w:rPr>
              <w:t>None</w:t>
            </w:r>
          </w:p>
        </w:tc>
        <w:tc>
          <w:tcPr>
            <w:tcW w:w="900" w:type="dxa"/>
          </w:tcPr>
          <w:p w14:paraId="018BD457" w14:textId="77777777" w:rsidR="004643C5" w:rsidRPr="004643C5" w:rsidRDefault="004643C5" w:rsidP="004643C5">
            <w:pPr>
              <w:spacing w:before="40" w:after="40"/>
              <w:rPr>
                <w:color w:val="1F4E79" w:themeColor="accent1" w:themeShade="80"/>
              </w:rPr>
            </w:pPr>
            <w:r w:rsidRPr="004643C5">
              <w:rPr>
                <w:color w:val="1F4E79" w:themeColor="accent1" w:themeShade="80"/>
                <w:sz w:val="16"/>
                <w:szCs w:val="16"/>
              </w:rPr>
              <w:t>STRIDE</w:t>
            </w:r>
          </w:p>
        </w:tc>
      </w:tr>
    </w:tbl>
    <w:p w14:paraId="4C247FEC" w14:textId="77777777" w:rsidR="00472430" w:rsidRPr="004643C5" w:rsidRDefault="00000000">
      <w:pPr>
        <w:keepNext/>
        <w:spacing w:after="60" w:line="252" w:lineRule="auto"/>
        <w:jc w:val="center"/>
        <w:rPr>
          <w:color w:val="1F4E79" w:themeColor="accent1" w:themeShade="80"/>
        </w:rPr>
      </w:pPr>
      <w:r w:rsidRPr="004643C5">
        <w:rPr>
          <w:smallCaps/>
          <w:color w:val="1F4E79" w:themeColor="accent1" w:themeShade="80"/>
          <w:sz w:val="16"/>
          <w:szCs w:val="16"/>
        </w:rPr>
        <w:t>COMPARISON OF BLOCKCHAIN-BASED GENOMIC DATA SHARING SYSTEMS</w:t>
      </w:r>
    </w:p>
    <w:p w14:paraId="0051F51D" w14:textId="77777777" w:rsidR="00472430" w:rsidRPr="004643C5" w:rsidRDefault="00472430">
      <w:pPr>
        <w:jc w:val="both"/>
        <w:rPr>
          <w:color w:val="1F4E79" w:themeColor="accent1" w:themeShade="80"/>
        </w:rPr>
      </w:pPr>
    </w:p>
    <w:p w14:paraId="6334FE53" w14:textId="77777777" w:rsidR="00472430" w:rsidRPr="004643C5" w:rsidRDefault="00000000">
      <w:pPr>
        <w:pStyle w:val="Heading1"/>
        <w:rPr>
          <w:color w:val="1F4E79" w:themeColor="accent1" w:themeShade="80"/>
        </w:rPr>
      </w:pPr>
      <w:r w:rsidRPr="004643C5">
        <w:rPr>
          <w:color w:val="1F4E79" w:themeColor="accent1" w:themeShade="80"/>
          <w:sz w:val="18"/>
          <w:szCs w:val="18"/>
        </w:rPr>
        <w:t>III. Problem Statement</w:t>
      </w:r>
    </w:p>
    <w:p w14:paraId="030D971D"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 xml:space="preserve">Genomic data sharing at scale requires a technical infrastructure that satisfies five non-negotiable properties. </w:t>
      </w:r>
      <w:r w:rsidRPr="004643C5">
        <w:rPr>
          <w:b/>
          <w:color w:val="1F4E79" w:themeColor="accent1" w:themeShade="80"/>
          <w:sz w:val="18"/>
          <w:szCs w:val="18"/>
        </w:rPr>
        <w:t>Data sovereignty</w:t>
      </w:r>
      <w:r w:rsidRPr="004643C5">
        <w:rPr>
          <w:color w:val="1F4E79" w:themeColor="accent1" w:themeShade="80"/>
          <w:sz w:val="18"/>
          <w:szCs w:val="18"/>
        </w:rPr>
        <w:t xml:space="preserve">: individuals must retain practical, enforceable control over their genetic information throughout its lifecycle. </w:t>
      </w:r>
      <w:r w:rsidRPr="004643C5">
        <w:rPr>
          <w:b/>
          <w:color w:val="1F4E79" w:themeColor="accent1" w:themeShade="80"/>
          <w:sz w:val="18"/>
          <w:szCs w:val="18"/>
        </w:rPr>
        <w:t>Verifiable integrity</w:t>
      </w:r>
      <w:r w:rsidRPr="004643C5">
        <w:rPr>
          <w:color w:val="1F4E79" w:themeColor="accent1" w:themeShade="80"/>
          <w:sz w:val="18"/>
          <w:szCs w:val="18"/>
        </w:rPr>
        <w:t xml:space="preserve">: recipients must confirm, without trusting the transmitting party, that data has not been altered. </w:t>
      </w:r>
      <w:r w:rsidRPr="004643C5">
        <w:rPr>
          <w:b/>
          <w:color w:val="1F4E79" w:themeColor="accent1" w:themeShade="80"/>
          <w:sz w:val="18"/>
          <w:szCs w:val="18"/>
        </w:rPr>
        <w:t>Consent enforceability</w:t>
      </w:r>
      <w:r w:rsidRPr="004643C5">
        <w:rPr>
          <w:color w:val="1F4E79" w:themeColor="accent1" w:themeShade="80"/>
          <w:sz w:val="18"/>
          <w:szCs w:val="18"/>
        </w:rPr>
        <w:t xml:space="preserve">: access control decisions must be executed by a system whose behavior is auditable and tamper-resistant. </w:t>
      </w:r>
      <w:r w:rsidRPr="004643C5">
        <w:rPr>
          <w:b/>
          <w:color w:val="1F4E79" w:themeColor="accent1" w:themeShade="80"/>
          <w:sz w:val="18"/>
          <w:szCs w:val="18"/>
        </w:rPr>
        <w:t>Privacy under disclosure</w:t>
      </w:r>
      <w:r w:rsidRPr="004643C5">
        <w:rPr>
          <w:color w:val="1F4E79" w:themeColor="accent1" w:themeShade="80"/>
          <w:sz w:val="18"/>
          <w:szCs w:val="18"/>
        </w:rPr>
        <w:t xml:space="preserve">: sharing must not create channels through which the data owner's identity can be inferred or linked across contexts. </w:t>
      </w:r>
      <w:r w:rsidRPr="004643C5">
        <w:rPr>
          <w:b/>
          <w:color w:val="1F4E79" w:themeColor="accent1" w:themeShade="80"/>
          <w:sz w:val="18"/>
          <w:szCs w:val="18"/>
        </w:rPr>
        <w:t>Practical deployability</w:t>
      </w:r>
      <w:r w:rsidRPr="004643C5">
        <w:rPr>
          <w:color w:val="1F4E79" w:themeColor="accent1" w:themeShade="80"/>
          <w:sz w:val="18"/>
          <w:szCs w:val="18"/>
        </w:rPr>
        <w:t>: the system must function without specialized hardware, must be reproducible by independent researchers, and must scale to realistic genomic data volumes.</w:t>
      </w:r>
    </w:p>
    <w:p w14:paraId="3B6AF70C"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Existing blockchain proposals improve upon centralized baselines but introduce their own constraints. Hardware-dependent approaches tie the trust model to a specific chip manufacturer's integrity. Dual-blockchain architectures create synchronization complexity and new failure modes. Systems using centralized governance for network admission replicate the institutional control problem at the network layer. Systems storing consent state off-chain weaken the enforceability guarantee that blockchain participation is meant to provide. Additionally, the absence of formally specified threat models means that many existing systems address security anecdotally rather than systematically.</w:t>
      </w:r>
    </w:p>
    <w:p w14:paraId="11945417" w14:textId="77777777" w:rsidR="00472430" w:rsidRPr="004643C5" w:rsidRDefault="00000000">
      <w:pPr>
        <w:pStyle w:val="Heading1"/>
        <w:rPr>
          <w:color w:val="1F4E79" w:themeColor="accent1" w:themeShade="80"/>
        </w:rPr>
      </w:pPr>
      <w:r w:rsidRPr="004643C5">
        <w:rPr>
          <w:color w:val="1F4E79" w:themeColor="accent1" w:themeShade="80"/>
          <w:sz w:val="18"/>
          <w:szCs w:val="18"/>
        </w:rPr>
        <w:t>IV. Proposed Methodology</w:t>
      </w:r>
    </w:p>
    <w:p w14:paraId="026AC0D7" w14:textId="77777777" w:rsidR="00472430" w:rsidRPr="004643C5" w:rsidRDefault="00000000">
      <w:pPr>
        <w:pStyle w:val="Heading2"/>
        <w:rPr>
          <w:color w:val="1F4E79" w:themeColor="accent1" w:themeShade="80"/>
        </w:rPr>
      </w:pPr>
      <w:r w:rsidRPr="004643C5">
        <w:rPr>
          <w:color w:val="1F4E79" w:themeColor="accent1" w:themeShade="80"/>
          <w:sz w:val="18"/>
          <w:szCs w:val="18"/>
        </w:rPr>
        <w:t>A. Design Principles</w:t>
      </w:r>
    </w:p>
    <w:p w14:paraId="54749A59"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 xml:space="preserve">GeneBlockchain is designed around four architectural principles. The </w:t>
      </w:r>
      <w:r w:rsidRPr="004643C5">
        <w:rPr>
          <w:b/>
          <w:color w:val="1F4E79" w:themeColor="accent1" w:themeShade="80"/>
          <w:sz w:val="18"/>
          <w:szCs w:val="18"/>
        </w:rPr>
        <w:t>principle of minimal on-chain state</w:t>
      </w:r>
      <w:r w:rsidRPr="004643C5">
        <w:rPr>
          <w:color w:val="1F4E79" w:themeColor="accent1" w:themeShade="80"/>
          <w:sz w:val="18"/>
          <w:szCs w:val="18"/>
        </w:rPr>
        <w:t xml:space="preserve"> holds that the blockchain stores only information requiring immutability: consent records, file hashes, role assignments, and audit events. The </w:t>
      </w:r>
      <w:r w:rsidRPr="004643C5">
        <w:rPr>
          <w:b/>
          <w:color w:val="1F4E79" w:themeColor="accent1" w:themeShade="80"/>
          <w:sz w:val="18"/>
          <w:szCs w:val="18"/>
        </w:rPr>
        <w:t>principle of hardware independence</w:t>
      </w:r>
      <w:r w:rsidRPr="004643C5">
        <w:rPr>
          <w:color w:val="1F4E79" w:themeColor="accent1" w:themeShade="80"/>
          <w:sz w:val="18"/>
          <w:szCs w:val="18"/>
        </w:rPr>
        <w:t xml:space="preserve"> holds that all security guarantees must be achievable using cryptographic software alone. The </w:t>
      </w:r>
      <w:r w:rsidRPr="004643C5">
        <w:rPr>
          <w:b/>
          <w:color w:val="1F4E79" w:themeColor="accent1" w:themeShade="80"/>
          <w:sz w:val="18"/>
          <w:szCs w:val="18"/>
        </w:rPr>
        <w:t>principle of on-chain consent authority</w:t>
      </w:r>
      <w:r w:rsidRPr="004643C5">
        <w:rPr>
          <w:color w:val="1F4E79" w:themeColor="accent1" w:themeShade="80"/>
          <w:sz w:val="18"/>
          <w:szCs w:val="18"/>
        </w:rPr>
        <w:t xml:space="preserve"> holds that the smart contract is the definitive and sole source of truth for consent status. The </w:t>
      </w:r>
      <w:r w:rsidRPr="004643C5">
        <w:rPr>
          <w:b/>
          <w:color w:val="1F4E79" w:themeColor="accent1" w:themeShade="80"/>
          <w:sz w:val="18"/>
          <w:szCs w:val="18"/>
        </w:rPr>
        <w:t>principle of self-governance</w:t>
      </w:r>
      <w:r w:rsidRPr="004643C5">
        <w:rPr>
          <w:color w:val="1F4E79" w:themeColor="accent1" w:themeShade="80"/>
          <w:sz w:val="18"/>
          <w:szCs w:val="18"/>
        </w:rPr>
        <w:t xml:space="preserve"> holds that network participation is controlled by existing members through transparent on-chain voting, not by an external authority.</w:t>
      </w:r>
    </w:p>
    <w:p w14:paraId="1852228D" w14:textId="77777777" w:rsidR="00472430" w:rsidRPr="004643C5" w:rsidRDefault="00000000">
      <w:pPr>
        <w:pStyle w:val="Heading2"/>
        <w:rPr>
          <w:color w:val="1F4E79" w:themeColor="accent1" w:themeShade="80"/>
        </w:rPr>
      </w:pPr>
      <w:r w:rsidRPr="004643C5">
        <w:rPr>
          <w:color w:val="1F4E79" w:themeColor="accent1" w:themeShade="80"/>
          <w:sz w:val="18"/>
          <w:szCs w:val="18"/>
        </w:rPr>
        <w:t>B. Cryptographic Specification</w:t>
      </w:r>
    </w:p>
    <w:p w14:paraId="22043A04"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Genomic files are encrypted using AES-256-CBC (Advanced Encryption Standard in Cipher Block Chaining mode) prior to IPFS upload. Key derivation uses Scrypt with a 32-byte output length and a randomly generated salt. A 16-byte cryptographically random Initialization Vector (IV) is generated per encryption operation and prepended to the ciphertext for storage. Before encryption, the raw file content is hashed using SHA-256; this hash is subsequently recorded on-chain as the integrity anchor. The formal relationship is:</w:t>
      </w:r>
    </w:p>
    <w:p w14:paraId="1732672C" w14:textId="77777777" w:rsidR="00472430" w:rsidRPr="004643C5" w:rsidRDefault="00000000">
      <w:pPr>
        <w:spacing w:before="80" w:after="80" w:line="252" w:lineRule="auto"/>
        <w:jc w:val="center"/>
        <w:rPr>
          <w:color w:val="1F4E79" w:themeColor="accent1" w:themeShade="80"/>
        </w:rPr>
      </w:pPr>
      <w:r w:rsidRPr="004643C5">
        <w:rPr>
          <w:i/>
          <w:iCs/>
          <w:color w:val="1F4E79" w:themeColor="accent1" w:themeShade="80"/>
          <w:sz w:val="18"/>
          <w:szCs w:val="18"/>
        </w:rPr>
        <w:t>H = SHA-256(M),   C = AES-256-CBC(M, K, IV),   CID = IPFS-Hash(C)</w:t>
      </w:r>
    </w:p>
    <w:p w14:paraId="03ACD3E9"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where M is the plaintext genomic file, K is the derived encryption key, C is the ciphertext, H is the integrity hash recorded on-chain, and CID is the IPFS Content Identifier. Upon retrieval, a verifier computes SHA-256 of the decrypted file and compares it to H retrieved from the blockchain; any discrepancy indicates tampering.</w:t>
      </w:r>
    </w:p>
    <w:p w14:paraId="184A4BB7" w14:textId="77777777" w:rsidR="00472430" w:rsidRPr="004643C5" w:rsidRDefault="00000000">
      <w:pPr>
        <w:pStyle w:val="Heading2"/>
        <w:rPr>
          <w:color w:val="1F4E79" w:themeColor="accent1" w:themeShade="80"/>
        </w:rPr>
      </w:pPr>
      <w:r w:rsidRPr="004643C5">
        <w:rPr>
          <w:color w:val="1F4E79" w:themeColor="accent1" w:themeShade="80"/>
          <w:sz w:val="18"/>
          <w:szCs w:val="18"/>
        </w:rPr>
        <w:t>C. Content Identifier (CID) — Generation and Properties</w:t>
      </w:r>
    </w:p>
    <w:p w14:paraId="75477C8D"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 xml:space="preserve">A Content Identifier (CID) is the self-describing, cryptographically secure addressing scheme used by IPFS to uniquely identify and locate content within the network [15]. Understanding how a CID is generated is critical to appreciating the integrity </w:t>
      </w:r>
      <w:r w:rsidRPr="004643C5">
        <w:rPr>
          <w:color w:val="1F4E79" w:themeColor="accent1" w:themeShade="80"/>
          <w:sz w:val="18"/>
          <w:szCs w:val="18"/>
        </w:rPr>
        <w:lastRenderedPageBreak/>
        <w:t>guarantees it provides. When a file is added to IPFS, the following process occurs: (1) the raw file bytes are split into fixed-size chunks (default 256 KB); (2) each chunk is hashed using SHA2-256 to produce a 32-byte digest; (3) the digest is wrapped in a multihash prefix that encodes both the hash function identifier and the digest length, producing a self-describing hash; (4) the multihash is further wrapped in a multicodec prefix identifying the data encoding (dag-pb for file objects); and (5) the resulting bytes are encoded in Base32 (for CIDv1) to produce the final CID string, typically appearing as a 59-character string beginning with "bafy". For multi-chunk files, the chunk CIDs form a Merkle DAG (Directed Acyclic Graph) whose root hash becomes the file's CID [42].</w:t>
      </w:r>
    </w:p>
    <w:p w14:paraId="52821B97"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 xml:space="preserve">The key property this provides is </w:t>
      </w:r>
      <w:r w:rsidRPr="004643C5">
        <w:rPr>
          <w:b/>
          <w:color w:val="1F4E79" w:themeColor="accent1" w:themeShade="80"/>
          <w:sz w:val="18"/>
          <w:szCs w:val="18"/>
        </w:rPr>
        <w:t>content addressing</w:t>
      </w:r>
      <w:r w:rsidRPr="004643C5">
        <w:rPr>
          <w:color w:val="1F4E79" w:themeColor="accent1" w:themeShade="80"/>
          <w:sz w:val="18"/>
          <w:szCs w:val="18"/>
        </w:rPr>
        <w:t>: the CID is a deterministic function of the file's content alone, with no dependence on the file's location, name, or upload time. Two identical files always produce the same CID; any single-bit modification to the file produces a completely different CID. This means that storing the CID on the immutable blockchain record is sufficient to guarantee that any subsequent IPFS retrieval returns exactly the content that was originally uploaded: if an adversary substitutes a different file at the IPFS layer, the retrieved file's CID will not match the on-chain record, and the backend will reject the retrieval. GeneBlockchain reinforces this with a second layer: the SHA-256 hash of the plaintext is also stored on-chain, so post-decryption integrity can be verified independently of IPFS.</w:t>
      </w:r>
    </w:p>
    <w:p w14:paraId="64695F1F" w14:textId="77777777" w:rsidR="00472430" w:rsidRPr="004643C5" w:rsidRDefault="00000000">
      <w:pPr>
        <w:pStyle w:val="Heading2"/>
        <w:rPr>
          <w:color w:val="1F4E79" w:themeColor="accent1" w:themeShade="80"/>
        </w:rPr>
      </w:pPr>
      <w:r w:rsidRPr="004643C5">
        <w:rPr>
          <w:color w:val="1F4E79" w:themeColor="accent1" w:themeShade="80"/>
          <w:sz w:val="18"/>
          <w:szCs w:val="18"/>
        </w:rPr>
        <w:t>D. Cryptographic Wallet Client Authentication Rationale</w:t>
      </w:r>
    </w:p>
    <w:p w14:paraId="39731E59"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GeneBlockchain employs a cryptographic wallet client interface (implemented in the prototype via MetaMask, a widely deployed browser-based Ethereum wallet [43]) rather than username-password or one-time password (OTP) systems. In the Ethereum authentication model, a user proves identity by signing a challenge nonce with their private key; the system verifies the signature using the corresponding public key (wallet address) without the private key ever leaving the user's device or being transmitted across the network. This eliminates server-side credential storage entirely, which is the root cause of a substantial fraction of healthcare data breaches [44].</w:t>
      </w:r>
    </w:p>
    <w:p w14:paraId="1060205D"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Username-password systems are vulnerable to credential stuffing, brute force, phishing, and server-side breaches. OTP systems add a second factor but remain vulnerable to SIM-swapping and real-time phishing attacks. Wallet-based authentication relies on the computational infeasibility of the Elliptic Curve Discrete Logarithm Problem (ECDLP) over the secp256k1 curve, which provides 128-bit security. The wallet client also presents human-readable transaction confirmation dialogs before any state-changing blockchain call, reducing the risk of blind-signing attacks in which a malicious application submits unauthorized transactions on a user's behalf.</w:t>
      </w:r>
    </w:p>
    <w:p w14:paraId="52C65611" w14:textId="77777777" w:rsidR="00472430" w:rsidRPr="004643C5" w:rsidRDefault="00000000">
      <w:pPr>
        <w:pStyle w:val="Heading2"/>
        <w:rPr>
          <w:color w:val="1F4E79" w:themeColor="accent1" w:themeShade="80"/>
        </w:rPr>
      </w:pPr>
      <w:r w:rsidRPr="004643C5">
        <w:rPr>
          <w:color w:val="1F4E79" w:themeColor="accent1" w:themeShade="80"/>
          <w:sz w:val="18"/>
          <w:szCs w:val="18"/>
        </w:rPr>
        <w:t>E. IPFS, GDPR, and the Right to Erasure</w:t>
      </w:r>
    </w:p>
    <w:p w14:paraId="1DE0B28E"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The use of IPFS for off-chain genomic file storage raises a legitimate compliance concern under the General Data Protection Regulation (GDPR) Article 17 (right to erasure). IPFS is a content-addressed network: once a file's CID is known, any node that has pinned the content can serve it indefinitely. Unlike a centralized server where a delete operation immediately destroys the data, IPFS persistence is a function of active pinning rather than operator intent. A naive implementation that stored plaintext genomic files in IPFS would therefore be incompatible with the right to erasure.</w:t>
      </w:r>
    </w:p>
    <w:p w14:paraId="502EA609"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 xml:space="preserve">GeneBlockchain resolves this through </w:t>
      </w:r>
      <w:r w:rsidRPr="004643C5">
        <w:rPr>
          <w:b/>
          <w:color w:val="1F4E79" w:themeColor="accent1" w:themeShade="80"/>
          <w:sz w:val="18"/>
          <w:szCs w:val="18"/>
        </w:rPr>
        <w:t>encryption-before-upload</w:t>
      </w:r>
      <w:r w:rsidRPr="004643C5">
        <w:rPr>
          <w:color w:val="1F4E79" w:themeColor="accent1" w:themeShade="80"/>
          <w:sz w:val="18"/>
          <w:szCs w:val="18"/>
        </w:rPr>
        <w:t xml:space="preserve">: the file stored in IPFS is always AES-256-CBC ciphertext, never plaintext. Under the GDPR guidelines published by the European Data Protection Board (EDPB) and the analysis of Van Humbeeck [18], encrypted data from which the data subject is not reasonably re-identifiable may qualify as pseudonymous data rather than personal </w:t>
      </w:r>
      <w:r w:rsidRPr="004643C5">
        <w:rPr>
          <w:color w:val="1F4E79" w:themeColor="accent1" w:themeShade="80"/>
          <w:sz w:val="18"/>
          <w:szCs w:val="18"/>
        </w:rPr>
        <w:t xml:space="preserve">data. The right to erasure is exercised through </w:t>
      </w:r>
      <w:r w:rsidRPr="004643C5">
        <w:rPr>
          <w:b/>
          <w:color w:val="1F4E79" w:themeColor="accent1" w:themeShade="80"/>
          <w:sz w:val="18"/>
          <w:szCs w:val="18"/>
        </w:rPr>
        <w:t>cryptographic erasure</w:t>
      </w:r>
      <w:r w:rsidRPr="004643C5">
        <w:rPr>
          <w:color w:val="1F4E79" w:themeColor="accent1" w:themeShade="80"/>
          <w:sz w:val="18"/>
          <w:szCs w:val="18"/>
        </w:rPr>
        <w:t>: upon a deletion request, the server-side encryption key for that file is permanently destroyed. Without the key, the IPFS-stored ciphertext is computationally indistinguishable from random noise and cannot be reversed to recover the genomic sequence, regardless of how many IPFS nodes retain a copy. Additionally, the system removes the file's IPFS pin, and the CID registration in the smart contract is deactivated (the active flag is set to false), preventing future access through the application layer.</w:t>
      </w:r>
    </w:p>
    <w:p w14:paraId="28A486CE"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Regarding blockchain immutability and the right to erasure: GeneBlockchain stores no personal data on-chain. The on-chain record contains only the IPFS CID, the SHA-256 hash of the encrypted file, and the patient's pseudonymous system identifier. None of these fields constitutes personal data under GDPR in isolation. The blockchain immutability property therefore does not conflict with the right to erasure, because there is no personal data on-chain to erase. This approach is consistent with the recommendation of multiple GDPR-blockchain compatibility studies [18, 45] and aligns with the "hash-only" on-chain storage pattern advocated by the European Union Blockchain Observatory and Forum.</w:t>
      </w:r>
    </w:p>
    <w:p w14:paraId="4AD45704" w14:textId="77777777" w:rsidR="00472430" w:rsidRPr="004643C5" w:rsidRDefault="00000000">
      <w:pPr>
        <w:pStyle w:val="Heading1"/>
        <w:rPr>
          <w:color w:val="1F4E79" w:themeColor="accent1" w:themeShade="80"/>
        </w:rPr>
      </w:pPr>
      <w:r w:rsidRPr="004643C5">
        <w:rPr>
          <w:color w:val="1F4E79" w:themeColor="accent1" w:themeShade="80"/>
          <w:sz w:val="18"/>
          <w:szCs w:val="18"/>
        </w:rPr>
        <w:t>V. System Architecture</w:t>
      </w:r>
    </w:p>
    <w:p w14:paraId="4F1B078C" w14:textId="77777777" w:rsidR="00472430" w:rsidRPr="004643C5" w:rsidRDefault="00000000">
      <w:pPr>
        <w:pStyle w:val="Heading2"/>
        <w:rPr>
          <w:color w:val="1F4E79" w:themeColor="accent1" w:themeShade="80"/>
        </w:rPr>
      </w:pPr>
      <w:r w:rsidRPr="004643C5">
        <w:rPr>
          <w:color w:val="1F4E79" w:themeColor="accent1" w:themeShade="80"/>
          <w:sz w:val="18"/>
          <w:szCs w:val="18"/>
        </w:rPr>
        <w:t>A. Overview</w:t>
      </w:r>
    </w:p>
    <w:p w14:paraId="5AFD708E"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GeneBlockchain implements a tri-nodal architecture separating three concerns: consensus and access state (Ethereum), content storage (IPFS), and performance-optimized metadata indexing (MongoDB). Fig. 1 illustrates the high-level system architecture with seven primary components: User Interface, Application Backend, Blockchain (Hardhat), IPFS Storage, DNA Registry Contract, Governance Smart Contract, and Audit/Verification Module.</w:t>
      </w:r>
    </w:p>
    <w:p w14:paraId="47D3EA9A" w14:textId="77777777" w:rsidR="00472430" w:rsidRPr="004643C5" w:rsidRDefault="00000000">
      <w:pPr>
        <w:spacing w:before="80" w:after="40"/>
        <w:jc w:val="center"/>
        <w:rPr>
          <w:color w:val="1F4E79" w:themeColor="accent1" w:themeShade="80"/>
        </w:rPr>
      </w:pPr>
      <w:r w:rsidRPr="004643C5">
        <w:rPr>
          <w:noProof/>
          <w:color w:val="1F4E79" w:themeColor="accent1" w:themeShade="80"/>
        </w:rPr>
        <w:drawing>
          <wp:inline distT="0" distB="0" distL="0" distR="0" wp14:anchorId="0BE19757" wp14:editId="6B20CB40">
            <wp:extent cx="3483949" cy="2050473"/>
            <wp:effectExtent l="0" t="0" r="2540" b="6985"/>
            <wp:docPr id="20" name="arch1.png"/>
            <wp:cNvGraphicFramePr/>
            <a:graphic xmlns:a="http://schemas.openxmlformats.org/drawingml/2006/main">
              <a:graphicData uri="http://schemas.openxmlformats.org/drawingml/2006/picture">
                <pic:pic xmlns:pic="http://schemas.openxmlformats.org/drawingml/2006/picture">
                  <pic:nvPicPr>
                    <pic:cNvPr id="0" name="arch1.png"/>
                    <pic:cNvPicPr/>
                  </pic:nvPicPr>
                  <pic:blipFill>
                    <a:blip r:embed="rId9"/>
                    <a:srcRect/>
                    <a:stretch>
                      <a:fillRect/>
                    </a:stretch>
                  </pic:blipFill>
                  <pic:spPr>
                    <a:xfrm>
                      <a:off x="0" y="0"/>
                      <a:ext cx="3498707" cy="2059159"/>
                    </a:xfrm>
                    <a:prstGeom prst="rect">
                      <a:avLst/>
                    </a:prstGeom>
                    <a:ln/>
                  </pic:spPr>
                </pic:pic>
              </a:graphicData>
            </a:graphic>
          </wp:inline>
        </w:drawing>
      </w:r>
    </w:p>
    <w:p w14:paraId="27DBE8D1" w14:textId="77777777" w:rsidR="00472430" w:rsidRPr="004643C5" w:rsidRDefault="00000000">
      <w:pPr>
        <w:spacing w:before="60" w:after="120"/>
        <w:jc w:val="center"/>
        <w:rPr>
          <w:color w:val="1F4E79" w:themeColor="accent1" w:themeShade="80"/>
        </w:rPr>
      </w:pPr>
      <w:r w:rsidRPr="004643C5">
        <w:rPr>
          <w:b/>
          <w:color w:val="1F4E79" w:themeColor="accent1" w:themeShade="80"/>
          <w:sz w:val="16"/>
          <w:szCs w:val="16"/>
        </w:rPr>
        <w:t xml:space="preserve">Fig. 1.  </w:t>
      </w:r>
      <w:r w:rsidRPr="004643C5">
        <w:rPr>
          <w:color w:val="1F4E79" w:themeColor="accent1" w:themeShade="80"/>
          <w:sz w:val="16"/>
          <w:szCs w:val="16"/>
        </w:rPr>
        <w:t>GeneBlockchain system architecture showing the seven primary components and their interaction pathways.</w:t>
      </w:r>
    </w:p>
    <w:p w14:paraId="3A7F6FB8" w14:textId="77777777" w:rsidR="00472430" w:rsidRPr="004643C5" w:rsidRDefault="00000000">
      <w:pPr>
        <w:pStyle w:val="Heading2"/>
        <w:rPr>
          <w:color w:val="1F4E79" w:themeColor="accent1" w:themeShade="80"/>
        </w:rPr>
      </w:pPr>
      <w:r w:rsidRPr="004643C5">
        <w:rPr>
          <w:color w:val="1F4E79" w:themeColor="accent1" w:themeShade="80"/>
          <w:sz w:val="18"/>
          <w:szCs w:val="18"/>
        </w:rPr>
        <w:t>B. Blockchain Layer</w:t>
      </w:r>
    </w:p>
    <w:p w14:paraId="45EDBEDC"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The consensus layer is realized through the GenShareRegistry smart contract (Solidity 0.8.20), which is the single authoritative source of truth for four categories of on-chain state: role assignments (patient, lab, researcher, admin), genomic data records (mapping record indices to IPFS CIDs and SHA-256 hashes), consent records (mapping consent indices to time-bounded access grants), and access logs (immutable records of every access attempt with success/failure status). The consortium network operates as a permissioned Ethereum network administered through the Governance Smart Contract implementing the DAA mechanism. New laboratory entities submit an on-chain registration proposal; existing approved laboratories vote, with approval requiring a two-thirds supermajority.</w:t>
      </w:r>
    </w:p>
    <w:p w14:paraId="4CBFCFAB" w14:textId="77777777" w:rsidR="00472430" w:rsidRPr="004643C5" w:rsidRDefault="00000000">
      <w:pPr>
        <w:pStyle w:val="Heading2"/>
        <w:rPr>
          <w:color w:val="1F4E79" w:themeColor="accent1" w:themeShade="80"/>
        </w:rPr>
      </w:pPr>
      <w:r w:rsidRPr="004643C5">
        <w:rPr>
          <w:color w:val="1F4E79" w:themeColor="accent1" w:themeShade="80"/>
          <w:sz w:val="18"/>
          <w:szCs w:val="18"/>
        </w:rPr>
        <w:lastRenderedPageBreak/>
        <w:t>C. Storage and Application Layers</w:t>
      </w:r>
    </w:p>
    <w:p w14:paraId="758EB37A"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Encrypted genomic files are stored in IPFS, with each Content Identifier (CID) and pre-encryption SHA-256 hash registered in the GenShareRegistry contract. MongoDB stores non-sensitive record attributes (user ID, registered lab details, approvals, genomic hash, and metadata) enabling fast, structured queries for dataset discovery. This separation is deliberate: MongoDB enables flexible querying while the blockchain handles security-critical consent validation and access logging. The Node.js backend exposes a RESTful API proxying interactions between the Next.js frontend, blockchain, and storage systems. All blockchain-affecting operations require explicit wallet client confirmation.</w:t>
      </w:r>
    </w:p>
    <w:p w14:paraId="7E883FC9" w14:textId="77777777" w:rsidR="00472430" w:rsidRPr="004643C5" w:rsidRDefault="00000000">
      <w:pPr>
        <w:pStyle w:val="Heading2"/>
        <w:rPr>
          <w:color w:val="1F4E79" w:themeColor="accent1" w:themeShade="80"/>
        </w:rPr>
      </w:pPr>
      <w:r w:rsidRPr="004643C5">
        <w:rPr>
          <w:color w:val="1F4E79" w:themeColor="accent1" w:themeShade="80"/>
          <w:sz w:val="18"/>
          <w:szCs w:val="18"/>
        </w:rPr>
        <w:t>D. Data Flow and Transaction Lifecycle</w:t>
      </w:r>
    </w:p>
    <w:p w14:paraId="4C03F496"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A complete data sharing transaction proceeds as follows. The laboratory encrypts the genomic file using AES-256-CBC and uploads the ciphertext to IPFS, receiving a CID. The backend computes SHA-256 of the plaintext and submits a registerGenomicData transaction to the contract, recording the patient ID, IPFS CID, SHA-256 hash, and a timestamp. A researcher queries MongoDB to discover the available dataset and submits an access request with a stated reason. The patient calls grantConsent on the smart contract, specifying the researcher's Ethereum address, the record index, and an access duration in days. The contract records the consent struct immutably and emits a ConsentGranted event. The researcher calls a fetch endpoint; the backend calls isConsentActive on-chain and, if true, retrieves and decrypts the file from IPFS, then logs the access via logAccess. Fig. 2 shows the complete data flow between system components.</w:t>
      </w:r>
    </w:p>
    <w:p w14:paraId="4ECAEDFE" w14:textId="77777777" w:rsidR="00472430" w:rsidRPr="004643C5" w:rsidRDefault="00000000">
      <w:pPr>
        <w:spacing w:before="80" w:after="40"/>
        <w:jc w:val="center"/>
        <w:rPr>
          <w:color w:val="1F4E79" w:themeColor="accent1" w:themeShade="80"/>
        </w:rPr>
      </w:pPr>
      <w:r w:rsidRPr="004643C5">
        <w:rPr>
          <w:noProof/>
          <w:color w:val="1F4E79" w:themeColor="accent1" w:themeShade="80"/>
        </w:rPr>
        <w:drawing>
          <wp:inline distT="0" distB="0" distL="0" distR="0" wp14:anchorId="522E6B7A" wp14:editId="1AEEE94E">
            <wp:extent cx="3220672" cy="2008909"/>
            <wp:effectExtent l="0" t="0" r="0" b="0"/>
            <wp:docPr id="21" name="arch2.png"/>
            <wp:cNvGraphicFramePr/>
            <a:graphic xmlns:a="http://schemas.openxmlformats.org/drawingml/2006/main">
              <a:graphicData uri="http://schemas.openxmlformats.org/drawingml/2006/picture">
                <pic:pic xmlns:pic="http://schemas.openxmlformats.org/drawingml/2006/picture">
                  <pic:nvPicPr>
                    <pic:cNvPr id="0" name="arch2.png"/>
                    <pic:cNvPicPr/>
                  </pic:nvPicPr>
                  <pic:blipFill>
                    <a:blip r:embed="rId10"/>
                    <a:srcRect/>
                    <a:stretch>
                      <a:fillRect/>
                    </a:stretch>
                  </pic:blipFill>
                  <pic:spPr>
                    <a:xfrm>
                      <a:off x="0" y="0"/>
                      <a:ext cx="3230941" cy="2015314"/>
                    </a:xfrm>
                    <a:prstGeom prst="rect">
                      <a:avLst/>
                    </a:prstGeom>
                    <a:ln/>
                  </pic:spPr>
                </pic:pic>
              </a:graphicData>
            </a:graphic>
          </wp:inline>
        </w:drawing>
      </w:r>
    </w:p>
    <w:p w14:paraId="5A18F865" w14:textId="77777777" w:rsidR="00472430" w:rsidRPr="004643C5" w:rsidRDefault="00000000">
      <w:pPr>
        <w:spacing w:before="60" w:after="120"/>
        <w:jc w:val="center"/>
        <w:rPr>
          <w:color w:val="1F4E79" w:themeColor="accent1" w:themeShade="80"/>
        </w:rPr>
      </w:pPr>
      <w:r w:rsidRPr="004643C5">
        <w:rPr>
          <w:b/>
          <w:color w:val="1F4E79" w:themeColor="accent1" w:themeShade="80"/>
          <w:sz w:val="16"/>
          <w:szCs w:val="16"/>
        </w:rPr>
        <w:t xml:space="preserve">Fig. 2.  </w:t>
      </w:r>
      <w:r w:rsidRPr="004643C5">
        <w:rPr>
          <w:color w:val="1F4E79" w:themeColor="accent1" w:themeShade="80"/>
          <w:sz w:val="16"/>
          <w:szCs w:val="16"/>
        </w:rPr>
        <w:t>Data flow from Data Provider Lab through the Permissioned Blockchain Network to Researcher Lab, illustrating consent gating, IPFS content retrieval, and immutable audit logging.</w:t>
      </w:r>
    </w:p>
    <w:p w14:paraId="0AFE33B4" w14:textId="77777777" w:rsidR="00472430" w:rsidRPr="004643C5" w:rsidRDefault="00000000">
      <w:pPr>
        <w:pStyle w:val="Heading1"/>
        <w:rPr>
          <w:color w:val="1F4E79" w:themeColor="accent1" w:themeShade="80"/>
        </w:rPr>
      </w:pPr>
      <w:r w:rsidRPr="004643C5">
        <w:rPr>
          <w:color w:val="1F4E79" w:themeColor="accent1" w:themeShade="80"/>
          <w:sz w:val="18"/>
          <w:szCs w:val="18"/>
        </w:rPr>
        <w:t>VI. Security Model</w:t>
      </w:r>
    </w:p>
    <w:p w14:paraId="55124147" w14:textId="77777777" w:rsidR="00472430" w:rsidRPr="004643C5" w:rsidRDefault="00000000">
      <w:pPr>
        <w:pStyle w:val="Heading2"/>
        <w:rPr>
          <w:color w:val="1F4E79" w:themeColor="accent1" w:themeShade="80"/>
        </w:rPr>
      </w:pPr>
      <w:r w:rsidRPr="004643C5">
        <w:rPr>
          <w:color w:val="1F4E79" w:themeColor="accent1" w:themeShade="80"/>
          <w:sz w:val="18"/>
          <w:szCs w:val="18"/>
        </w:rPr>
        <w:t>A. Formal Threat Model: STRIDE and Dolev-Yao</w:t>
      </w:r>
    </w:p>
    <w:p w14:paraId="385F262C"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 xml:space="preserve">GeneBlockchain adopts two complementary formal threat modeling frameworks. The </w:t>
      </w:r>
      <w:r w:rsidRPr="004643C5">
        <w:rPr>
          <w:b/>
          <w:color w:val="1F4E79" w:themeColor="accent1" w:themeShade="80"/>
          <w:sz w:val="18"/>
          <w:szCs w:val="18"/>
        </w:rPr>
        <w:t>STRIDE model</w:t>
      </w:r>
      <w:r w:rsidRPr="004643C5">
        <w:rPr>
          <w:color w:val="1F4E79" w:themeColor="accent1" w:themeShade="80"/>
          <w:sz w:val="18"/>
          <w:szCs w:val="18"/>
        </w:rPr>
        <w:t xml:space="preserve">, originally developed at Microsoft Research and subsequently standardized in threat modeling practice [41], classifies threats into six categories: Spoofing, Tampering, Repudiation, Information Disclosure, Denial of Service (DoS), and Elevation of Privilege. The </w:t>
      </w:r>
      <w:r w:rsidRPr="004643C5">
        <w:rPr>
          <w:b/>
          <w:color w:val="1F4E79" w:themeColor="accent1" w:themeShade="80"/>
          <w:sz w:val="18"/>
          <w:szCs w:val="18"/>
        </w:rPr>
        <w:t>Dolev-Yao model</w:t>
      </w:r>
      <w:r w:rsidRPr="004643C5">
        <w:rPr>
          <w:color w:val="1F4E79" w:themeColor="accent1" w:themeShade="80"/>
          <w:sz w:val="18"/>
          <w:szCs w:val="18"/>
        </w:rPr>
        <w:t xml:space="preserve"> [46] provides a formal cryptographic adversary model in which the attacker has complete control over the network—capable of intercepting, replaying, reordering, and forging any message not protected by a cryptographic primitive—but cannot break computationally secure encryption or forge digital signatures. Together, these frameworks cover both application-layer threats (STRIDE) and network-layer adversary capabilities (Dolev-Yao). </w:t>
      </w:r>
      <w:r w:rsidRPr="004643C5">
        <w:rPr>
          <w:color w:val="1F4E79" w:themeColor="accent1" w:themeShade="80"/>
          <w:sz w:val="18"/>
          <w:szCs w:val="18"/>
        </w:rPr>
        <w:t>The following sub-sections map each STRIDE category to the corresponding threat surface in GeneBlockchain, provide a concrete attack scenario, and describe the mitigating control.</w:t>
      </w:r>
    </w:p>
    <w:p w14:paraId="3548369C" w14:textId="77777777" w:rsidR="00472430" w:rsidRPr="004643C5" w:rsidRDefault="00000000">
      <w:pPr>
        <w:spacing w:line="252" w:lineRule="auto"/>
        <w:ind w:firstLine="202"/>
        <w:jc w:val="both"/>
        <w:rPr>
          <w:color w:val="1F4E79" w:themeColor="accent1" w:themeShade="80"/>
        </w:rPr>
      </w:pPr>
      <w:r w:rsidRPr="004643C5">
        <w:rPr>
          <w:b/>
          <w:color w:val="1F4E79" w:themeColor="accent1" w:themeShade="80"/>
          <w:sz w:val="18"/>
          <w:szCs w:val="18"/>
        </w:rPr>
        <w:t>S — Spoofing Identity.</w:t>
      </w:r>
      <w:r w:rsidRPr="004643C5">
        <w:rPr>
          <w:color w:val="1F4E79" w:themeColor="accent1" w:themeShade="80"/>
          <w:sz w:val="18"/>
          <w:szCs w:val="18"/>
        </w:rPr>
        <w:t xml:space="preserve"> An adversary impersonates a legitimate patient, laboratory, or researcher to issue or revoke consent grants on their behalf. *Attack scenario*: Mallory registers a new Ethereum address and submits a grantConsent transaction claiming to be Alice (patient), attempting to authorize herself to access Alice's genomic data. *Mitigation*: Every on-chain transaction must be cryptographically signed by the private key of the Ethereum address registered in the GenShareRegistry role mapping. The contract's onlyPatient modifier verifies that msg.sender equals the registered patient address for the given patient ID. A spoofing attack therefore requires the adversary to compromise the patient's private key, which is protected by the ECDLP. The Dolev-Yao adversary cannot forge a valid ECDSA signature without knowledge of the private key.</w:t>
      </w:r>
    </w:p>
    <w:p w14:paraId="2E63C33C" w14:textId="77777777" w:rsidR="00472430" w:rsidRPr="004643C5" w:rsidRDefault="00000000">
      <w:pPr>
        <w:spacing w:line="252" w:lineRule="auto"/>
        <w:ind w:firstLine="202"/>
        <w:jc w:val="both"/>
        <w:rPr>
          <w:color w:val="1F4E79" w:themeColor="accent1" w:themeShade="80"/>
        </w:rPr>
      </w:pPr>
      <w:r w:rsidRPr="004643C5">
        <w:rPr>
          <w:b/>
          <w:color w:val="1F4E79" w:themeColor="accent1" w:themeShade="80"/>
          <w:sz w:val="18"/>
          <w:szCs w:val="18"/>
        </w:rPr>
        <w:t>T — Tampering with Data.</w:t>
      </w:r>
      <w:r w:rsidRPr="004643C5">
        <w:rPr>
          <w:color w:val="1F4E79" w:themeColor="accent1" w:themeShade="80"/>
          <w:sz w:val="18"/>
          <w:szCs w:val="18"/>
        </w:rPr>
        <w:t xml:space="preserve"> An adversary modifies a genomic file after it has been uploaded to IPFS, or alters the on-chain consent records to extend expired permissions. *Attack scenario*: An adversary with write access to an IPFS node substitutes a modified genomic file for the original, hoping the researcher will process incorrect data. *Mitigation*: IPFS's content-addressed storage makes this attack self-defeating—modifying the file changes its CID, causing the backend's CID verification check to fail. Even if the adversary also learns the CID of the modified file, the on-chain SHA-256 hash of the original plaintext will not match the hash of the decrypted modified file, providing a second independent integrity check. Tampering with on-chain records requires a 51% attack on the consortium PoA network, which is infeasible given the two-thirds DAA membership threshold.</w:t>
      </w:r>
    </w:p>
    <w:p w14:paraId="44458FFE" w14:textId="77777777" w:rsidR="00472430" w:rsidRPr="004643C5" w:rsidRDefault="00000000">
      <w:pPr>
        <w:spacing w:line="252" w:lineRule="auto"/>
        <w:ind w:firstLine="202"/>
        <w:jc w:val="both"/>
        <w:rPr>
          <w:color w:val="1F4E79" w:themeColor="accent1" w:themeShade="80"/>
        </w:rPr>
      </w:pPr>
      <w:r w:rsidRPr="004643C5">
        <w:rPr>
          <w:b/>
          <w:color w:val="1F4E79" w:themeColor="accent1" w:themeShade="80"/>
          <w:sz w:val="18"/>
          <w:szCs w:val="18"/>
        </w:rPr>
        <w:t>R — Repudiation.</w:t>
      </w:r>
      <w:r w:rsidRPr="004643C5">
        <w:rPr>
          <w:color w:val="1F4E79" w:themeColor="accent1" w:themeShade="80"/>
          <w:sz w:val="18"/>
          <w:szCs w:val="18"/>
        </w:rPr>
        <w:t xml:space="preserve"> A researcher denies having accessed a specific genomic file, or a laboratory denies having uploaded tampered data. *Attack scenario*: A researcher accesses a patient's data and later claims no access occurred, to avoid accountability for a data misuse complaint. *Mitigation*: Every data access event is recorded by the logAccess function as an immutable blockchain event (DataAccessed), including the researcher's Ethereum address, the record index, the consent index, and the block timestamp. The event is cryptographically bound to the researcher's signed transaction and cannot be deleted or modified. The immutable audit trail provides non-repudiation for all access events, creating a verifiable chain of custody for regulatory and legal purposes.</w:t>
      </w:r>
    </w:p>
    <w:p w14:paraId="3BB1C9C8" w14:textId="77777777" w:rsidR="00472430" w:rsidRPr="004643C5" w:rsidRDefault="00000000">
      <w:pPr>
        <w:spacing w:line="252" w:lineRule="auto"/>
        <w:ind w:firstLine="202"/>
        <w:jc w:val="both"/>
        <w:rPr>
          <w:color w:val="1F4E79" w:themeColor="accent1" w:themeShade="80"/>
        </w:rPr>
      </w:pPr>
      <w:r w:rsidRPr="004643C5">
        <w:rPr>
          <w:b/>
          <w:color w:val="1F4E79" w:themeColor="accent1" w:themeShade="80"/>
          <w:sz w:val="18"/>
          <w:szCs w:val="18"/>
        </w:rPr>
        <w:t>I — Information Disclosure.</w:t>
      </w:r>
      <w:r w:rsidRPr="004643C5">
        <w:rPr>
          <w:color w:val="1F4E79" w:themeColor="accent1" w:themeShade="80"/>
          <w:sz w:val="18"/>
          <w:szCs w:val="18"/>
        </w:rPr>
        <w:t xml:space="preserve"> An adversary gains unauthorized access to genomic sequences, either through the IPFS layer or by observing on-chain data. *Attack scenario*: An external attacker enumerates IPFS CIDs referenced in public blockchain transactions and downloads the corresponding files from IPFS nodes. *Mitigation*: All IPFS-stored files are AES-256-CBC ciphertext. An adversary who retrieves the IPFS content without the decryption key obtains computationally indistinguishable random bytes. Under the Dolev-Yao model, the adversary has access to all ciphertexts but cannot recover the plaintext without the key, which is held server-side and never transmitted to the client in cleartext. On-chain data exposes only pseudonymous identifiers, IPFS CIDs, and SHA-256 hashes—none of which constitutes genomic personal data.</w:t>
      </w:r>
    </w:p>
    <w:p w14:paraId="2E96D493" w14:textId="77777777" w:rsidR="00472430" w:rsidRPr="004643C5" w:rsidRDefault="00000000">
      <w:pPr>
        <w:spacing w:line="252" w:lineRule="auto"/>
        <w:ind w:firstLine="202"/>
        <w:jc w:val="both"/>
        <w:rPr>
          <w:color w:val="1F4E79" w:themeColor="accent1" w:themeShade="80"/>
        </w:rPr>
      </w:pPr>
      <w:r w:rsidRPr="004643C5">
        <w:rPr>
          <w:b/>
          <w:color w:val="1F4E79" w:themeColor="accent1" w:themeShade="80"/>
          <w:sz w:val="18"/>
          <w:szCs w:val="18"/>
        </w:rPr>
        <w:t>D — Denial of Service.</w:t>
      </w:r>
      <w:r w:rsidRPr="004643C5">
        <w:rPr>
          <w:color w:val="1F4E79" w:themeColor="accent1" w:themeShade="80"/>
          <w:sz w:val="18"/>
          <w:szCs w:val="18"/>
        </w:rPr>
        <w:t xml:space="preserve"> An adversary floods the system with transactions to exhaust block gas limits, or submits spurious lab admission proposals to clog the governance queue, preventing legitimate operations from executing. *Attack scenario*: A malicious network participant submits thousands of proposeNewLab transactions per hour, consuming block gas and preventing legitimate genomic data registrations from confirming. *Mitigation*: Gas consumption acts as a natural economic rate limiter; each </w:t>
      </w:r>
      <w:r w:rsidRPr="004643C5">
        <w:rPr>
          <w:color w:val="1F4E79" w:themeColor="accent1" w:themeShade="80"/>
          <w:sz w:val="18"/>
          <w:szCs w:val="18"/>
        </w:rPr>
        <w:lastRenderedPageBreak/>
        <w:t>proposeNewLab call costs approximately 95,000 gas (~$3.80 at prevailing rates), making sustained flooding economically prohibitive. The two-thirds supermajority requirement for lab admission means spurious proposals will simply fail without consuming additional governance resources. For API-layer DoS, the Node.js backend implements standard rate limiting (100 requests per minute per IP).</w:t>
      </w:r>
    </w:p>
    <w:p w14:paraId="6B65D9DA" w14:textId="77777777" w:rsidR="00472430" w:rsidRPr="004643C5" w:rsidRDefault="00000000">
      <w:pPr>
        <w:spacing w:line="252" w:lineRule="auto"/>
        <w:ind w:firstLine="202"/>
        <w:jc w:val="both"/>
        <w:rPr>
          <w:color w:val="1F4E79" w:themeColor="accent1" w:themeShade="80"/>
        </w:rPr>
      </w:pPr>
      <w:r w:rsidRPr="004643C5">
        <w:rPr>
          <w:b/>
          <w:color w:val="1F4E79" w:themeColor="accent1" w:themeShade="80"/>
          <w:sz w:val="18"/>
          <w:szCs w:val="18"/>
        </w:rPr>
        <w:t>E — Elevation of Privilege.</w:t>
      </w:r>
      <w:r w:rsidRPr="004643C5">
        <w:rPr>
          <w:color w:val="1F4E79" w:themeColor="accent1" w:themeShade="80"/>
          <w:sz w:val="18"/>
          <w:szCs w:val="18"/>
        </w:rPr>
        <w:t xml:space="preserve"> An adversary with researcher-level access attempts to perform lab-privileged operations (registering genomic data, proposing network members) or patient-privileged operations (issuing consent on behalf of another patient). *Attack scenario*: A registered researcher calls registerGenomicData directly on the smart contract, attempting to inject a malicious genomic record associated with a legitimate patient ID. *Mitigation*: All five logical contract modules enforce role-based access control via Solidity modifiers (onlyOwner, onlyLab, onlyPatient, onlyResearcher) that check msg.sender against the role registry at execution time. An unauthorized function call causes the EVM to revert the entire transaction, consuming only the base gas. The modifier checks are evaluated before any state modification, following the checks-effects-interactions pattern.</w:t>
      </w:r>
    </w:p>
    <w:p w14:paraId="3D6360DA" w14:textId="77777777" w:rsidR="00472430" w:rsidRPr="004643C5" w:rsidRDefault="00000000">
      <w:pPr>
        <w:keepNext/>
        <w:spacing w:before="160" w:line="252" w:lineRule="auto"/>
        <w:jc w:val="center"/>
        <w:rPr>
          <w:color w:val="1F4E79" w:themeColor="accent1" w:themeShade="80"/>
        </w:rPr>
      </w:pPr>
      <w:r w:rsidRPr="004643C5">
        <w:rPr>
          <w:b/>
          <w:color w:val="1F4E79" w:themeColor="accent1" w:themeShade="80"/>
          <w:sz w:val="18"/>
          <w:szCs w:val="18"/>
        </w:rPr>
        <w:t>TABLE II</w:t>
      </w:r>
    </w:p>
    <w:p w14:paraId="28877153" w14:textId="77777777" w:rsidR="00472430" w:rsidRPr="004643C5" w:rsidRDefault="00000000">
      <w:pPr>
        <w:keepNext/>
        <w:spacing w:after="60" w:line="252" w:lineRule="auto"/>
        <w:jc w:val="center"/>
        <w:rPr>
          <w:color w:val="1F4E79" w:themeColor="accent1" w:themeShade="80"/>
        </w:rPr>
      </w:pPr>
      <w:r w:rsidRPr="004643C5">
        <w:rPr>
          <w:smallCaps/>
          <w:color w:val="1F4E79" w:themeColor="accent1" w:themeShade="80"/>
          <w:sz w:val="16"/>
          <w:szCs w:val="16"/>
        </w:rPr>
        <w:t>STRIDE THREAT ANALYSIS FOR GENEBLOCKCHAIN</w:t>
      </w:r>
    </w:p>
    <w:tbl>
      <w:tblPr>
        <w:tblW w:w="5860" w:type="dxa"/>
        <w:tblInd w:w="-707" w:type="dxa"/>
        <w:tblLayout w:type="fixed"/>
        <w:tblLook w:val="04A0" w:firstRow="1" w:lastRow="0" w:firstColumn="1" w:lastColumn="0" w:noHBand="0" w:noVBand="1"/>
      </w:tblPr>
      <w:tblGrid>
        <w:gridCol w:w="760"/>
        <w:gridCol w:w="1000"/>
        <w:gridCol w:w="1450"/>
        <w:gridCol w:w="1600"/>
        <w:gridCol w:w="1050"/>
      </w:tblGrid>
      <w:tr w:rsidR="004643C5" w:rsidRPr="004643C5" w14:paraId="29679FBC" w14:textId="77777777" w:rsidTr="004643C5">
        <w:trPr>
          <w:tblHeader/>
        </w:trPr>
        <w:tc>
          <w:tcPr>
            <w:tcW w:w="760" w:type="dxa"/>
            <w:shd w:val="clear" w:color="auto" w:fill="CCCCCC"/>
          </w:tcPr>
          <w:p w14:paraId="6F1346BB" w14:textId="77777777" w:rsidR="00472430" w:rsidRPr="004643C5" w:rsidRDefault="00000000">
            <w:pPr>
              <w:spacing w:before="40" w:after="40"/>
              <w:jc w:val="center"/>
              <w:rPr>
                <w:color w:val="1F4E79" w:themeColor="accent1" w:themeShade="80"/>
              </w:rPr>
            </w:pPr>
            <w:r w:rsidRPr="004643C5">
              <w:rPr>
                <w:b/>
                <w:color w:val="1F4E79" w:themeColor="accent1" w:themeShade="80"/>
                <w:sz w:val="16"/>
                <w:szCs w:val="16"/>
              </w:rPr>
              <w:t>STRIDE</w:t>
            </w:r>
          </w:p>
        </w:tc>
        <w:tc>
          <w:tcPr>
            <w:tcW w:w="1000" w:type="dxa"/>
            <w:shd w:val="clear" w:color="auto" w:fill="CCCCCC"/>
          </w:tcPr>
          <w:p w14:paraId="518D5C02" w14:textId="77777777" w:rsidR="00472430" w:rsidRPr="004643C5" w:rsidRDefault="00000000">
            <w:pPr>
              <w:spacing w:before="40" w:after="40"/>
              <w:jc w:val="center"/>
              <w:rPr>
                <w:color w:val="1F4E79" w:themeColor="accent1" w:themeShade="80"/>
              </w:rPr>
            </w:pPr>
            <w:r w:rsidRPr="004643C5">
              <w:rPr>
                <w:b/>
                <w:color w:val="1F4E79" w:themeColor="accent1" w:themeShade="80"/>
                <w:sz w:val="16"/>
                <w:szCs w:val="16"/>
              </w:rPr>
              <w:t>Threat</w:t>
            </w:r>
          </w:p>
        </w:tc>
        <w:tc>
          <w:tcPr>
            <w:tcW w:w="1450" w:type="dxa"/>
            <w:shd w:val="clear" w:color="auto" w:fill="CCCCCC"/>
          </w:tcPr>
          <w:p w14:paraId="370F9E1B" w14:textId="77777777" w:rsidR="00472430" w:rsidRPr="004643C5" w:rsidRDefault="00000000">
            <w:pPr>
              <w:spacing w:before="40" w:after="40"/>
              <w:jc w:val="center"/>
              <w:rPr>
                <w:color w:val="1F4E79" w:themeColor="accent1" w:themeShade="80"/>
              </w:rPr>
            </w:pPr>
            <w:r w:rsidRPr="004643C5">
              <w:rPr>
                <w:b/>
                <w:color w:val="1F4E79" w:themeColor="accent1" w:themeShade="80"/>
                <w:sz w:val="16"/>
                <w:szCs w:val="16"/>
              </w:rPr>
              <w:t>Attack Scenario (Summary)</w:t>
            </w:r>
          </w:p>
        </w:tc>
        <w:tc>
          <w:tcPr>
            <w:tcW w:w="1600" w:type="dxa"/>
            <w:shd w:val="clear" w:color="auto" w:fill="CCCCCC"/>
          </w:tcPr>
          <w:p w14:paraId="6D31426E" w14:textId="77777777" w:rsidR="00472430" w:rsidRPr="004643C5" w:rsidRDefault="00000000">
            <w:pPr>
              <w:spacing w:before="40" w:after="40"/>
              <w:jc w:val="center"/>
              <w:rPr>
                <w:color w:val="1F4E79" w:themeColor="accent1" w:themeShade="80"/>
              </w:rPr>
            </w:pPr>
            <w:r w:rsidRPr="004643C5">
              <w:rPr>
                <w:b/>
                <w:color w:val="1F4E79" w:themeColor="accent1" w:themeShade="80"/>
                <w:sz w:val="16"/>
                <w:szCs w:val="16"/>
              </w:rPr>
              <w:t>Mitigation</w:t>
            </w:r>
          </w:p>
        </w:tc>
        <w:tc>
          <w:tcPr>
            <w:tcW w:w="1050" w:type="dxa"/>
            <w:shd w:val="clear" w:color="auto" w:fill="CCCCCC"/>
          </w:tcPr>
          <w:p w14:paraId="15CE60E3" w14:textId="77777777" w:rsidR="00472430" w:rsidRPr="004643C5" w:rsidRDefault="00000000">
            <w:pPr>
              <w:spacing w:before="40" w:after="40"/>
              <w:jc w:val="center"/>
              <w:rPr>
                <w:color w:val="1F4E79" w:themeColor="accent1" w:themeShade="80"/>
              </w:rPr>
            </w:pPr>
            <w:r w:rsidRPr="004643C5">
              <w:rPr>
                <w:b/>
                <w:color w:val="1F4E79" w:themeColor="accent1" w:themeShade="80"/>
                <w:sz w:val="16"/>
                <w:szCs w:val="16"/>
              </w:rPr>
              <w:t>Residual Risk</w:t>
            </w:r>
          </w:p>
        </w:tc>
      </w:tr>
      <w:tr w:rsidR="004643C5" w:rsidRPr="004643C5" w14:paraId="5F0A9EB7" w14:textId="77777777" w:rsidTr="004643C5">
        <w:tc>
          <w:tcPr>
            <w:tcW w:w="760" w:type="dxa"/>
          </w:tcPr>
          <w:p w14:paraId="0767BCC7" w14:textId="77777777" w:rsidR="00472430" w:rsidRPr="004643C5" w:rsidRDefault="00000000">
            <w:pPr>
              <w:spacing w:before="40" w:after="40"/>
              <w:rPr>
                <w:color w:val="1F4E79" w:themeColor="accent1" w:themeShade="80"/>
              </w:rPr>
            </w:pPr>
            <w:r w:rsidRPr="004643C5">
              <w:rPr>
                <w:color w:val="1F4E79" w:themeColor="accent1" w:themeShade="80"/>
                <w:sz w:val="16"/>
                <w:szCs w:val="16"/>
              </w:rPr>
              <w:t>Spoofing</w:t>
            </w:r>
          </w:p>
        </w:tc>
        <w:tc>
          <w:tcPr>
            <w:tcW w:w="1000" w:type="dxa"/>
          </w:tcPr>
          <w:p w14:paraId="31C1CABA" w14:textId="77777777" w:rsidR="00472430" w:rsidRPr="004643C5" w:rsidRDefault="00000000">
            <w:pPr>
              <w:spacing w:before="40" w:after="40"/>
              <w:rPr>
                <w:color w:val="1F4E79" w:themeColor="accent1" w:themeShade="80"/>
              </w:rPr>
            </w:pPr>
            <w:r w:rsidRPr="004643C5">
              <w:rPr>
                <w:color w:val="1F4E79" w:themeColor="accent1" w:themeShade="80"/>
                <w:sz w:val="16"/>
                <w:szCs w:val="16"/>
              </w:rPr>
              <w:t>Identity impersonation</w:t>
            </w:r>
          </w:p>
        </w:tc>
        <w:tc>
          <w:tcPr>
            <w:tcW w:w="1450" w:type="dxa"/>
          </w:tcPr>
          <w:p w14:paraId="728B1064" w14:textId="77777777" w:rsidR="00472430" w:rsidRPr="004643C5" w:rsidRDefault="00000000">
            <w:pPr>
              <w:spacing w:before="40" w:after="40"/>
              <w:rPr>
                <w:color w:val="1F4E79" w:themeColor="accent1" w:themeShade="80"/>
              </w:rPr>
            </w:pPr>
            <w:r w:rsidRPr="004643C5">
              <w:rPr>
                <w:color w:val="1F4E79" w:themeColor="accent1" w:themeShade="80"/>
                <w:sz w:val="16"/>
                <w:szCs w:val="16"/>
              </w:rPr>
              <w:t>Forge consent grant as patient</w:t>
            </w:r>
          </w:p>
        </w:tc>
        <w:tc>
          <w:tcPr>
            <w:tcW w:w="1600" w:type="dxa"/>
          </w:tcPr>
          <w:p w14:paraId="5C00CFD3" w14:textId="77777777" w:rsidR="00472430" w:rsidRPr="004643C5" w:rsidRDefault="00000000">
            <w:pPr>
              <w:spacing w:before="40" w:after="40"/>
              <w:rPr>
                <w:color w:val="1F4E79" w:themeColor="accent1" w:themeShade="80"/>
              </w:rPr>
            </w:pPr>
            <w:r w:rsidRPr="004643C5">
              <w:rPr>
                <w:color w:val="1F4E79" w:themeColor="accent1" w:themeShade="80"/>
                <w:sz w:val="16"/>
                <w:szCs w:val="16"/>
              </w:rPr>
              <w:t>ECDSA role check; onlyPatient modifier</w:t>
            </w:r>
          </w:p>
        </w:tc>
        <w:tc>
          <w:tcPr>
            <w:tcW w:w="1050" w:type="dxa"/>
          </w:tcPr>
          <w:p w14:paraId="2631C977" w14:textId="77777777" w:rsidR="00472430" w:rsidRPr="004643C5" w:rsidRDefault="00000000">
            <w:pPr>
              <w:spacing w:before="40" w:after="40"/>
              <w:rPr>
                <w:color w:val="1F4E79" w:themeColor="accent1" w:themeShade="80"/>
              </w:rPr>
            </w:pPr>
            <w:r w:rsidRPr="004643C5">
              <w:rPr>
                <w:color w:val="1F4E79" w:themeColor="accent1" w:themeShade="80"/>
                <w:sz w:val="16"/>
                <w:szCs w:val="16"/>
              </w:rPr>
              <w:t>Private key compromise</w:t>
            </w:r>
          </w:p>
        </w:tc>
      </w:tr>
      <w:tr w:rsidR="004643C5" w:rsidRPr="004643C5" w14:paraId="056D51FD" w14:textId="77777777" w:rsidTr="004643C5">
        <w:tc>
          <w:tcPr>
            <w:tcW w:w="760" w:type="dxa"/>
          </w:tcPr>
          <w:p w14:paraId="3577AD12" w14:textId="77777777" w:rsidR="00472430" w:rsidRPr="004643C5" w:rsidRDefault="00000000">
            <w:pPr>
              <w:spacing w:before="40" w:after="40"/>
              <w:rPr>
                <w:color w:val="1F4E79" w:themeColor="accent1" w:themeShade="80"/>
              </w:rPr>
            </w:pPr>
            <w:r w:rsidRPr="004643C5">
              <w:rPr>
                <w:color w:val="1F4E79" w:themeColor="accent1" w:themeShade="80"/>
                <w:sz w:val="16"/>
                <w:szCs w:val="16"/>
              </w:rPr>
              <w:t>Tampering</w:t>
            </w:r>
          </w:p>
        </w:tc>
        <w:tc>
          <w:tcPr>
            <w:tcW w:w="1000" w:type="dxa"/>
          </w:tcPr>
          <w:p w14:paraId="4B37562B" w14:textId="77777777" w:rsidR="00472430" w:rsidRPr="004643C5" w:rsidRDefault="00000000">
            <w:pPr>
              <w:spacing w:before="40" w:after="40"/>
              <w:rPr>
                <w:color w:val="1F4E79" w:themeColor="accent1" w:themeShade="80"/>
              </w:rPr>
            </w:pPr>
            <w:r w:rsidRPr="004643C5">
              <w:rPr>
                <w:color w:val="1F4E79" w:themeColor="accent1" w:themeShade="80"/>
                <w:sz w:val="16"/>
                <w:szCs w:val="16"/>
              </w:rPr>
              <w:t>File / state modification</w:t>
            </w:r>
          </w:p>
        </w:tc>
        <w:tc>
          <w:tcPr>
            <w:tcW w:w="1450" w:type="dxa"/>
          </w:tcPr>
          <w:p w14:paraId="24F1862A" w14:textId="77777777" w:rsidR="00472430" w:rsidRPr="004643C5" w:rsidRDefault="00000000">
            <w:pPr>
              <w:spacing w:before="40" w:after="40"/>
              <w:rPr>
                <w:color w:val="1F4E79" w:themeColor="accent1" w:themeShade="80"/>
              </w:rPr>
            </w:pPr>
            <w:r w:rsidRPr="004643C5">
              <w:rPr>
                <w:color w:val="1F4E79" w:themeColor="accent1" w:themeShade="80"/>
                <w:sz w:val="16"/>
                <w:szCs w:val="16"/>
              </w:rPr>
              <w:t>Substitute IPFS file content</w:t>
            </w:r>
          </w:p>
        </w:tc>
        <w:tc>
          <w:tcPr>
            <w:tcW w:w="1600" w:type="dxa"/>
          </w:tcPr>
          <w:p w14:paraId="60B4CB3A" w14:textId="77777777" w:rsidR="00472430" w:rsidRPr="004643C5" w:rsidRDefault="00000000">
            <w:pPr>
              <w:spacing w:before="40" w:after="40"/>
              <w:rPr>
                <w:color w:val="1F4E79" w:themeColor="accent1" w:themeShade="80"/>
              </w:rPr>
            </w:pPr>
            <w:r w:rsidRPr="004643C5">
              <w:rPr>
                <w:color w:val="1F4E79" w:themeColor="accent1" w:themeShade="80"/>
                <w:sz w:val="16"/>
                <w:szCs w:val="16"/>
              </w:rPr>
              <w:t>CID + SHA-256 dual integrity; chain immutability</w:t>
            </w:r>
          </w:p>
        </w:tc>
        <w:tc>
          <w:tcPr>
            <w:tcW w:w="1050" w:type="dxa"/>
          </w:tcPr>
          <w:p w14:paraId="12E56556" w14:textId="77777777" w:rsidR="00472430" w:rsidRPr="004643C5" w:rsidRDefault="00000000">
            <w:pPr>
              <w:spacing w:before="40" w:after="40"/>
              <w:rPr>
                <w:color w:val="1F4E79" w:themeColor="accent1" w:themeShade="80"/>
              </w:rPr>
            </w:pPr>
            <w:r w:rsidRPr="004643C5">
              <w:rPr>
                <w:color w:val="1F4E79" w:themeColor="accent1" w:themeShade="80"/>
                <w:sz w:val="16"/>
                <w:szCs w:val="16"/>
              </w:rPr>
              <w:t>Minimal</w:t>
            </w:r>
          </w:p>
        </w:tc>
      </w:tr>
      <w:tr w:rsidR="004643C5" w:rsidRPr="004643C5" w14:paraId="3E775E60" w14:textId="77777777" w:rsidTr="004643C5">
        <w:tc>
          <w:tcPr>
            <w:tcW w:w="760" w:type="dxa"/>
          </w:tcPr>
          <w:p w14:paraId="4DEEFDCC" w14:textId="77777777" w:rsidR="00472430" w:rsidRPr="004643C5" w:rsidRDefault="00000000">
            <w:pPr>
              <w:spacing w:before="40" w:after="40"/>
              <w:rPr>
                <w:color w:val="1F4E79" w:themeColor="accent1" w:themeShade="80"/>
              </w:rPr>
            </w:pPr>
            <w:r w:rsidRPr="004643C5">
              <w:rPr>
                <w:color w:val="1F4E79" w:themeColor="accent1" w:themeShade="80"/>
                <w:sz w:val="16"/>
                <w:szCs w:val="16"/>
              </w:rPr>
              <w:t>Repudiation</w:t>
            </w:r>
          </w:p>
        </w:tc>
        <w:tc>
          <w:tcPr>
            <w:tcW w:w="1000" w:type="dxa"/>
          </w:tcPr>
          <w:p w14:paraId="648B5F5D" w14:textId="77777777" w:rsidR="00472430" w:rsidRPr="004643C5" w:rsidRDefault="00000000">
            <w:pPr>
              <w:spacing w:before="40" w:after="40"/>
              <w:rPr>
                <w:color w:val="1F4E79" w:themeColor="accent1" w:themeShade="80"/>
              </w:rPr>
            </w:pPr>
            <w:r w:rsidRPr="004643C5">
              <w:rPr>
                <w:color w:val="1F4E79" w:themeColor="accent1" w:themeShade="80"/>
                <w:sz w:val="16"/>
                <w:szCs w:val="16"/>
              </w:rPr>
              <w:t>Deny data access</w:t>
            </w:r>
          </w:p>
        </w:tc>
        <w:tc>
          <w:tcPr>
            <w:tcW w:w="1450" w:type="dxa"/>
          </w:tcPr>
          <w:p w14:paraId="51D64DF9" w14:textId="77777777" w:rsidR="00472430" w:rsidRPr="004643C5" w:rsidRDefault="00000000">
            <w:pPr>
              <w:spacing w:before="40" w:after="40"/>
              <w:rPr>
                <w:color w:val="1F4E79" w:themeColor="accent1" w:themeShade="80"/>
              </w:rPr>
            </w:pPr>
            <w:r w:rsidRPr="004643C5">
              <w:rPr>
                <w:color w:val="1F4E79" w:themeColor="accent1" w:themeShade="80"/>
                <w:sz w:val="16"/>
                <w:szCs w:val="16"/>
              </w:rPr>
              <w:t>Researcher denies accessing file</w:t>
            </w:r>
          </w:p>
        </w:tc>
        <w:tc>
          <w:tcPr>
            <w:tcW w:w="1600" w:type="dxa"/>
          </w:tcPr>
          <w:p w14:paraId="257A2579" w14:textId="77777777" w:rsidR="00472430" w:rsidRPr="004643C5" w:rsidRDefault="00000000">
            <w:pPr>
              <w:spacing w:before="40" w:after="40"/>
              <w:rPr>
                <w:color w:val="1F4E79" w:themeColor="accent1" w:themeShade="80"/>
              </w:rPr>
            </w:pPr>
            <w:r w:rsidRPr="004643C5">
              <w:rPr>
                <w:color w:val="1F4E79" w:themeColor="accent1" w:themeShade="80"/>
                <w:sz w:val="16"/>
                <w:szCs w:val="16"/>
              </w:rPr>
              <w:t>Immutable logAccess event; tx-signed audit trail</w:t>
            </w:r>
          </w:p>
        </w:tc>
        <w:tc>
          <w:tcPr>
            <w:tcW w:w="1050" w:type="dxa"/>
          </w:tcPr>
          <w:p w14:paraId="59FC4888" w14:textId="77777777" w:rsidR="00472430" w:rsidRPr="004643C5" w:rsidRDefault="00000000">
            <w:pPr>
              <w:spacing w:before="40" w:after="40"/>
              <w:rPr>
                <w:color w:val="1F4E79" w:themeColor="accent1" w:themeShade="80"/>
              </w:rPr>
            </w:pPr>
            <w:r w:rsidRPr="004643C5">
              <w:rPr>
                <w:color w:val="1F4E79" w:themeColor="accent1" w:themeShade="80"/>
                <w:sz w:val="16"/>
                <w:szCs w:val="16"/>
              </w:rPr>
              <w:t>None (on-chain)</w:t>
            </w:r>
          </w:p>
        </w:tc>
      </w:tr>
      <w:tr w:rsidR="004643C5" w:rsidRPr="004643C5" w14:paraId="49951F5C" w14:textId="77777777" w:rsidTr="004643C5">
        <w:tc>
          <w:tcPr>
            <w:tcW w:w="760" w:type="dxa"/>
          </w:tcPr>
          <w:p w14:paraId="046C61F8" w14:textId="77777777" w:rsidR="00472430" w:rsidRPr="004643C5" w:rsidRDefault="00000000">
            <w:pPr>
              <w:spacing w:before="40" w:after="40"/>
              <w:rPr>
                <w:color w:val="1F4E79" w:themeColor="accent1" w:themeShade="80"/>
              </w:rPr>
            </w:pPr>
            <w:r w:rsidRPr="004643C5">
              <w:rPr>
                <w:color w:val="1F4E79" w:themeColor="accent1" w:themeShade="80"/>
                <w:sz w:val="16"/>
                <w:szCs w:val="16"/>
              </w:rPr>
              <w:t>Info. Disclosure</w:t>
            </w:r>
          </w:p>
        </w:tc>
        <w:tc>
          <w:tcPr>
            <w:tcW w:w="1000" w:type="dxa"/>
          </w:tcPr>
          <w:p w14:paraId="4CF71972" w14:textId="77777777" w:rsidR="00472430" w:rsidRPr="004643C5" w:rsidRDefault="00000000">
            <w:pPr>
              <w:spacing w:before="40" w:after="40"/>
              <w:rPr>
                <w:color w:val="1F4E79" w:themeColor="accent1" w:themeShade="80"/>
              </w:rPr>
            </w:pPr>
            <w:r w:rsidRPr="004643C5">
              <w:rPr>
                <w:color w:val="1F4E79" w:themeColor="accent1" w:themeShade="80"/>
                <w:sz w:val="16"/>
                <w:szCs w:val="16"/>
              </w:rPr>
              <w:t>Expose genomic data</w:t>
            </w:r>
          </w:p>
        </w:tc>
        <w:tc>
          <w:tcPr>
            <w:tcW w:w="1450" w:type="dxa"/>
          </w:tcPr>
          <w:p w14:paraId="3E9806A7" w14:textId="77777777" w:rsidR="00472430" w:rsidRPr="004643C5" w:rsidRDefault="00000000">
            <w:pPr>
              <w:spacing w:before="40" w:after="40"/>
              <w:rPr>
                <w:color w:val="1F4E79" w:themeColor="accent1" w:themeShade="80"/>
              </w:rPr>
            </w:pPr>
            <w:r w:rsidRPr="004643C5">
              <w:rPr>
                <w:color w:val="1F4E79" w:themeColor="accent1" w:themeShade="80"/>
                <w:sz w:val="16"/>
                <w:szCs w:val="16"/>
              </w:rPr>
              <w:t>Download IPFS file by CID</w:t>
            </w:r>
          </w:p>
        </w:tc>
        <w:tc>
          <w:tcPr>
            <w:tcW w:w="1600" w:type="dxa"/>
          </w:tcPr>
          <w:p w14:paraId="6943FF25" w14:textId="77777777" w:rsidR="00472430" w:rsidRPr="004643C5" w:rsidRDefault="00000000">
            <w:pPr>
              <w:spacing w:before="40" w:after="40"/>
              <w:rPr>
                <w:color w:val="1F4E79" w:themeColor="accent1" w:themeShade="80"/>
              </w:rPr>
            </w:pPr>
            <w:r w:rsidRPr="004643C5">
              <w:rPr>
                <w:color w:val="1F4E79" w:themeColor="accent1" w:themeShade="80"/>
                <w:sz w:val="16"/>
                <w:szCs w:val="16"/>
              </w:rPr>
              <w:t>AES-256-CBC encryption; key never on-chain</w:t>
            </w:r>
          </w:p>
        </w:tc>
        <w:tc>
          <w:tcPr>
            <w:tcW w:w="1050" w:type="dxa"/>
          </w:tcPr>
          <w:p w14:paraId="70A01D68" w14:textId="77777777" w:rsidR="00472430" w:rsidRPr="004643C5" w:rsidRDefault="00000000">
            <w:pPr>
              <w:spacing w:before="40" w:after="40"/>
              <w:rPr>
                <w:color w:val="1F4E79" w:themeColor="accent1" w:themeShade="80"/>
              </w:rPr>
            </w:pPr>
            <w:r w:rsidRPr="004643C5">
              <w:rPr>
                <w:color w:val="1F4E79" w:themeColor="accent1" w:themeShade="80"/>
                <w:sz w:val="16"/>
                <w:szCs w:val="16"/>
              </w:rPr>
              <w:t>Key mgmt. failure</w:t>
            </w:r>
          </w:p>
        </w:tc>
      </w:tr>
      <w:tr w:rsidR="004643C5" w:rsidRPr="004643C5" w14:paraId="5B7C3008" w14:textId="77777777" w:rsidTr="004643C5">
        <w:tc>
          <w:tcPr>
            <w:tcW w:w="760" w:type="dxa"/>
          </w:tcPr>
          <w:p w14:paraId="78E0DA92" w14:textId="77777777" w:rsidR="00472430" w:rsidRPr="004643C5" w:rsidRDefault="00000000">
            <w:pPr>
              <w:spacing w:before="40" w:after="40"/>
              <w:rPr>
                <w:color w:val="1F4E79" w:themeColor="accent1" w:themeShade="80"/>
              </w:rPr>
            </w:pPr>
            <w:r w:rsidRPr="004643C5">
              <w:rPr>
                <w:color w:val="1F4E79" w:themeColor="accent1" w:themeShade="80"/>
                <w:sz w:val="16"/>
                <w:szCs w:val="16"/>
              </w:rPr>
              <w:t>DoS</w:t>
            </w:r>
          </w:p>
        </w:tc>
        <w:tc>
          <w:tcPr>
            <w:tcW w:w="1000" w:type="dxa"/>
          </w:tcPr>
          <w:p w14:paraId="652DFE2F" w14:textId="77777777" w:rsidR="00472430" w:rsidRPr="004643C5" w:rsidRDefault="00000000">
            <w:pPr>
              <w:spacing w:before="40" w:after="40"/>
              <w:rPr>
                <w:color w:val="1F4E79" w:themeColor="accent1" w:themeShade="80"/>
              </w:rPr>
            </w:pPr>
            <w:r w:rsidRPr="004643C5">
              <w:rPr>
                <w:color w:val="1F4E79" w:themeColor="accent1" w:themeShade="80"/>
                <w:sz w:val="16"/>
                <w:szCs w:val="16"/>
              </w:rPr>
              <w:t>Flood transactions</w:t>
            </w:r>
          </w:p>
        </w:tc>
        <w:tc>
          <w:tcPr>
            <w:tcW w:w="1450" w:type="dxa"/>
          </w:tcPr>
          <w:p w14:paraId="307D47B0" w14:textId="77777777" w:rsidR="00472430" w:rsidRPr="004643C5" w:rsidRDefault="00000000">
            <w:pPr>
              <w:spacing w:before="40" w:after="40"/>
              <w:rPr>
                <w:color w:val="1F4E79" w:themeColor="accent1" w:themeShade="80"/>
              </w:rPr>
            </w:pPr>
            <w:r w:rsidRPr="004643C5">
              <w:rPr>
                <w:color w:val="1F4E79" w:themeColor="accent1" w:themeShade="80"/>
                <w:sz w:val="16"/>
                <w:szCs w:val="16"/>
              </w:rPr>
              <w:t>Gas exhaustion via bulk proposals</w:t>
            </w:r>
          </w:p>
        </w:tc>
        <w:tc>
          <w:tcPr>
            <w:tcW w:w="1600" w:type="dxa"/>
          </w:tcPr>
          <w:p w14:paraId="5133F305" w14:textId="77777777" w:rsidR="00472430" w:rsidRPr="004643C5" w:rsidRDefault="00000000">
            <w:pPr>
              <w:spacing w:before="40" w:after="40"/>
              <w:rPr>
                <w:color w:val="1F4E79" w:themeColor="accent1" w:themeShade="80"/>
              </w:rPr>
            </w:pPr>
            <w:r w:rsidRPr="004643C5">
              <w:rPr>
                <w:color w:val="1F4E79" w:themeColor="accent1" w:themeShade="80"/>
                <w:sz w:val="16"/>
                <w:szCs w:val="16"/>
              </w:rPr>
              <w:t>Gas cost rate limit; 2/3 governance threshold</w:t>
            </w:r>
          </w:p>
        </w:tc>
        <w:tc>
          <w:tcPr>
            <w:tcW w:w="1050" w:type="dxa"/>
          </w:tcPr>
          <w:p w14:paraId="50FED69D" w14:textId="77777777" w:rsidR="00472430" w:rsidRPr="004643C5" w:rsidRDefault="00000000">
            <w:pPr>
              <w:spacing w:before="40" w:after="40"/>
              <w:rPr>
                <w:color w:val="1F4E79" w:themeColor="accent1" w:themeShade="80"/>
              </w:rPr>
            </w:pPr>
            <w:r w:rsidRPr="004643C5">
              <w:rPr>
                <w:color w:val="1F4E79" w:themeColor="accent1" w:themeShade="80"/>
                <w:sz w:val="16"/>
                <w:szCs w:val="16"/>
              </w:rPr>
              <w:t>Low (PoA)</w:t>
            </w:r>
          </w:p>
        </w:tc>
      </w:tr>
      <w:tr w:rsidR="004643C5" w:rsidRPr="004643C5" w14:paraId="17F7EF92" w14:textId="77777777" w:rsidTr="004643C5">
        <w:tc>
          <w:tcPr>
            <w:tcW w:w="760" w:type="dxa"/>
          </w:tcPr>
          <w:p w14:paraId="464B8B6E" w14:textId="77777777" w:rsidR="00472430" w:rsidRPr="004643C5" w:rsidRDefault="00000000">
            <w:pPr>
              <w:spacing w:before="40" w:after="40"/>
              <w:rPr>
                <w:color w:val="1F4E79" w:themeColor="accent1" w:themeShade="80"/>
              </w:rPr>
            </w:pPr>
            <w:r w:rsidRPr="004643C5">
              <w:rPr>
                <w:color w:val="1F4E79" w:themeColor="accent1" w:themeShade="80"/>
                <w:sz w:val="16"/>
                <w:szCs w:val="16"/>
              </w:rPr>
              <w:t>Elev. Privilege</w:t>
            </w:r>
          </w:p>
        </w:tc>
        <w:tc>
          <w:tcPr>
            <w:tcW w:w="1000" w:type="dxa"/>
          </w:tcPr>
          <w:p w14:paraId="5B30E3B6" w14:textId="77777777" w:rsidR="00472430" w:rsidRPr="004643C5" w:rsidRDefault="00000000">
            <w:pPr>
              <w:spacing w:before="40" w:after="40"/>
              <w:rPr>
                <w:color w:val="1F4E79" w:themeColor="accent1" w:themeShade="80"/>
              </w:rPr>
            </w:pPr>
            <w:r w:rsidRPr="004643C5">
              <w:rPr>
                <w:color w:val="1F4E79" w:themeColor="accent1" w:themeShade="80"/>
                <w:sz w:val="16"/>
                <w:szCs w:val="16"/>
              </w:rPr>
              <w:t>Role escalation</w:t>
            </w:r>
          </w:p>
        </w:tc>
        <w:tc>
          <w:tcPr>
            <w:tcW w:w="1450" w:type="dxa"/>
          </w:tcPr>
          <w:p w14:paraId="7D9C9468" w14:textId="77777777" w:rsidR="00472430" w:rsidRPr="004643C5" w:rsidRDefault="00000000">
            <w:pPr>
              <w:spacing w:before="40" w:after="40"/>
              <w:rPr>
                <w:color w:val="1F4E79" w:themeColor="accent1" w:themeShade="80"/>
              </w:rPr>
            </w:pPr>
            <w:r w:rsidRPr="004643C5">
              <w:rPr>
                <w:color w:val="1F4E79" w:themeColor="accent1" w:themeShade="80"/>
                <w:sz w:val="16"/>
                <w:szCs w:val="16"/>
              </w:rPr>
              <w:t>Researcher calls lab-only function</w:t>
            </w:r>
          </w:p>
        </w:tc>
        <w:tc>
          <w:tcPr>
            <w:tcW w:w="1600" w:type="dxa"/>
          </w:tcPr>
          <w:p w14:paraId="7AF64B12" w14:textId="77777777" w:rsidR="00472430" w:rsidRPr="004643C5" w:rsidRDefault="00000000">
            <w:pPr>
              <w:spacing w:before="40" w:after="40"/>
              <w:rPr>
                <w:color w:val="1F4E79" w:themeColor="accent1" w:themeShade="80"/>
              </w:rPr>
            </w:pPr>
            <w:r w:rsidRPr="004643C5">
              <w:rPr>
                <w:color w:val="1F4E79" w:themeColor="accent1" w:themeShade="80"/>
                <w:sz w:val="16"/>
                <w:szCs w:val="16"/>
              </w:rPr>
              <w:t>Role modifiers; CEI pattern; tx revert</w:t>
            </w:r>
          </w:p>
        </w:tc>
        <w:tc>
          <w:tcPr>
            <w:tcW w:w="1050" w:type="dxa"/>
          </w:tcPr>
          <w:p w14:paraId="55AAE3F4" w14:textId="77777777" w:rsidR="00472430" w:rsidRPr="004643C5" w:rsidRDefault="00000000">
            <w:pPr>
              <w:spacing w:before="40" w:after="40"/>
              <w:rPr>
                <w:color w:val="1F4E79" w:themeColor="accent1" w:themeShade="80"/>
              </w:rPr>
            </w:pPr>
            <w:r w:rsidRPr="004643C5">
              <w:rPr>
                <w:color w:val="1F4E79" w:themeColor="accent1" w:themeShade="80"/>
                <w:sz w:val="16"/>
                <w:szCs w:val="16"/>
              </w:rPr>
              <w:t>Coding bug (audit needed)</w:t>
            </w:r>
          </w:p>
        </w:tc>
      </w:tr>
    </w:tbl>
    <w:p w14:paraId="1DAE650B" w14:textId="77777777" w:rsidR="00472430" w:rsidRPr="004643C5" w:rsidRDefault="00472430">
      <w:pPr>
        <w:jc w:val="both"/>
        <w:rPr>
          <w:color w:val="1F4E79" w:themeColor="accent1" w:themeShade="80"/>
        </w:rPr>
      </w:pPr>
    </w:p>
    <w:p w14:paraId="466728E5" w14:textId="77777777" w:rsidR="00472430" w:rsidRPr="004643C5" w:rsidRDefault="00000000">
      <w:pPr>
        <w:pStyle w:val="Heading2"/>
        <w:rPr>
          <w:color w:val="1F4E79" w:themeColor="accent1" w:themeShade="80"/>
        </w:rPr>
      </w:pPr>
      <w:r w:rsidRPr="004643C5">
        <w:rPr>
          <w:color w:val="1F4E79" w:themeColor="accent1" w:themeShade="80"/>
          <w:sz w:val="18"/>
          <w:szCs w:val="18"/>
        </w:rPr>
        <w:t>B. Smart Contract Security Patterns</w:t>
      </w:r>
    </w:p>
    <w:p w14:paraId="7E98A11E"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The GenShareRegistry contract implements defensive patterns throughout. Reentrancy protection is achieved via the checks-effects-interactions (CEI) ordering: all state validations (require statements) execute before any state modifications, and modifications complete before any external calls. Input validation on all public functions uses explicit require with descriptive error messages. The onlyOwner, onlyLab, onlyPatient, and onlyResearcher modifiers prevent role escalation. The Solidity 0.8.20 compiler's built-in overflow/underflow detection eliminates integer arithmetic vulnerabilities without requiring the SafeMath library. The optimizer is configured with 200 runs, balancing bytecode size against execution efficiency. A formal third-party smart contract audit using static analysis tools (e.g., Slither, Mythril) is recommended before any production deployment handling real patient data.</w:t>
      </w:r>
    </w:p>
    <w:p w14:paraId="406A0A7D" w14:textId="77777777" w:rsidR="00472430" w:rsidRPr="004643C5" w:rsidRDefault="00000000">
      <w:pPr>
        <w:pStyle w:val="Heading2"/>
        <w:rPr>
          <w:color w:val="1F4E79" w:themeColor="accent1" w:themeShade="80"/>
        </w:rPr>
      </w:pPr>
      <w:r w:rsidRPr="004643C5">
        <w:rPr>
          <w:color w:val="1F4E79" w:themeColor="accent1" w:themeShade="80"/>
          <w:sz w:val="18"/>
          <w:szCs w:val="18"/>
        </w:rPr>
        <w:t>C. Post-Access Data Governance: Scope and Limitations</w:t>
      </w:r>
    </w:p>
    <w:p w14:paraId="3F212A5D"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 xml:space="preserve">A critical design question for any genomic data sharing system is what happens after a researcher successfully downloads a decrypted genomic file. GeneBlockchain enforces </w:t>
      </w:r>
      <w:r w:rsidRPr="004643C5">
        <w:rPr>
          <w:b/>
          <w:color w:val="1F4E79" w:themeColor="accent1" w:themeShade="80"/>
          <w:sz w:val="18"/>
          <w:szCs w:val="18"/>
        </w:rPr>
        <w:t>access-time controls</w:t>
      </w:r>
      <w:r w:rsidRPr="004643C5">
        <w:rPr>
          <w:color w:val="1F4E79" w:themeColor="accent1" w:themeShade="80"/>
          <w:sz w:val="18"/>
          <w:szCs w:val="18"/>
        </w:rPr>
        <w:t xml:space="preserve">: who may request decryption, under what temporal conditions (time-bound consent), and with complete auditability of every access event on-chain. What GeneBlockchain cannot control is </w:t>
      </w:r>
      <w:r w:rsidRPr="004643C5">
        <w:rPr>
          <w:b/>
          <w:color w:val="1F4E79" w:themeColor="accent1" w:themeShade="80"/>
          <w:sz w:val="18"/>
          <w:szCs w:val="18"/>
        </w:rPr>
        <w:t>post-access usage</w:t>
      </w:r>
      <w:r w:rsidRPr="004643C5">
        <w:rPr>
          <w:color w:val="1F4E79" w:themeColor="accent1" w:themeShade="80"/>
          <w:sz w:val="18"/>
          <w:szCs w:val="18"/>
        </w:rPr>
        <w:t>—once a researcher has legitimately decrypted a file and saved it locally, the blockchain system has no mechanism to prevent that researcher from sharing the file, retaining it beyond the consent period, or using it for purposes outside the stated scope.</w:t>
      </w:r>
    </w:p>
    <w:p w14:paraId="7662FA2A"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 xml:space="preserve">This limitation is not unique to blockchain-based systems; it reflects the fundamental boundary between technical enforcement and institutional governance. The correct handling of post-access data usage falls within the domain of </w:t>
      </w:r>
      <w:r w:rsidRPr="004643C5">
        <w:rPr>
          <w:b/>
          <w:color w:val="1F4E79" w:themeColor="accent1" w:themeShade="80"/>
          <w:sz w:val="18"/>
          <w:szCs w:val="18"/>
        </w:rPr>
        <w:t>Data Use Agreements (DUAs)</w:t>
      </w:r>
      <w:r w:rsidRPr="004643C5">
        <w:rPr>
          <w:color w:val="1F4E79" w:themeColor="accent1" w:themeShade="80"/>
          <w:sz w:val="18"/>
          <w:szCs w:val="18"/>
        </w:rPr>
        <w:t>, which are contractual instruments that researchers must sign before gaining system access, specifying permitted use cases, retention periods, and prohibitions on secondary sharing. These agreements are enforced through institutional review processes, professional accountability mechanisms, and regulatory frameworks (HIPAA, GDPR, DPDPA) rather than by the blockchain itself [47]. GeneBlockchain is designed to complement DUAs, not replace them: the immutable access log provides the evidentiary basis for investigating DUA violations, while the time-bound consent mechanism creates a technical friction mechanism that discourages casual over-retention.</w:t>
      </w:r>
    </w:p>
    <w:p w14:paraId="4E2408EE"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 xml:space="preserve">Two partial technical mitigations are within scope for future work. First, </w:t>
      </w:r>
      <w:r w:rsidRPr="004643C5">
        <w:rPr>
          <w:b/>
          <w:color w:val="1F4E79" w:themeColor="accent1" w:themeShade="80"/>
          <w:sz w:val="18"/>
          <w:szCs w:val="18"/>
        </w:rPr>
        <w:t>watermarking</w:t>
      </w:r>
      <w:r w:rsidRPr="004643C5">
        <w:rPr>
          <w:color w:val="1F4E79" w:themeColor="accent1" w:themeShade="80"/>
          <w:sz w:val="18"/>
          <w:szCs w:val="18"/>
        </w:rPr>
        <w:t xml:space="preserve">: a genomic file could be digitally watermarked before delivery, embedding the researcher's identity in a manner that survives format conversion, enabling the provenance of a leaked file to be traced. Second, </w:t>
      </w:r>
      <w:r w:rsidRPr="004643C5">
        <w:rPr>
          <w:b/>
          <w:color w:val="1F4E79" w:themeColor="accent1" w:themeShade="80"/>
          <w:sz w:val="18"/>
          <w:szCs w:val="18"/>
        </w:rPr>
        <w:t>Zero-Knowledge Proof (ZKP)-based query answering</w:t>
      </w:r>
      <w:r w:rsidRPr="004643C5">
        <w:rPr>
          <w:color w:val="1F4E79" w:themeColor="accent1" w:themeShade="80"/>
          <w:sz w:val="18"/>
          <w:szCs w:val="18"/>
        </w:rPr>
        <w:t>: instead of delivering the raw sequence file, the system could answer specific biological queries (e.g., allele presence, variant count) using ZKP protocols that prove the query result without revealing the underlying data. This eliminates the "downloaded file" attack surface entirely by ensuring the researcher never receives the raw sequence. Both mitigations are identified as future work in Section XII.</w:t>
      </w:r>
    </w:p>
    <w:p w14:paraId="57776D0C" w14:textId="77777777" w:rsidR="00472430" w:rsidRPr="004643C5" w:rsidRDefault="00000000">
      <w:pPr>
        <w:pStyle w:val="Heading1"/>
        <w:rPr>
          <w:color w:val="1F4E79" w:themeColor="accent1" w:themeShade="80"/>
        </w:rPr>
      </w:pPr>
      <w:r w:rsidRPr="004643C5">
        <w:rPr>
          <w:color w:val="1F4E79" w:themeColor="accent1" w:themeShade="80"/>
          <w:sz w:val="18"/>
          <w:szCs w:val="18"/>
        </w:rPr>
        <w:t>VII. Implementation Details</w:t>
      </w:r>
    </w:p>
    <w:p w14:paraId="1B9F565B" w14:textId="77777777" w:rsidR="00472430" w:rsidRPr="004643C5" w:rsidRDefault="00000000">
      <w:pPr>
        <w:pStyle w:val="Heading2"/>
        <w:rPr>
          <w:color w:val="1F4E79" w:themeColor="accent1" w:themeShade="80"/>
        </w:rPr>
      </w:pPr>
      <w:r w:rsidRPr="004643C5">
        <w:rPr>
          <w:color w:val="1F4E79" w:themeColor="accent1" w:themeShade="80"/>
          <w:sz w:val="18"/>
          <w:szCs w:val="18"/>
        </w:rPr>
        <w:t>A. Smart Contract Architecture</w:t>
      </w:r>
    </w:p>
    <w:p w14:paraId="4AC0913D"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 xml:space="preserve">The GenShareRegistry contract implements five logical modules. The </w:t>
      </w:r>
      <w:r w:rsidRPr="004643C5">
        <w:rPr>
          <w:b/>
          <w:color w:val="1F4E79" w:themeColor="accent1" w:themeShade="80"/>
          <w:sz w:val="18"/>
          <w:szCs w:val="18"/>
        </w:rPr>
        <w:t>role management module</w:t>
      </w:r>
      <w:r w:rsidRPr="004643C5">
        <w:rPr>
          <w:color w:val="1F4E79" w:themeColor="accent1" w:themeShade="80"/>
          <w:sz w:val="18"/>
          <w:szCs w:val="18"/>
        </w:rPr>
        <w:t xml:space="preserve"> assigns roles—Owner, Lab, Patient, Researcher—to Ethereum addresses using a mapping(address =&gt; Role) structure. The </w:t>
      </w:r>
      <w:r w:rsidRPr="004643C5">
        <w:rPr>
          <w:b/>
          <w:color w:val="1F4E79" w:themeColor="accent1" w:themeShade="80"/>
          <w:sz w:val="18"/>
          <w:szCs w:val="18"/>
        </w:rPr>
        <w:t>Lab Governance module</w:t>
      </w:r>
      <w:r w:rsidRPr="004643C5">
        <w:rPr>
          <w:color w:val="1F4E79" w:themeColor="accent1" w:themeShade="80"/>
          <w:sz w:val="18"/>
          <w:szCs w:val="18"/>
        </w:rPr>
        <w:t xml:space="preserve"> implements DAA voting: any registered lab calls proposeNewLab with a candidate address; other labs vote via voteOnProposal; proposals resolve when votes reach the two-thirds threshold. The </w:t>
      </w:r>
      <w:r w:rsidRPr="004643C5">
        <w:rPr>
          <w:b/>
          <w:color w:val="1F4E79" w:themeColor="accent1" w:themeShade="80"/>
          <w:sz w:val="18"/>
          <w:szCs w:val="18"/>
        </w:rPr>
        <w:t>genomic data module</w:t>
      </w:r>
      <w:r w:rsidRPr="004643C5">
        <w:rPr>
          <w:color w:val="1F4E79" w:themeColor="accent1" w:themeShade="80"/>
          <w:sz w:val="18"/>
          <w:szCs w:val="18"/>
        </w:rPr>
        <w:t xml:space="preserve"> stores a GenomicRecord struct (patient ID, IPFS CID, SHA-256 hash, timestamp, active flag) per file; only Lab-role addresses may register records. The </w:t>
      </w:r>
      <w:r w:rsidRPr="004643C5">
        <w:rPr>
          <w:b/>
          <w:color w:val="1F4E79" w:themeColor="accent1" w:themeShade="80"/>
          <w:sz w:val="18"/>
          <w:szCs w:val="18"/>
        </w:rPr>
        <w:t>consent management module</w:t>
      </w:r>
      <w:r w:rsidRPr="004643C5">
        <w:rPr>
          <w:color w:val="1F4E79" w:themeColor="accent1" w:themeShade="80"/>
          <w:sz w:val="18"/>
          <w:szCs w:val="18"/>
        </w:rPr>
        <w:t xml:space="preserve"> stores Consent structs (patient ID, researcher address, record index, grant/expiry timestamps, revocation and existence flags). The </w:t>
      </w:r>
      <w:r w:rsidRPr="004643C5">
        <w:rPr>
          <w:b/>
          <w:color w:val="1F4E79" w:themeColor="accent1" w:themeShade="80"/>
          <w:sz w:val="18"/>
          <w:szCs w:val="18"/>
        </w:rPr>
        <w:t>access logging module</w:t>
      </w:r>
      <w:r w:rsidRPr="004643C5">
        <w:rPr>
          <w:color w:val="1F4E79" w:themeColor="accent1" w:themeShade="80"/>
          <w:sz w:val="18"/>
          <w:szCs w:val="18"/>
        </w:rPr>
        <w:t xml:space="preserve"> validates consent and records a DataAccessed or AccessDenied event for every attempt, forming the non-repudiation audit trail described in the STRIDE analysis.</w:t>
      </w:r>
    </w:p>
    <w:p w14:paraId="5890A321" w14:textId="77777777" w:rsidR="00472430" w:rsidRPr="004643C5" w:rsidRDefault="00000000">
      <w:pPr>
        <w:keepNext/>
        <w:spacing w:before="160" w:line="252" w:lineRule="auto"/>
        <w:jc w:val="center"/>
        <w:rPr>
          <w:color w:val="1F4E79" w:themeColor="accent1" w:themeShade="80"/>
        </w:rPr>
      </w:pPr>
      <w:r w:rsidRPr="004643C5">
        <w:rPr>
          <w:b/>
          <w:color w:val="1F4E79" w:themeColor="accent1" w:themeShade="80"/>
          <w:sz w:val="18"/>
          <w:szCs w:val="18"/>
        </w:rPr>
        <w:t>TABLE III</w:t>
      </w:r>
    </w:p>
    <w:p w14:paraId="3FCF1E40" w14:textId="77777777" w:rsidR="00472430" w:rsidRPr="004643C5" w:rsidRDefault="00000000">
      <w:pPr>
        <w:keepNext/>
        <w:spacing w:after="60" w:line="252" w:lineRule="auto"/>
        <w:jc w:val="center"/>
        <w:rPr>
          <w:color w:val="1F4E79" w:themeColor="accent1" w:themeShade="80"/>
        </w:rPr>
      </w:pPr>
      <w:r w:rsidRPr="004643C5">
        <w:rPr>
          <w:smallCaps/>
          <w:color w:val="1F4E79" w:themeColor="accent1" w:themeShade="80"/>
          <w:sz w:val="16"/>
          <w:szCs w:val="16"/>
        </w:rPr>
        <w:t>GENSHAREREGISTRY SMART CONTRACT FUNCTION SUMMARY</w:t>
      </w:r>
    </w:p>
    <w:tbl>
      <w:tblPr>
        <w:tblW w:w="6350" w:type="dxa"/>
        <w:tblLayout w:type="fixed"/>
        <w:tblLook w:val="04A0" w:firstRow="1" w:lastRow="0" w:firstColumn="1" w:lastColumn="0" w:noHBand="0" w:noVBand="1"/>
      </w:tblPr>
      <w:tblGrid>
        <w:gridCol w:w="1500"/>
        <w:gridCol w:w="1100"/>
        <w:gridCol w:w="950"/>
        <w:gridCol w:w="850"/>
        <w:gridCol w:w="1950"/>
      </w:tblGrid>
      <w:tr w:rsidR="004643C5" w:rsidRPr="004643C5" w14:paraId="7925477A" w14:textId="77777777">
        <w:trPr>
          <w:tblHeader/>
        </w:trPr>
        <w:tc>
          <w:tcPr>
            <w:tcW w:w="1500" w:type="dxa"/>
            <w:shd w:val="clear" w:color="auto" w:fill="CCCCCC"/>
          </w:tcPr>
          <w:p w14:paraId="07C8615C" w14:textId="77777777" w:rsidR="00472430" w:rsidRPr="004643C5" w:rsidRDefault="00000000">
            <w:pPr>
              <w:spacing w:before="40" w:after="40"/>
              <w:jc w:val="center"/>
              <w:rPr>
                <w:color w:val="1F4E79" w:themeColor="accent1" w:themeShade="80"/>
              </w:rPr>
            </w:pPr>
            <w:r w:rsidRPr="004643C5">
              <w:rPr>
                <w:b/>
                <w:color w:val="1F4E79" w:themeColor="accent1" w:themeShade="80"/>
                <w:sz w:val="16"/>
                <w:szCs w:val="16"/>
              </w:rPr>
              <w:t>Function</w:t>
            </w:r>
          </w:p>
        </w:tc>
        <w:tc>
          <w:tcPr>
            <w:tcW w:w="1100" w:type="dxa"/>
            <w:shd w:val="clear" w:color="auto" w:fill="CCCCCC"/>
          </w:tcPr>
          <w:p w14:paraId="2D4BAD50" w14:textId="77777777" w:rsidR="00472430" w:rsidRPr="004643C5" w:rsidRDefault="00000000">
            <w:pPr>
              <w:spacing w:before="40" w:after="40"/>
              <w:jc w:val="center"/>
              <w:rPr>
                <w:color w:val="1F4E79" w:themeColor="accent1" w:themeShade="80"/>
              </w:rPr>
            </w:pPr>
            <w:r w:rsidRPr="004643C5">
              <w:rPr>
                <w:b/>
                <w:color w:val="1F4E79" w:themeColor="accent1" w:themeShade="80"/>
                <w:sz w:val="16"/>
                <w:szCs w:val="16"/>
              </w:rPr>
              <w:t>Role Required</w:t>
            </w:r>
          </w:p>
        </w:tc>
        <w:tc>
          <w:tcPr>
            <w:tcW w:w="950" w:type="dxa"/>
            <w:shd w:val="clear" w:color="auto" w:fill="CCCCCC"/>
          </w:tcPr>
          <w:p w14:paraId="4B4493F4" w14:textId="77777777" w:rsidR="00472430" w:rsidRPr="004643C5" w:rsidRDefault="00000000">
            <w:pPr>
              <w:spacing w:before="40" w:after="40"/>
              <w:jc w:val="center"/>
              <w:rPr>
                <w:color w:val="1F4E79" w:themeColor="accent1" w:themeShade="80"/>
              </w:rPr>
            </w:pPr>
            <w:r w:rsidRPr="004643C5">
              <w:rPr>
                <w:b/>
                <w:color w:val="1F4E79" w:themeColor="accent1" w:themeShade="80"/>
                <w:sz w:val="16"/>
                <w:szCs w:val="16"/>
              </w:rPr>
              <w:t>Gas Est.</w:t>
            </w:r>
          </w:p>
        </w:tc>
        <w:tc>
          <w:tcPr>
            <w:tcW w:w="850" w:type="dxa"/>
            <w:shd w:val="clear" w:color="auto" w:fill="CCCCCC"/>
          </w:tcPr>
          <w:p w14:paraId="20ECD2D5" w14:textId="77777777" w:rsidR="00472430" w:rsidRPr="004643C5" w:rsidRDefault="00000000">
            <w:pPr>
              <w:spacing w:before="40" w:after="40"/>
              <w:jc w:val="center"/>
              <w:rPr>
                <w:color w:val="1F4E79" w:themeColor="accent1" w:themeShade="80"/>
              </w:rPr>
            </w:pPr>
            <w:r w:rsidRPr="004643C5">
              <w:rPr>
                <w:b/>
                <w:color w:val="1F4E79" w:themeColor="accent1" w:themeShade="80"/>
                <w:sz w:val="16"/>
                <w:szCs w:val="16"/>
              </w:rPr>
              <w:t>STRIDE Addressed</w:t>
            </w:r>
          </w:p>
        </w:tc>
        <w:tc>
          <w:tcPr>
            <w:tcW w:w="1950" w:type="dxa"/>
            <w:shd w:val="clear" w:color="auto" w:fill="CCCCCC"/>
          </w:tcPr>
          <w:p w14:paraId="3860EB07" w14:textId="77777777" w:rsidR="00472430" w:rsidRPr="004643C5" w:rsidRDefault="00000000">
            <w:pPr>
              <w:spacing w:before="40" w:after="40"/>
              <w:jc w:val="center"/>
              <w:rPr>
                <w:color w:val="1F4E79" w:themeColor="accent1" w:themeShade="80"/>
              </w:rPr>
            </w:pPr>
            <w:r w:rsidRPr="004643C5">
              <w:rPr>
                <w:b/>
                <w:color w:val="1F4E79" w:themeColor="accent1" w:themeShade="80"/>
                <w:sz w:val="16"/>
                <w:szCs w:val="16"/>
              </w:rPr>
              <w:t>Description</w:t>
            </w:r>
          </w:p>
        </w:tc>
      </w:tr>
      <w:tr w:rsidR="004643C5" w:rsidRPr="004643C5" w14:paraId="704A01BF" w14:textId="77777777">
        <w:tc>
          <w:tcPr>
            <w:tcW w:w="1500" w:type="dxa"/>
          </w:tcPr>
          <w:p w14:paraId="26340EA7" w14:textId="77777777" w:rsidR="00472430" w:rsidRPr="004643C5" w:rsidRDefault="00000000">
            <w:pPr>
              <w:spacing w:before="40" w:after="40"/>
              <w:rPr>
                <w:color w:val="1F4E79" w:themeColor="accent1" w:themeShade="80"/>
              </w:rPr>
            </w:pPr>
            <w:proofErr w:type="spellStart"/>
            <w:r w:rsidRPr="004643C5">
              <w:rPr>
                <w:color w:val="1F4E79" w:themeColor="accent1" w:themeShade="80"/>
                <w:sz w:val="16"/>
                <w:szCs w:val="16"/>
              </w:rPr>
              <w:lastRenderedPageBreak/>
              <w:t>registerGenomicData</w:t>
            </w:r>
            <w:proofErr w:type="spellEnd"/>
          </w:p>
        </w:tc>
        <w:tc>
          <w:tcPr>
            <w:tcW w:w="1100" w:type="dxa"/>
          </w:tcPr>
          <w:p w14:paraId="3622F5E9" w14:textId="77777777" w:rsidR="00472430" w:rsidRPr="004643C5" w:rsidRDefault="00000000">
            <w:pPr>
              <w:spacing w:before="40" w:after="40"/>
              <w:rPr>
                <w:color w:val="1F4E79" w:themeColor="accent1" w:themeShade="80"/>
              </w:rPr>
            </w:pPr>
            <w:r w:rsidRPr="004643C5">
              <w:rPr>
                <w:color w:val="1F4E79" w:themeColor="accent1" w:themeShade="80"/>
                <w:sz w:val="16"/>
                <w:szCs w:val="16"/>
              </w:rPr>
              <w:t>Lab</w:t>
            </w:r>
          </w:p>
        </w:tc>
        <w:tc>
          <w:tcPr>
            <w:tcW w:w="950" w:type="dxa"/>
          </w:tcPr>
          <w:p w14:paraId="7640ABEE" w14:textId="77777777" w:rsidR="00472430" w:rsidRPr="004643C5" w:rsidRDefault="00000000">
            <w:pPr>
              <w:spacing w:before="40" w:after="40"/>
              <w:rPr>
                <w:color w:val="1F4E79" w:themeColor="accent1" w:themeShade="80"/>
              </w:rPr>
            </w:pPr>
            <w:r w:rsidRPr="004643C5">
              <w:rPr>
                <w:color w:val="1F4E79" w:themeColor="accent1" w:themeShade="80"/>
                <w:sz w:val="16"/>
                <w:szCs w:val="16"/>
              </w:rPr>
              <w:t>~148,000</w:t>
            </w:r>
          </w:p>
        </w:tc>
        <w:tc>
          <w:tcPr>
            <w:tcW w:w="850" w:type="dxa"/>
          </w:tcPr>
          <w:p w14:paraId="2A10C3D2" w14:textId="77777777" w:rsidR="00472430" w:rsidRPr="004643C5" w:rsidRDefault="00000000">
            <w:pPr>
              <w:spacing w:before="40" w:after="40"/>
              <w:rPr>
                <w:color w:val="1F4E79" w:themeColor="accent1" w:themeShade="80"/>
              </w:rPr>
            </w:pPr>
            <w:r w:rsidRPr="004643C5">
              <w:rPr>
                <w:color w:val="1F4E79" w:themeColor="accent1" w:themeShade="80"/>
                <w:sz w:val="16"/>
                <w:szCs w:val="16"/>
              </w:rPr>
              <w:t>T, I</w:t>
            </w:r>
          </w:p>
        </w:tc>
        <w:tc>
          <w:tcPr>
            <w:tcW w:w="1950" w:type="dxa"/>
          </w:tcPr>
          <w:p w14:paraId="60351A97" w14:textId="77777777" w:rsidR="00472430" w:rsidRPr="004643C5" w:rsidRDefault="00000000">
            <w:pPr>
              <w:spacing w:before="40" w:after="40"/>
              <w:rPr>
                <w:color w:val="1F4E79" w:themeColor="accent1" w:themeShade="80"/>
              </w:rPr>
            </w:pPr>
            <w:r w:rsidRPr="004643C5">
              <w:rPr>
                <w:color w:val="1F4E79" w:themeColor="accent1" w:themeShade="80"/>
                <w:sz w:val="16"/>
                <w:szCs w:val="16"/>
              </w:rPr>
              <w:t>Register file CID + hash on-chain</w:t>
            </w:r>
          </w:p>
        </w:tc>
      </w:tr>
      <w:tr w:rsidR="004643C5" w:rsidRPr="004643C5" w14:paraId="243D8867" w14:textId="77777777">
        <w:tc>
          <w:tcPr>
            <w:tcW w:w="1500" w:type="dxa"/>
          </w:tcPr>
          <w:p w14:paraId="6231F5FE" w14:textId="77777777" w:rsidR="00472430" w:rsidRPr="004643C5" w:rsidRDefault="00000000">
            <w:pPr>
              <w:spacing w:before="40" w:after="40"/>
              <w:rPr>
                <w:color w:val="1F4E79" w:themeColor="accent1" w:themeShade="80"/>
              </w:rPr>
            </w:pPr>
            <w:proofErr w:type="spellStart"/>
            <w:r w:rsidRPr="004643C5">
              <w:rPr>
                <w:color w:val="1F4E79" w:themeColor="accent1" w:themeShade="80"/>
                <w:sz w:val="16"/>
                <w:szCs w:val="16"/>
              </w:rPr>
              <w:t>grantConsent</w:t>
            </w:r>
            <w:proofErr w:type="spellEnd"/>
          </w:p>
        </w:tc>
        <w:tc>
          <w:tcPr>
            <w:tcW w:w="1100" w:type="dxa"/>
          </w:tcPr>
          <w:p w14:paraId="31B709FC" w14:textId="77777777" w:rsidR="00472430" w:rsidRPr="004643C5" w:rsidRDefault="00000000">
            <w:pPr>
              <w:spacing w:before="40" w:after="40"/>
              <w:rPr>
                <w:color w:val="1F4E79" w:themeColor="accent1" w:themeShade="80"/>
              </w:rPr>
            </w:pPr>
            <w:r w:rsidRPr="004643C5">
              <w:rPr>
                <w:color w:val="1F4E79" w:themeColor="accent1" w:themeShade="80"/>
                <w:sz w:val="16"/>
                <w:szCs w:val="16"/>
              </w:rPr>
              <w:t>Patient</w:t>
            </w:r>
          </w:p>
        </w:tc>
        <w:tc>
          <w:tcPr>
            <w:tcW w:w="950" w:type="dxa"/>
          </w:tcPr>
          <w:p w14:paraId="5606D3EC" w14:textId="77777777" w:rsidR="00472430" w:rsidRPr="004643C5" w:rsidRDefault="00000000">
            <w:pPr>
              <w:spacing w:before="40" w:after="40"/>
              <w:rPr>
                <w:color w:val="1F4E79" w:themeColor="accent1" w:themeShade="80"/>
              </w:rPr>
            </w:pPr>
            <w:r w:rsidRPr="004643C5">
              <w:rPr>
                <w:color w:val="1F4E79" w:themeColor="accent1" w:themeShade="80"/>
                <w:sz w:val="16"/>
                <w:szCs w:val="16"/>
              </w:rPr>
              <w:t>~162,000</w:t>
            </w:r>
          </w:p>
        </w:tc>
        <w:tc>
          <w:tcPr>
            <w:tcW w:w="850" w:type="dxa"/>
          </w:tcPr>
          <w:p w14:paraId="5EFCFA98" w14:textId="77777777" w:rsidR="00472430" w:rsidRPr="004643C5" w:rsidRDefault="00000000">
            <w:pPr>
              <w:spacing w:before="40" w:after="40"/>
              <w:rPr>
                <w:color w:val="1F4E79" w:themeColor="accent1" w:themeShade="80"/>
              </w:rPr>
            </w:pPr>
            <w:r w:rsidRPr="004643C5">
              <w:rPr>
                <w:color w:val="1F4E79" w:themeColor="accent1" w:themeShade="80"/>
                <w:sz w:val="16"/>
                <w:szCs w:val="16"/>
              </w:rPr>
              <w:t>S, E</w:t>
            </w:r>
          </w:p>
        </w:tc>
        <w:tc>
          <w:tcPr>
            <w:tcW w:w="1950" w:type="dxa"/>
          </w:tcPr>
          <w:p w14:paraId="2A268EB5" w14:textId="77777777" w:rsidR="00472430" w:rsidRPr="004643C5" w:rsidRDefault="00000000">
            <w:pPr>
              <w:spacing w:before="40" w:after="40"/>
              <w:rPr>
                <w:color w:val="1F4E79" w:themeColor="accent1" w:themeShade="80"/>
              </w:rPr>
            </w:pPr>
            <w:r w:rsidRPr="004643C5">
              <w:rPr>
                <w:color w:val="1F4E79" w:themeColor="accent1" w:themeShade="80"/>
                <w:sz w:val="16"/>
                <w:szCs w:val="16"/>
              </w:rPr>
              <w:t>Issue time-bound access grant</w:t>
            </w:r>
          </w:p>
        </w:tc>
      </w:tr>
      <w:tr w:rsidR="004643C5" w:rsidRPr="004643C5" w14:paraId="4CB17F69" w14:textId="77777777">
        <w:tc>
          <w:tcPr>
            <w:tcW w:w="1500" w:type="dxa"/>
          </w:tcPr>
          <w:p w14:paraId="67A6984E" w14:textId="77777777" w:rsidR="00472430" w:rsidRPr="004643C5" w:rsidRDefault="00000000">
            <w:pPr>
              <w:spacing w:before="40" w:after="40"/>
              <w:rPr>
                <w:color w:val="1F4E79" w:themeColor="accent1" w:themeShade="80"/>
              </w:rPr>
            </w:pPr>
            <w:proofErr w:type="spellStart"/>
            <w:r w:rsidRPr="004643C5">
              <w:rPr>
                <w:color w:val="1F4E79" w:themeColor="accent1" w:themeShade="80"/>
                <w:sz w:val="16"/>
                <w:szCs w:val="16"/>
              </w:rPr>
              <w:t>revokeConsent</w:t>
            </w:r>
            <w:proofErr w:type="spellEnd"/>
          </w:p>
        </w:tc>
        <w:tc>
          <w:tcPr>
            <w:tcW w:w="1100" w:type="dxa"/>
          </w:tcPr>
          <w:p w14:paraId="7D2DCDB6" w14:textId="77777777" w:rsidR="00472430" w:rsidRPr="004643C5" w:rsidRDefault="00000000">
            <w:pPr>
              <w:spacing w:before="40" w:after="40"/>
              <w:rPr>
                <w:color w:val="1F4E79" w:themeColor="accent1" w:themeShade="80"/>
              </w:rPr>
            </w:pPr>
            <w:r w:rsidRPr="004643C5">
              <w:rPr>
                <w:color w:val="1F4E79" w:themeColor="accent1" w:themeShade="80"/>
                <w:sz w:val="16"/>
                <w:szCs w:val="16"/>
              </w:rPr>
              <w:t>Patient</w:t>
            </w:r>
          </w:p>
        </w:tc>
        <w:tc>
          <w:tcPr>
            <w:tcW w:w="950" w:type="dxa"/>
          </w:tcPr>
          <w:p w14:paraId="6139B61A" w14:textId="77777777" w:rsidR="00472430" w:rsidRPr="004643C5" w:rsidRDefault="00000000">
            <w:pPr>
              <w:spacing w:before="40" w:after="40"/>
              <w:rPr>
                <w:color w:val="1F4E79" w:themeColor="accent1" w:themeShade="80"/>
              </w:rPr>
            </w:pPr>
            <w:r w:rsidRPr="004643C5">
              <w:rPr>
                <w:color w:val="1F4E79" w:themeColor="accent1" w:themeShade="80"/>
                <w:sz w:val="16"/>
                <w:szCs w:val="16"/>
              </w:rPr>
              <w:t>~45,000</w:t>
            </w:r>
          </w:p>
        </w:tc>
        <w:tc>
          <w:tcPr>
            <w:tcW w:w="850" w:type="dxa"/>
          </w:tcPr>
          <w:p w14:paraId="7E0BEE5D" w14:textId="77777777" w:rsidR="00472430" w:rsidRPr="004643C5" w:rsidRDefault="00000000">
            <w:pPr>
              <w:spacing w:before="40" w:after="40"/>
              <w:rPr>
                <w:color w:val="1F4E79" w:themeColor="accent1" w:themeShade="80"/>
              </w:rPr>
            </w:pPr>
            <w:r w:rsidRPr="004643C5">
              <w:rPr>
                <w:color w:val="1F4E79" w:themeColor="accent1" w:themeShade="80"/>
                <w:sz w:val="16"/>
                <w:szCs w:val="16"/>
              </w:rPr>
              <w:t>S, E</w:t>
            </w:r>
          </w:p>
        </w:tc>
        <w:tc>
          <w:tcPr>
            <w:tcW w:w="1950" w:type="dxa"/>
          </w:tcPr>
          <w:p w14:paraId="2AC46DB5" w14:textId="77777777" w:rsidR="00472430" w:rsidRPr="004643C5" w:rsidRDefault="00000000">
            <w:pPr>
              <w:spacing w:before="40" w:after="40"/>
              <w:rPr>
                <w:color w:val="1F4E79" w:themeColor="accent1" w:themeShade="80"/>
              </w:rPr>
            </w:pPr>
            <w:r w:rsidRPr="004643C5">
              <w:rPr>
                <w:color w:val="1F4E79" w:themeColor="accent1" w:themeShade="80"/>
                <w:sz w:val="16"/>
                <w:szCs w:val="16"/>
              </w:rPr>
              <w:t>Invalidate existing consent</w:t>
            </w:r>
          </w:p>
        </w:tc>
      </w:tr>
      <w:tr w:rsidR="004643C5" w:rsidRPr="004643C5" w14:paraId="247DB1B3" w14:textId="77777777">
        <w:tc>
          <w:tcPr>
            <w:tcW w:w="1500" w:type="dxa"/>
          </w:tcPr>
          <w:p w14:paraId="5071C3FF" w14:textId="77777777" w:rsidR="00472430" w:rsidRPr="004643C5" w:rsidRDefault="00000000">
            <w:pPr>
              <w:spacing w:before="40" w:after="40"/>
              <w:rPr>
                <w:color w:val="1F4E79" w:themeColor="accent1" w:themeShade="80"/>
              </w:rPr>
            </w:pPr>
            <w:proofErr w:type="spellStart"/>
            <w:r w:rsidRPr="004643C5">
              <w:rPr>
                <w:color w:val="1F4E79" w:themeColor="accent1" w:themeShade="80"/>
                <w:sz w:val="16"/>
                <w:szCs w:val="16"/>
              </w:rPr>
              <w:t>isConsentActive</w:t>
            </w:r>
            <w:proofErr w:type="spellEnd"/>
          </w:p>
        </w:tc>
        <w:tc>
          <w:tcPr>
            <w:tcW w:w="1100" w:type="dxa"/>
          </w:tcPr>
          <w:p w14:paraId="3778FA35" w14:textId="77777777" w:rsidR="00472430" w:rsidRPr="004643C5" w:rsidRDefault="00000000">
            <w:pPr>
              <w:spacing w:before="40" w:after="40"/>
              <w:rPr>
                <w:color w:val="1F4E79" w:themeColor="accent1" w:themeShade="80"/>
              </w:rPr>
            </w:pPr>
            <w:r w:rsidRPr="004643C5">
              <w:rPr>
                <w:color w:val="1F4E79" w:themeColor="accent1" w:themeShade="80"/>
                <w:sz w:val="16"/>
                <w:szCs w:val="16"/>
              </w:rPr>
              <w:t>Any</w:t>
            </w:r>
          </w:p>
        </w:tc>
        <w:tc>
          <w:tcPr>
            <w:tcW w:w="950" w:type="dxa"/>
          </w:tcPr>
          <w:p w14:paraId="3723A4A9" w14:textId="77777777" w:rsidR="00472430" w:rsidRPr="004643C5" w:rsidRDefault="00000000">
            <w:pPr>
              <w:spacing w:before="40" w:after="40"/>
              <w:rPr>
                <w:color w:val="1F4E79" w:themeColor="accent1" w:themeShade="80"/>
              </w:rPr>
            </w:pPr>
            <w:r w:rsidRPr="004643C5">
              <w:rPr>
                <w:color w:val="1F4E79" w:themeColor="accent1" w:themeShade="80"/>
                <w:sz w:val="16"/>
                <w:szCs w:val="16"/>
              </w:rPr>
              <w:t>~3,000</w:t>
            </w:r>
          </w:p>
        </w:tc>
        <w:tc>
          <w:tcPr>
            <w:tcW w:w="850" w:type="dxa"/>
          </w:tcPr>
          <w:p w14:paraId="6D70C654" w14:textId="77777777" w:rsidR="00472430" w:rsidRPr="004643C5" w:rsidRDefault="00000000">
            <w:pPr>
              <w:spacing w:before="40" w:after="40"/>
              <w:rPr>
                <w:color w:val="1F4E79" w:themeColor="accent1" w:themeShade="80"/>
              </w:rPr>
            </w:pPr>
            <w:r w:rsidRPr="004643C5">
              <w:rPr>
                <w:color w:val="1F4E79" w:themeColor="accent1" w:themeShade="80"/>
                <w:sz w:val="16"/>
                <w:szCs w:val="16"/>
              </w:rPr>
              <w:t>E</w:t>
            </w:r>
          </w:p>
        </w:tc>
        <w:tc>
          <w:tcPr>
            <w:tcW w:w="1950" w:type="dxa"/>
          </w:tcPr>
          <w:p w14:paraId="1A7563AD" w14:textId="77777777" w:rsidR="00472430" w:rsidRPr="004643C5" w:rsidRDefault="00000000">
            <w:pPr>
              <w:spacing w:before="40" w:after="40"/>
              <w:rPr>
                <w:color w:val="1F4E79" w:themeColor="accent1" w:themeShade="80"/>
              </w:rPr>
            </w:pPr>
            <w:r w:rsidRPr="004643C5">
              <w:rPr>
                <w:color w:val="1F4E79" w:themeColor="accent1" w:themeShade="80"/>
                <w:sz w:val="16"/>
                <w:szCs w:val="16"/>
              </w:rPr>
              <w:t>View: validate consent status</w:t>
            </w:r>
          </w:p>
        </w:tc>
      </w:tr>
      <w:tr w:rsidR="004643C5" w:rsidRPr="004643C5" w14:paraId="45B175DF" w14:textId="77777777">
        <w:tc>
          <w:tcPr>
            <w:tcW w:w="1500" w:type="dxa"/>
          </w:tcPr>
          <w:p w14:paraId="0516EF4E" w14:textId="77777777" w:rsidR="00472430" w:rsidRPr="004643C5" w:rsidRDefault="00000000">
            <w:pPr>
              <w:spacing w:before="40" w:after="40"/>
              <w:rPr>
                <w:color w:val="1F4E79" w:themeColor="accent1" w:themeShade="80"/>
              </w:rPr>
            </w:pPr>
            <w:proofErr w:type="spellStart"/>
            <w:r w:rsidRPr="004643C5">
              <w:rPr>
                <w:color w:val="1F4E79" w:themeColor="accent1" w:themeShade="80"/>
                <w:sz w:val="16"/>
                <w:szCs w:val="16"/>
              </w:rPr>
              <w:t>logAccess</w:t>
            </w:r>
            <w:proofErr w:type="spellEnd"/>
          </w:p>
        </w:tc>
        <w:tc>
          <w:tcPr>
            <w:tcW w:w="1100" w:type="dxa"/>
          </w:tcPr>
          <w:p w14:paraId="5BE73D8E" w14:textId="77777777" w:rsidR="00472430" w:rsidRPr="004643C5" w:rsidRDefault="00000000">
            <w:pPr>
              <w:spacing w:before="40" w:after="40"/>
              <w:rPr>
                <w:color w:val="1F4E79" w:themeColor="accent1" w:themeShade="80"/>
              </w:rPr>
            </w:pPr>
            <w:r w:rsidRPr="004643C5">
              <w:rPr>
                <w:color w:val="1F4E79" w:themeColor="accent1" w:themeShade="80"/>
                <w:sz w:val="16"/>
                <w:szCs w:val="16"/>
              </w:rPr>
              <w:t>Server</w:t>
            </w:r>
          </w:p>
        </w:tc>
        <w:tc>
          <w:tcPr>
            <w:tcW w:w="950" w:type="dxa"/>
          </w:tcPr>
          <w:p w14:paraId="51314F98" w14:textId="77777777" w:rsidR="00472430" w:rsidRPr="004643C5" w:rsidRDefault="00000000">
            <w:pPr>
              <w:spacing w:before="40" w:after="40"/>
              <w:rPr>
                <w:color w:val="1F4E79" w:themeColor="accent1" w:themeShade="80"/>
              </w:rPr>
            </w:pPr>
            <w:r w:rsidRPr="004643C5">
              <w:rPr>
                <w:color w:val="1F4E79" w:themeColor="accent1" w:themeShade="80"/>
                <w:sz w:val="16"/>
                <w:szCs w:val="16"/>
              </w:rPr>
              <w:t>~72,000</w:t>
            </w:r>
          </w:p>
        </w:tc>
        <w:tc>
          <w:tcPr>
            <w:tcW w:w="850" w:type="dxa"/>
          </w:tcPr>
          <w:p w14:paraId="6BC76058" w14:textId="77777777" w:rsidR="00472430" w:rsidRPr="004643C5" w:rsidRDefault="00000000">
            <w:pPr>
              <w:spacing w:before="40" w:after="40"/>
              <w:rPr>
                <w:color w:val="1F4E79" w:themeColor="accent1" w:themeShade="80"/>
              </w:rPr>
            </w:pPr>
            <w:r w:rsidRPr="004643C5">
              <w:rPr>
                <w:color w:val="1F4E79" w:themeColor="accent1" w:themeShade="80"/>
                <w:sz w:val="16"/>
                <w:szCs w:val="16"/>
              </w:rPr>
              <w:t>R</w:t>
            </w:r>
          </w:p>
        </w:tc>
        <w:tc>
          <w:tcPr>
            <w:tcW w:w="1950" w:type="dxa"/>
          </w:tcPr>
          <w:p w14:paraId="5AC7FFE9" w14:textId="77777777" w:rsidR="00472430" w:rsidRPr="004643C5" w:rsidRDefault="00000000">
            <w:pPr>
              <w:spacing w:before="40" w:after="40"/>
              <w:rPr>
                <w:color w:val="1F4E79" w:themeColor="accent1" w:themeShade="80"/>
              </w:rPr>
            </w:pPr>
            <w:r w:rsidRPr="004643C5">
              <w:rPr>
                <w:color w:val="1F4E79" w:themeColor="accent1" w:themeShade="80"/>
                <w:sz w:val="16"/>
                <w:szCs w:val="16"/>
              </w:rPr>
              <w:t>Log access with consent validation</w:t>
            </w:r>
          </w:p>
        </w:tc>
      </w:tr>
      <w:tr w:rsidR="004643C5" w:rsidRPr="004643C5" w14:paraId="01370104" w14:textId="77777777">
        <w:tc>
          <w:tcPr>
            <w:tcW w:w="1500" w:type="dxa"/>
          </w:tcPr>
          <w:p w14:paraId="4403B8E3" w14:textId="77777777" w:rsidR="00472430" w:rsidRPr="004643C5" w:rsidRDefault="00000000">
            <w:pPr>
              <w:spacing w:before="40" w:after="40"/>
              <w:rPr>
                <w:color w:val="1F4E79" w:themeColor="accent1" w:themeShade="80"/>
              </w:rPr>
            </w:pPr>
            <w:proofErr w:type="spellStart"/>
            <w:r w:rsidRPr="004643C5">
              <w:rPr>
                <w:color w:val="1F4E79" w:themeColor="accent1" w:themeShade="80"/>
                <w:sz w:val="16"/>
                <w:szCs w:val="16"/>
              </w:rPr>
              <w:t>proposeNewLab</w:t>
            </w:r>
            <w:proofErr w:type="spellEnd"/>
          </w:p>
        </w:tc>
        <w:tc>
          <w:tcPr>
            <w:tcW w:w="1100" w:type="dxa"/>
          </w:tcPr>
          <w:p w14:paraId="5DD8C43D" w14:textId="77777777" w:rsidR="00472430" w:rsidRPr="004643C5" w:rsidRDefault="00000000">
            <w:pPr>
              <w:spacing w:before="40" w:after="40"/>
              <w:rPr>
                <w:color w:val="1F4E79" w:themeColor="accent1" w:themeShade="80"/>
              </w:rPr>
            </w:pPr>
            <w:r w:rsidRPr="004643C5">
              <w:rPr>
                <w:color w:val="1F4E79" w:themeColor="accent1" w:themeShade="80"/>
                <w:sz w:val="16"/>
                <w:szCs w:val="16"/>
              </w:rPr>
              <w:t>Lab</w:t>
            </w:r>
          </w:p>
        </w:tc>
        <w:tc>
          <w:tcPr>
            <w:tcW w:w="950" w:type="dxa"/>
          </w:tcPr>
          <w:p w14:paraId="5FED47F4" w14:textId="77777777" w:rsidR="00472430" w:rsidRPr="004643C5" w:rsidRDefault="00000000">
            <w:pPr>
              <w:spacing w:before="40" w:after="40"/>
              <w:rPr>
                <w:color w:val="1F4E79" w:themeColor="accent1" w:themeShade="80"/>
              </w:rPr>
            </w:pPr>
            <w:r w:rsidRPr="004643C5">
              <w:rPr>
                <w:color w:val="1F4E79" w:themeColor="accent1" w:themeShade="80"/>
                <w:sz w:val="16"/>
                <w:szCs w:val="16"/>
              </w:rPr>
              <w:t>~95,000</w:t>
            </w:r>
          </w:p>
        </w:tc>
        <w:tc>
          <w:tcPr>
            <w:tcW w:w="850" w:type="dxa"/>
          </w:tcPr>
          <w:p w14:paraId="2CEE35C8" w14:textId="77777777" w:rsidR="00472430" w:rsidRPr="004643C5" w:rsidRDefault="00000000">
            <w:pPr>
              <w:spacing w:before="40" w:after="40"/>
              <w:rPr>
                <w:color w:val="1F4E79" w:themeColor="accent1" w:themeShade="80"/>
              </w:rPr>
            </w:pPr>
            <w:r w:rsidRPr="004643C5">
              <w:rPr>
                <w:color w:val="1F4E79" w:themeColor="accent1" w:themeShade="80"/>
                <w:sz w:val="16"/>
                <w:szCs w:val="16"/>
              </w:rPr>
              <w:t>E</w:t>
            </w:r>
          </w:p>
        </w:tc>
        <w:tc>
          <w:tcPr>
            <w:tcW w:w="1950" w:type="dxa"/>
          </w:tcPr>
          <w:p w14:paraId="499200D6" w14:textId="77777777" w:rsidR="00472430" w:rsidRPr="004643C5" w:rsidRDefault="00000000">
            <w:pPr>
              <w:spacing w:before="40" w:after="40"/>
              <w:rPr>
                <w:color w:val="1F4E79" w:themeColor="accent1" w:themeShade="80"/>
              </w:rPr>
            </w:pPr>
            <w:r w:rsidRPr="004643C5">
              <w:rPr>
                <w:color w:val="1F4E79" w:themeColor="accent1" w:themeShade="80"/>
                <w:sz w:val="16"/>
                <w:szCs w:val="16"/>
              </w:rPr>
              <w:t>Submit lab admission proposal</w:t>
            </w:r>
          </w:p>
        </w:tc>
      </w:tr>
      <w:tr w:rsidR="00472430" w:rsidRPr="004643C5" w14:paraId="03CCB500" w14:textId="77777777">
        <w:tc>
          <w:tcPr>
            <w:tcW w:w="1500" w:type="dxa"/>
          </w:tcPr>
          <w:p w14:paraId="362E9FD1" w14:textId="77777777" w:rsidR="00472430" w:rsidRPr="004643C5" w:rsidRDefault="00000000">
            <w:pPr>
              <w:spacing w:before="40" w:after="40"/>
              <w:rPr>
                <w:color w:val="1F4E79" w:themeColor="accent1" w:themeShade="80"/>
              </w:rPr>
            </w:pPr>
            <w:proofErr w:type="spellStart"/>
            <w:r w:rsidRPr="004643C5">
              <w:rPr>
                <w:color w:val="1F4E79" w:themeColor="accent1" w:themeShade="80"/>
                <w:sz w:val="16"/>
                <w:szCs w:val="16"/>
              </w:rPr>
              <w:t>voteOnProposal</w:t>
            </w:r>
            <w:proofErr w:type="spellEnd"/>
          </w:p>
        </w:tc>
        <w:tc>
          <w:tcPr>
            <w:tcW w:w="1100" w:type="dxa"/>
          </w:tcPr>
          <w:p w14:paraId="35B5D298" w14:textId="77777777" w:rsidR="00472430" w:rsidRPr="004643C5" w:rsidRDefault="00000000">
            <w:pPr>
              <w:spacing w:before="40" w:after="40"/>
              <w:rPr>
                <w:color w:val="1F4E79" w:themeColor="accent1" w:themeShade="80"/>
              </w:rPr>
            </w:pPr>
            <w:r w:rsidRPr="004643C5">
              <w:rPr>
                <w:color w:val="1F4E79" w:themeColor="accent1" w:themeShade="80"/>
                <w:sz w:val="16"/>
                <w:szCs w:val="16"/>
              </w:rPr>
              <w:t>Lab</w:t>
            </w:r>
          </w:p>
        </w:tc>
        <w:tc>
          <w:tcPr>
            <w:tcW w:w="950" w:type="dxa"/>
          </w:tcPr>
          <w:p w14:paraId="1B5CE2F8" w14:textId="77777777" w:rsidR="00472430" w:rsidRPr="004643C5" w:rsidRDefault="00000000">
            <w:pPr>
              <w:spacing w:before="40" w:after="40"/>
              <w:rPr>
                <w:color w:val="1F4E79" w:themeColor="accent1" w:themeShade="80"/>
              </w:rPr>
            </w:pPr>
            <w:r w:rsidRPr="004643C5">
              <w:rPr>
                <w:color w:val="1F4E79" w:themeColor="accent1" w:themeShade="80"/>
                <w:sz w:val="16"/>
                <w:szCs w:val="16"/>
              </w:rPr>
              <w:t>~58,000</w:t>
            </w:r>
          </w:p>
        </w:tc>
        <w:tc>
          <w:tcPr>
            <w:tcW w:w="850" w:type="dxa"/>
          </w:tcPr>
          <w:p w14:paraId="557BFE16" w14:textId="77777777" w:rsidR="00472430" w:rsidRPr="004643C5" w:rsidRDefault="00000000">
            <w:pPr>
              <w:spacing w:before="40" w:after="40"/>
              <w:rPr>
                <w:color w:val="1F4E79" w:themeColor="accent1" w:themeShade="80"/>
              </w:rPr>
            </w:pPr>
            <w:r w:rsidRPr="004643C5">
              <w:rPr>
                <w:color w:val="1F4E79" w:themeColor="accent1" w:themeShade="80"/>
                <w:sz w:val="16"/>
                <w:szCs w:val="16"/>
              </w:rPr>
              <w:t>E</w:t>
            </w:r>
          </w:p>
        </w:tc>
        <w:tc>
          <w:tcPr>
            <w:tcW w:w="1950" w:type="dxa"/>
          </w:tcPr>
          <w:p w14:paraId="10CF8276" w14:textId="77777777" w:rsidR="00472430" w:rsidRPr="004643C5" w:rsidRDefault="00000000">
            <w:pPr>
              <w:spacing w:before="40" w:after="40"/>
              <w:rPr>
                <w:color w:val="1F4E79" w:themeColor="accent1" w:themeShade="80"/>
              </w:rPr>
            </w:pPr>
            <w:r w:rsidRPr="004643C5">
              <w:rPr>
                <w:color w:val="1F4E79" w:themeColor="accent1" w:themeShade="80"/>
                <w:sz w:val="16"/>
                <w:szCs w:val="16"/>
              </w:rPr>
              <w:t>Vote on pending lab proposal</w:t>
            </w:r>
          </w:p>
        </w:tc>
      </w:tr>
    </w:tbl>
    <w:p w14:paraId="5F486317" w14:textId="77777777" w:rsidR="00472430" w:rsidRPr="004643C5" w:rsidRDefault="00472430">
      <w:pPr>
        <w:jc w:val="both"/>
        <w:rPr>
          <w:color w:val="1F4E79" w:themeColor="accent1" w:themeShade="80"/>
        </w:rPr>
      </w:pPr>
    </w:p>
    <w:p w14:paraId="770E5BFE" w14:textId="77777777" w:rsidR="00472430" w:rsidRPr="004643C5" w:rsidRDefault="00000000">
      <w:pPr>
        <w:pStyle w:val="Heading2"/>
        <w:rPr>
          <w:color w:val="1F4E79" w:themeColor="accent1" w:themeShade="80"/>
        </w:rPr>
      </w:pPr>
      <w:r w:rsidRPr="004643C5">
        <w:rPr>
          <w:color w:val="1F4E79" w:themeColor="accent1" w:themeShade="80"/>
          <w:sz w:val="18"/>
          <w:szCs w:val="18"/>
        </w:rPr>
        <w:t>B. Deployment Context for Quantitative Evaluation</w:t>
      </w:r>
    </w:p>
    <w:p w14:paraId="7CEC1C07"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 xml:space="preserve">A note on the experimental setup is necessary for the quantitative analysis that follows. GeneBlockchain is currently at the proof-of-concept prototype stage. The performance measurements reported in Section VIII are derived from a </w:t>
      </w:r>
      <w:r w:rsidRPr="004643C5">
        <w:rPr>
          <w:b/>
          <w:color w:val="1F4E79" w:themeColor="accent1" w:themeShade="80"/>
          <w:sz w:val="18"/>
          <w:szCs w:val="18"/>
        </w:rPr>
        <w:t>simulation-based deployment</w:t>
      </w:r>
      <w:r w:rsidRPr="004643C5">
        <w:rPr>
          <w:color w:val="1F4E79" w:themeColor="accent1" w:themeShade="80"/>
          <w:sz w:val="18"/>
          <w:szCs w:val="18"/>
        </w:rPr>
        <w:t>: the system is fully instantiated on a local Hardhat Ethereum node (http://127.0.0.1:8545), which provides a deterministic EVM environment with 20 pre-funded test accounts and configurable block times. This constitutes a genuine software deployment rather than a theoretical estimate—all smart contracts are compiled, deployed, and invoked through the same Ethers.js interface used in production, and gas costs are measured by the Hardhat gas reporter against real EVM bytecode execution. Supplementary measurements on the public Ethereum Sepolia testnet are included to provide externally validated network latency figures. This two-environment methodology is consistent with the experimental approach adopted by comparable blockchain healthcare systems in the literature [10, 16].</w:t>
      </w:r>
    </w:p>
    <w:p w14:paraId="08FC2305"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The deployment script assigns roles deterministically: Account 0 as Owner/Server, Account 1 as Patient, Account 2 as Lab, Account 3 as Researcher. The contract ABI and address are stored in environment variables (NEXT_PUBLIC_CONTRACT_ADDRESS) consumed by the frontend and backend. The IPFS daemon runs locally (go-ipfs v0.18) for performance testing, with supplementary measurements using a public Infura IPFS gateway for realistic network conditions.</w:t>
      </w:r>
    </w:p>
    <w:p w14:paraId="4BD82EA3" w14:textId="77777777" w:rsidR="00472430" w:rsidRPr="004643C5" w:rsidRDefault="00000000">
      <w:pPr>
        <w:pStyle w:val="Heading1"/>
        <w:rPr>
          <w:color w:val="1F4E79" w:themeColor="accent1" w:themeShade="80"/>
        </w:rPr>
      </w:pPr>
      <w:r w:rsidRPr="004643C5">
        <w:rPr>
          <w:color w:val="1F4E79" w:themeColor="accent1" w:themeShade="80"/>
          <w:sz w:val="18"/>
          <w:szCs w:val="18"/>
        </w:rPr>
        <w:t>VIII. Quantitative Analysis</w:t>
      </w:r>
    </w:p>
    <w:p w14:paraId="3F82096B"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This section presents an analysis of eight performance metrics collected through controlled testing on the Hardhat local node and the Sepolia testnet (see Section VII-B for deployment context). All latency measurements are reported as mean ± one standard deviation across 50 repeated trials unless otherwise stated.</w:t>
      </w:r>
    </w:p>
    <w:p w14:paraId="7AB01E6A" w14:textId="77777777" w:rsidR="00472430" w:rsidRPr="004643C5" w:rsidRDefault="00000000">
      <w:pPr>
        <w:pStyle w:val="Heading2"/>
        <w:rPr>
          <w:color w:val="1F4E79" w:themeColor="accent1" w:themeShade="80"/>
        </w:rPr>
      </w:pPr>
      <w:r w:rsidRPr="004643C5">
        <w:rPr>
          <w:color w:val="1F4E79" w:themeColor="accent1" w:themeShade="80"/>
          <w:sz w:val="18"/>
          <w:szCs w:val="18"/>
        </w:rPr>
        <w:t>A. Transaction Confirmation Latency</w:t>
      </w:r>
    </w:p>
    <w:p w14:paraId="518BD2D3"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Transaction confirmation latency L = T_confirm − T_submit is measured from submission to block inclusion. Across six transaction types on the local Hardhat node, mean latencies ranged from 180 ms (isConsentActive, a view call) to 420 ms (grantConsent), reflecting the relative number of EVM SSTORE operations. On the Sepolia testnet, mean confirmation latency was 12.4 seconds (std. dev. 2.1 s, CV = 0.17), consistent with Ethereum's ~12-second block time. View calls (isConsentActive) return in under 400 ms on Sepolia because they do not require block inclusion.</w:t>
      </w:r>
    </w:p>
    <w:p w14:paraId="7C23CE7A" w14:textId="77777777" w:rsidR="00472430" w:rsidRPr="004643C5" w:rsidRDefault="00000000">
      <w:pPr>
        <w:keepNext/>
        <w:spacing w:before="160" w:line="252" w:lineRule="auto"/>
        <w:jc w:val="center"/>
        <w:rPr>
          <w:color w:val="1F4E79" w:themeColor="accent1" w:themeShade="80"/>
        </w:rPr>
      </w:pPr>
      <w:r w:rsidRPr="004643C5">
        <w:rPr>
          <w:b/>
          <w:color w:val="1F4E79" w:themeColor="accent1" w:themeShade="80"/>
          <w:sz w:val="18"/>
          <w:szCs w:val="18"/>
        </w:rPr>
        <w:t>TABLE IV</w:t>
      </w:r>
    </w:p>
    <w:p w14:paraId="04B518C2" w14:textId="77777777" w:rsidR="00472430" w:rsidRPr="004643C5" w:rsidRDefault="00000000">
      <w:pPr>
        <w:keepNext/>
        <w:spacing w:after="60" w:line="252" w:lineRule="auto"/>
        <w:jc w:val="center"/>
        <w:rPr>
          <w:color w:val="1F4E79" w:themeColor="accent1" w:themeShade="80"/>
        </w:rPr>
      </w:pPr>
      <w:r w:rsidRPr="004643C5">
        <w:rPr>
          <w:smallCaps/>
          <w:color w:val="1F4E79" w:themeColor="accent1" w:themeShade="80"/>
          <w:sz w:val="16"/>
          <w:szCs w:val="16"/>
        </w:rPr>
        <w:t>TRANSACTION CONFIRMATION LATENCY BY FUNCTION TYPE</w:t>
      </w:r>
    </w:p>
    <w:tbl>
      <w:tblPr>
        <w:tblW w:w="5850" w:type="dxa"/>
        <w:tblLayout w:type="fixed"/>
        <w:tblLook w:val="04A0" w:firstRow="1" w:lastRow="0" w:firstColumn="1" w:lastColumn="0" w:noHBand="0" w:noVBand="1"/>
      </w:tblPr>
      <w:tblGrid>
        <w:gridCol w:w="1550"/>
        <w:gridCol w:w="1350"/>
        <w:gridCol w:w="1100"/>
        <w:gridCol w:w="1850"/>
      </w:tblGrid>
      <w:tr w:rsidR="004643C5" w:rsidRPr="004643C5" w14:paraId="470A0DDF" w14:textId="77777777">
        <w:trPr>
          <w:tblHeader/>
        </w:trPr>
        <w:tc>
          <w:tcPr>
            <w:tcW w:w="1550" w:type="dxa"/>
            <w:shd w:val="clear" w:color="auto" w:fill="CCCCCC"/>
          </w:tcPr>
          <w:p w14:paraId="32837676" w14:textId="77777777" w:rsidR="00472430" w:rsidRPr="004643C5" w:rsidRDefault="00000000">
            <w:pPr>
              <w:spacing w:before="40" w:after="40"/>
              <w:jc w:val="center"/>
              <w:rPr>
                <w:color w:val="1F4E79" w:themeColor="accent1" w:themeShade="80"/>
              </w:rPr>
            </w:pPr>
            <w:r w:rsidRPr="004643C5">
              <w:rPr>
                <w:b/>
                <w:color w:val="1F4E79" w:themeColor="accent1" w:themeShade="80"/>
                <w:sz w:val="16"/>
                <w:szCs w:val="16"/>
              </w:rPr>
              <w:t>Function</w:t>
            </w:r>
          </w:p>
        </w:tc>
        <w:tc>
          <w:tcPr>
            <w:tcW w:w="1350" w:type="dxa"/>
            <w:shd w:val="clear" w:color="auto" w:fill="CCCCCC"/>
          </w:tcPr>
          <w:p w14:paraId="7864583E" w14:textId="77777777" w:rsidR="00472430" w:rsidRPr="004643C5" w:rsidRDefault="00000000">
            <w:pPr>
              <w:spacing w:before="40" w:after="40"/>
              <w:jc w:val="center"/>
              <w:rPr>
                <w:color w:val="1F4E79" w:themeColor="accent1" w:themeShade="80"/>
              </w:rPr>
            </w:pPr>
            <w:r w:rsidRPr="004643C5">
              <w:rPr>
                <w:b/>
                <w:color w:val="1F4E79" w:themeColor="accent1" w:themeShade="80"/>
                <w:sz w:val="16"/>
                <w:szCs w:val="16"/>
              </w:rPr>
              <w:t>Local Node (ms)</w:t>
            </w:r>
          </w:p>
        </w:tc>
        <w:tc>
          <w:tcPr>
            <w:tcW w:w="1100" w:type="dxa"/>
            <w:shd w:val="clear" w:color="auto" w:fill="CCCCCC"/>
          </w:tcPr>
          <w:p w14:paraId="3C9A3863" w14:textId="77777777" w:rsidR="00472430" w:rsidRPr="004643C5" w:rsidRDefault="00000000">
            <w:pPr>
              <w:spacing w:before="40" w:after="40"/>
              <w:jc w:val="center"/>
              <w:rPr>
                <w:color w:val="1F4E79" w:themeColor="accent1" w:themeShade="80"/>
              </w:rPr>
            </w:pPr>
            <w:r w:rsidRPr="004643C5">
              <w:rPr>
                <w:b/>
                <w:color w:val="1F4E79" w:themeColor="accent1" w:themeShade="80"/>
                <w:sz w:val="16"/>
                <w:szCs w:val="16"/>
              </w:rPr>
              <w:t>Sepolia (s)</w:t>
            </w:r>
          </w:p>
        </w:tc>
        <w:tc>
          <w:tcPr>
            <w:tcW w:w="1850" w:type="dxa"/>
            <w:shd w:val="clear" w:color="auto" w:fill="CCCCCC"/>
          </w:tcPr>
          <w:p w14:paraId="0371FD2B" w14:textId="77777777" w:rsidR="00472430" w:rsidRPr="004643C5" w:rsidRDefault="00000000">
            <w:pPr>
              <w:spacing w:before="40" w:after="40"/>
              <w:jc w:val="center"/>
              <w:rPr>
                <w:color w:val="1F4E79" w:themeColor="accent1" w:themeShade="80"/>
              </w:rPr>
            </w:pPr>
            <w:r w:rsidRPr="004643C5">
              <w:rPr>
                <w:b/>
                <w:color w:val="1F4E79" w:themeColor="accent1" w:themeShade="80"/>
                <w:sz w:val="16"/>
                <w:szCs w:val="16"/>
              </w:rPr>
              <w:t>Storage Writes</w:t>
            </w:r>
          </w:p>
        </w:tc>
      </w:tr>
      <w:tr w:rsidR="004643C5" w:rsidRPr="004643C5" w14:paraId="18D0956F" w14:textId="77777777">
        <w:tc>
          <w:tcPr>
            <w:tcW w:w="1550" w:type="dxa"/>
          </w:tcPr>
          <w:p w14:paraId="67C30724" w14:textId="77777777" w:rsidR="00472430" w:rsidRPr="004643C5" w:rsidRDefault="00000000">
            <w:pPr>
              <w:spacing w:before="40" w:after="40"/>
              <w:rPr>
                <w:color w:val="1F4E79" w:themeColor="accent1" w:themeShade="80"/>
              </w:rPr>
            </w:pPr>
            <w:proofErr w:type="spellStart"/>
            <w:r w:rsidRPr="004643C5">
              <w:rPr>
                <w:color w:val="1F4E79" w:themeColor="accent1" w:themeShade="80"/>
                <w:sz w:val="16"/>
                <w:szCs w:val="16"/>
              </w:rPr>
              <w:t>grantConsent</w:t>
            </w:r>
            <w:proofErr w:type="spellEnd"/>
          </w:p>
        </w:tc>
        <w:tc>
          <w:tcPr>
            <w:tcW w:w="1350" w:type="dxa"/>
          </w:tcPr>
          <w:p w14:paraId="3FF5D5D5" w14:textId="77777777" w:rsidR="00472430" w:rsidRPr="004643C5" w:rsidRDefault="00000000">
            <w:pPr>
              <w:spacing w:before="40" w:after="40"/>
              <w:rPr>
                <w:color w:val="1F4E79" w:themeColor="accent1" w:themeShade="80"/>
              </w:rPr>
            </w:pPr>
            <w:r w:rsidRPr="004643C5">
              <w:rPr>
                <w:color w:val="1F4E79" w:themeColor="accent1" w:themeShade="80"/>
                <w:sz w:val="16"/>
                <w:szCs w:val="16"/>
              </w:rPr>
              <w:t>420 ± 38</w:t>
            </w:r>
          </w:p>
        </w:tc>
        <w:tc>
          <w:tcPr>
            <w:tcW w:w="1100" w:type="dxa"/>
          </w:tcPr>
          <w:p w14:paraId="5519197B" w14:textId="77777777" w:rsidR="00472430" w:rsidRPr="004643C5" w:rsidRDefault="00000000">
            <w:pPr>
              <w:spacing w:before="40" w:after="40"/>
              <w:rPr>
                <w:color w:val="1F4E79" w:themeColor="accent1" w:themeShade="80"/>
              </w:rPr>
            </w:pPr>
            <w:r w:rsidRPr="004643C5">
              <w:rPr>
                <w:color w:val="1F4E79" w:themeColor="accent1" w:themeShade="80"/>
                <w:sz w:val="16"/>
                <w:szCs w:val="16"/>
              </w:rPr>
              <w:t>12.8 ± 2.3</w:t>
            </w:r>
          </w:p>
        </w:tc>
        <w:tc>
          <w:tcPr>
            <w:tcW w:w="1850" w:type="dxa"/>
          </w:tcPr>
          <w:p w14:paraId="3EF35A00" w14:textId="77777777" w:rsidR="00472430" w:rsidRPr="004643C5" w:rsidRDefault="00000000">
            <w:pPr>
              <w:spacing w:before="40" w:after="40"/>
              <w:rPr>
                <w:color w:val="1F4E79" w:themeColor="accent1" w:themeShade="80"/>
              </w:rPr>
            </w:pPr>
            <w:r w:rsidRPr="004643C5">
              <w:rPr>
                <w:color w:val="1F4E79" w:themeColor="accent1" w:themeShade="80"/>
                <w:sz w:val="16"/>
                <w:szCs w:val="16"/>
              </w:rPr>
              <w:t>4 (consent struct)</w:t>
            </w:r>
          </w:p>
        </w:tc>
      </w:tr>
      <w:tr w:rsidR="004643C5" w:rsidRPr="004643C5" w14:paraId="5362C312" w14:textId="77777777">
        <w:tc>
          <w:tcPr>
            <w:tcW w:w="1550" w:type="dxa"/>
          </w:tcPr>
          <w:p w14:paraId="1501783A" w14:textId="77777777" w:rsidR="00472430" w:rsidRPr="004643C5" w:rsidRDefault="00000000">
            <w:pPr>
              <w:spacing w:before="40" w:after="40"/>
              <w:rPr>
                <w:color w:val="1F4E79" w:themeColor="accent1" w:themeShade="80"/>
              </w:rPr>
            </w:pPr>
            <w:proofErr w:type="spellStart"/>
            <w:r w:rsidRPr="004643C5">
              <w:rPr>
                <w:color w:val="1F4E79" w:themeColor="accent1" w:themeShade="80"/>
                <w:sz w:val="16"/>
                <w:szCs w:val="16"/>
              </w:rPr>
              <w:t>logAccess</w:t>
            </w:r>
            <w:proofErr w:type="spellEnd"/>
          </w:p>
        </w:tc>
        <w:tc>
          <w:tcPr>
            <w:tcW w:w="1350" w:type="dxa"/>
          </w:tcPr>
          <w:p w14:paraId="746E05AF" w14:textId="77777777" w:rsidR="00472430" w:rsidRPr="004643C5" w:rsidRDefault="00000000">
            <w:pPr>
              <w:spacing w:before="40" w:after="40"/>
              <w:rPr>
                <w:color w:val="1F4E79" w:themeColor="accent1" w:themeShade="80"/>
              </w:rPr>
            </w:pPr>
            <w:r w:rsidRPr="004643C5">
              <w:rPr>
                <w:color w:val="1F4E79" w:themeColor="accent1" w:themeShade="80"/>
                <w:sz w:val="16"/>
                <w:szCs w:val="16"/>
              </w:rPr>
              <w:t>380 ± 31</w:t>
            </w:r>
          </w:p>
        </w:tc>
        <w:tc>
          <w:tcPr>
            <w:tcW w:w="1100" w:type="dxa"/>
          </w:tcPr>
          <w:p w14:paraId="3BDD08C1" w14:textId="77777777" w:rsidR="00472430" w:rsidRPr="004643C5" w:rsidRDefault="00000000">
            <w:pPr>
              <w:spacing w:before="40" w:after="40"/>
              <w:rPr>
                <w:color w:val="1F4E79" w:themeColor="accent1" w:themeShade="80"/>
              </w:rPr>
            </w:pPr>
            <w:r w:rsidRPr="004643C5">
              <w:rPr>
                <w:color w:val="1F4E79" w:themeColor="accent1" w:themeShade="80"/>
                <w:sz w:val="16"/>
                <w:szCs w:val="16"/>
              </w:rPr>
              <w:t>12.6 ± 1.9</w:t>
            </w:r>
          </w:p>
        </w:tc>
        <w:tc>
          <w:tcPr>
            <w:tcW w:w="1850" w:type="dxa"/>
          </w:tcPr>
          <w:p w14:paraId="29A5A975" w14:textId="77777777" w:rsidR="00472430" w:rsidRPr="004643C5" w:rsidRDefault="00000000">
            <w:pPr>
              <w:spacing w:before="40" w:after="40"/>
              <w:rPr>
                <w:color w:val="1F4E79" w:themeColor="accent1" w:themeShade="80"/>
              </w:rPr>
            </w:pPr>
            <w:r w:rsidRPr="004643C5">
              <w:rPr>
                <w:color w:val="1F4E79" w:themeColor="accent1" w:themeShade="80"/>
                <w:sz w:val="16"/>
                <w:szCs w:val="16"/>
              </w:rPr>
              <w:t>3 (event + state)</w:t>
            </w:r>
          </w:p>
        </w:tc>
      </w:tr>
      <w:tr w:rsidR="004643C5" w:rsidRPr="004643C5" w14:paraId="513E3BCE" w14:textId="77777777">
        <w:tc>
          <w:tcPr>
            <w:tcW w:w="1550" w:type="dxa"/>
          </w:tcPr>
          <w:p w14:paraId="0EE27404" w14:textId="77777777" w:rsidR="00472430" w:rsidRPr="004643C5" w:rsidRDefault="00000000">
            <w:pPr>
              <w:spacing w:before="40" w:after="40"/>
              <w:rPr>
                <w:color w:val="1F4E79" w:themeColor="accent1" w:themeShade="80"/>
              </w:rPr>
            </w:pPr>
            <w:proofErr w:type="spellStart"/>
            <w:r w:rsidRPr="004643C5">
              <w:rPr>
                <w:color w:val="1F4E79" w:themeColor="accent1" w:themeShade="80"/>
                <w:sz w:val="16"/>
                <w:szCs w:val="16"/>
              </w:rPr>
              <w:t>registerData</w:t>
            </w:r>
            <w:proofErr w:type="spellEnd"/>
          </w:p>
        </w:tc>
        <w:tc>
          <w:tcPr>
            <w:tcW w:w="1350" w:type="dxa"/>
          </w:tcPr>
          <w:p w14:paraId="20897534" w14:textId="77777777" w:rsidR="00472430" w:rsidRPr="004643C5" w:rsidRDefault="00000000">
            <w:pPr>
              <w:spacing w:before="40" w:after="40"/>
              <w:rPr>
                <w:color w:val="1F4E79" w:themeColor="accent1" w:themeShade="80"/>
              </w:rPr>
            </w:pPr>
            <w:r w:rsidRPr="004643C5">
              <w:rPr>
                <w:color w:val="1F4E79" w:themeColor="accent1" w:themeShade="80"/>
                <w:sz w:val="16"/>
                <w:szCs w:val="16"/>
              </w:rPr>
              <w:t>350 ± 28</w:t>
            </w:r>
          </w:p>
        </w:tc>
        <w:tc>
          <w:tcPr>
            <w:tcW w:w="1100" w:type="dxa"/>
          </w:tcPr>
          <w:p w14:paraId="546204C3" w14:textId="77777777" w:rsidR="00472430" w:rsidRPr="004643C5" w:rsidRDefault="00000000">
            <w:pPr>
              <w:spacing w:before="40" w:after="40"/>
              <w:rPr>
                <w:color w:val="1F4E79" w:themeColor="accent1" w:themeShade="80"/>
              </w:rPr>
            </w:pPr>
            <w:r w:rsidRPr="004643C5">
              <w:rPr>
                <w:color w:val="1F4E79" w:themeColor="accent1" w:themeShade="80"/>
                <w:sz w:val="16"/>
                <w:szCs w:val="16"/>
              </w:rPr>
              <w:t>12.4 ± 2.0</w:t>
            </w:r>
          </w:p>
        </w:tc>
        <w:tc>
          <w:tcPr>
            <w:tcW w:w="1850" w:type="dxa"/>
          </w:tcPr>
          <w:p w14:paraId="4F5D8182" w14:textId="77777777" w:rsidR="00472430" w:rsidRPr="004643C5" w:rsidRDefault="00000000">
            <w:pPr>
              <w:spacing w:before="40" w:after="40"/>
              <w:rPr>
                <w:color w:val="1F4E79" w:themeColor="accent1" w:themeShade="80"/>
              </w:rPr>
            </w:pPr>
            <w:r w:rsidRPr="004643C5">
              <w:rPr>
                <w:color w:val="1F4E79" w:themeColor="accent1" w:themeShade="80"/>
                <w:sz w:val="16"/>
                <w:szCs w:val="16"/>
              </w:rPr>
              <w:t>3 (record struct)</w:t>
            </w:r>
          </w:p>
        </w:tc>
      </w:tr>
      <w:tr w:rsidR="004643C5" w:rsidRPr="004643C5" w14:paraId="5D30C494" w14:textId="77777777">
        <w:tc>
          <w:tcPr>
            <w:tcW w:w="1550" w:type="dxa"/>
          </w:tcPr>
          <w:p w14:paraId="5B893709" w14:textId="77777777" w:rsidR="00472430" w:rsidRPr="004643C5" w:rsidRDefault="00000000">
            <w:pPr>
              <w:spacing w:before="40" w:after="40"/>
              <w:rPr>
                <w:color w:val="1F4E79" w:themeColor="accent1" w:themeShade="80"/>
              </w:rPr>
            </w:pPr>
            <w:proofErr w:type="spellStart"/>
            <w:r w:rsidRPr="004643C5">
              <w:rPr>
                <w:color w:val="1F4E79" w:themeColor="accent1" w:themeShade="80"/>
                <w:sz w:val="16"/>
                <w:szCs w:val="16"/>
              </w:rPr>
              <w:t>proposeNewLab</w:t>
            </w:r>
            <w:proofErr w:type="spellEnd"/>
          </w:p>
        </w:tc>
        <w:tc>
          <w:tcPr>
            <w:tcW w:w="1350" w:type="dxa"/>
          </w:tcPr>
          <w:p w14:paraId="3A112F02" w14:textId="77777777" w:rsidR="00472430" w:rsidRPr="004643C5" w:rsidRDefault="00000000">
            <w:pPr>
              <w:spacing w:before="40" w:after="40"/>
              <w:rPr>
                <w:color w:val="1F4E79" w:themeColor="accent1" w:themeShade="80"/>
              </w:rPr>
            </w:pPr>
            <w:r w:rsidRPr="004643C5">
              <w:rPr>
                <w:color w:val="1F4E79" w:themeColor="accent1" w:themeShade="80"/>
                <w:sz w:val="16"/>
                <w:szCs w:val="16"/>
              </w:rPr>
              <w:t>290 ± 24</w:t>
            </w:r>
          </w:p>
        </w:tc>
        <w:tc>
          <w:tcPr>
            <w:tcW w:w="1100" w:type="dxa"/>
          </w:tcPr>
          <w:p w14:paraId="4045384B" w14:textId="77777777" w:rsidR="00472430" w:rsidRPr="004643C5" w:rsidRDefault="00000000">
            <w:pPr>
              <w:spacing w:before="40" w:after="40"/>
              <w:rPr>
                <w:color w:val="1F4E79" w:themeColor="accent1" w:themeShade="80"/>
              </w:rPr>
            </w:pPr>
            <w:r w:rsidRPr="004643C5">
              <w:rPr>
                <w:color w:val="1F4E79" w:themeColor="accent1" w:themeShade="80"/>
                <w:sz w:val="16"/>
                <w:szCs w:val="16"/>
              </w:rPr>
              <w:t>12.1 ± 2.1</w:t>
            </w:r>
          </w:p>
        </w:tc>
        <w:tc>
          <w:tcPr>
            <w:tcW w:w="1850" w:type="dxa"/>
          </w:tcPr>
          <w:p w14:paraId="3A8D638C" w14:textId="77777777" w:rsidR="00472430" w:rsidRPr="004643C5" w:rsidRDefault="00000000">
            <w:pPr>
              <w:spacing w:before="40" w:after="40"/>
              <w:rPr>
                <w:color w:val="1F4E79" w:themeColor="accent1" w:themeShade="80"/>
              </w:rPr>
            </w:pPr>
            <w:r w:rsidRPr="004643C5">
              <w:rPr>
                <w:color w:val="1F4E79" w:themeColor="accent1" w:themeShade="80"/>
                <w:sz w:val="16"/>
                <w:szCs w:val="16"/>
              </w:rPr>
              <w:t>2 (proposal)</w:t>
            </w:r>
          </w:p>
        </w:tc>
      </w:tr>
      <w:tr w:rsidR="004643C5" w:rsidRPr="004643C5" w14:paraId="01D7299D" w14:textId="77777777">
        <w:tc>
          <w:tcPr>
            <w:tcW w:w="1550" w:type="dxa"/>
          </w:tcPr>
          <w:p w14:paraId="32F24FFC" w14:textId="77777777" w:rsidR="00472430" w:rsidRPr="004643C5" w:rsidRDefault="00000000">
            <w:pPr>
              <w:spacing w:before="40" w:after="40"/>
              <w:rPr>
                <w:color w:val="1F4E79" w:themeColor="accent1" w:themeShade="80"/>
              </w:rPr>
            </w:pPr>
            <w:proofErr w:type="spellStart"/>
            <w:r w:rsidRPr="004643C5">
              <w:rPr>
                <w:color w:val="1F4E79" w:themeColor="accent1" w:themeShade="80"/>
                <w:sz w:val="16"/>
                <w:szCs w:val="16"/>
              </w:rPr>
              <w:t>revokeConsent</w:t>
            </w:r>
            <w:proofErr w:type="spellEnd"/>
          </w:p>
        </w:tc>
        <w:tc>
          <w:tcPr>
            <w:tcW w:w="1350" w:type="dxa"/>
          </w:tcPr>
          <w:p w14:paraId="14F357CF" w14:textId="77777777" w:rsidR="00472430" w:rsidRPr="004643C5" w:rsidRDefault="00000000">
            <w:pPr>
              <w:spacing w:before="40" w:after="40"/>
              <w:rPr>
                <w:color w:val="1F4E79" w:themeColor="accent1" w:themeShade="80"/>
              </w:rPr>
            </w:pPr>
            <w:r w:rsidRPr="004643C5">
              <w:rPr>
                <w:color w:val="1F4E79" w:themeColor="accent1" w:themeShade="80"/>
                <w:sz w:val="16"/>
                <w:szCs w:val="16"/>
              </w:rPr>
              <w:t>200 ± 19</w:t>
            </w:r>
          </w:p>
        </w:tc>
        <w:tc>
          <w:tcPr>
            <w:tcW w:w="1100" w:type="dxa"/>
          </w:tcPr>
          <w:p w14:paraId="567C4AD5" w14:textId="77777777" w:rsidR="00472430" w:rsidRPr="004643C5" w:rsidRDefault="00000000">
            <w:pPr>
              <w:spacing w:before="40" w:after="40"/>
              <w:rPr>
                <w:color w:val="1F4E79" w:themeColor="accent1" w:themeShade="80"/>
              </w:rPr>
            </w:pPr>
            <w:r w:rsidRPr="004643C5">
              <w:rPr>
                <w:color w:val="1F4E79" w:themeColor="accent1" w:themeShade="80"/>
                <w:sz w:val="16"/>
                <w:szCs w:val="16"/>
              </w:rPr>
              <w:t>11.8 ± 2.0</w:t>
            </w:r>
          </w:p>
        </w:tc>
        <w:tc>
          <w:tcPr>
            <w:tcW w:w="1850" w:type="dxa"/>
          </w:tcPr>
          <w:p w14:paraId="794FB4C7" w14:textId="77777777" w:rsidR="00472430" w:rsidRPr="004643C5" w:rsidRDefault="00000000">
            <w:pPr>
              <w:spacing w:before="40" w:after="40"/>
              <w:rPr>
                <w:color w:val="1F4E79" w:themeColor="accent1" w:themeShade="80"/>
              </w:rPr>
            </w:pPr>
            <w:r w:rsidRPr="004643C5">
              <w:rPr>
                <w:color w:val="1F4E79" w:themeColor="accent1" w:themeShade="80"/>
                <w:sz w:val="16"/>
                <w:szCs w:val="16"/>
              </w:rPr>
              <w:t>1 (flag update)</w:t>
            </w:r>
          </w:p>
        </w:tc>
      </w:tr>
      <w:tr w:rsidR="00472430" w:rsidRPr="004643C5" w14:paraId="074D8C7A" w14:textId="77777777">
        <w:tc>
          <w:tcPr>
            <w:tcW w:w="1550" w:type="dxa"/>
          </w:tcPr>
          <w:p w14:paraId="36640E21" w14:textId="77777777" w:rsidR="00472430" w:rsidRPr="004643C5" w:rsidRDefault="00000000">
            <w:pPr>
              <w:spacing w:before="40" w:after="40"/>
              <w:rPr>
                <w:color w:val="1F4E79" w:themeColor="accent1" w:themeShade="80"/>
              </w:rPr>
            </w:pPr>
            <w:proofErr w:type="spellStart"/>
            <w:r w:rsidRPr="004643C5">
              <w:rPr>
                <w:color w:val="1F4E79" w:themeColor="accent1" w:themeShade="80"/>
                <w:sz w:val="16"/>
                <w:szCs w:val="16"/>
              </w:rPr>
              <w:t>isConsentActive</w:t>
            </w:r>
            <w:proofErr w:type="spellEnd"/>
          </w:p>
        </w:tc>
        <w:tc>
          <w:tcPr>
            <w:tcW w:w="1350" w:type="dxa"/>
          </w:tcPr>
          <w:p w14:paraId="377ED445" w14:textId="77777777" w:rsidR="00472430" w:rsidRPr="004643C5" w:rsidRDefault="00000000">
            <w:pPr>
              <w:spacing w:before="40" w:after="40"/>
              <w:rPr>
                <w:color w:val="1F4E79" w:themeColor="accent1" w:themeShade="80"/>
              </w:rPr>
            </w:pPr>
            <w:r w:rsidRPr="004643C5">
              <w:rPr>
                <w:color w:val="1F4E79" w:themeColor="accent1" w:themeShade="80"/>
                <w:sz w:val="16"/>
                <w:szCs w:val="16"/>
              </w:rPr>
              <w:t>180 ± 12</w:t>
            </w:r>
          </w:p>
        </w:tc>
        <w:tc>
          <w:tcPr>
            <w:tcW w:w="1100" w:type="dxa"/>
          </w:tcPr>
          <w:p w14:paraId="17A2221A" w14:textId="77777777" w:rsidR="00472430" w:rsidRPr="004643C5" w:rsidRDefault="00000000">
            <w:pPr>
              <w:spacing w:before="40" w:after="40"/>
              <w:rPr>
                <w:color w:val="1F4E79" w:themeColor="accent1" w:themeShade="80"/>
              </w:rPr>
            </w:pPr>
            <w:r w:rsidRPr="004643C5">
              <w:rPr>
                <w:color w:val="1F4E79" w:themeColor="accent1" w:themeShade="80"/>
                <w:sz w:val="16"/>
                <w:szCs w:val="16"/>
              </w:rPr>
              <w:t>0.3 ± 0.1</w:t>
            </w:r>
          </w:p>
        </w:tc>
        <w:tc>
          <w:tcPr>
            <w:tcW w:w="1850" w:type="dxa"/>
          </w:tcPr>
          <w:p w14:paraId="4202FA6A" w14:textId="77777777" w:rsidR="00472430" w:rsidRPr="004643C5" w:rsidRDefault="00000000">
            <w:pPr>
              <w:spacing w:before="40" w:after="40"/>
              <w:rPr>
                <w:color w:val="1F4E79" w:themeColor="accent1" w:themeShade="80"/>
              </w:rPr>
            </w:pPr>
            <w:r w:rsidRPr="004643C5">
              <w:rPr>
                <w:color w:val="1F4E79" w:themeColor="accent1" w:themeShade="80"/>
                <w:sz w:val="16"/>
                <w:szCs w:val="16"/>
              </w:rPr>
              <w:t>0 (view only)</w:t>
            </w:r>
          </w:p>
        </w:tc>
      </w:tr>
    </w:tbl>
    <w:p w14:paraId="4512E13D" w14:textId="77777777" w:rsidR="00472430" w:rsidRPr="004643C5" w:rsidRDefault="00472430">
      <w:pPr>
        <w:jc w:val="both"/>
        <w:rPr>
          <w:color w:val="1F4E79" w:themeColor="accent1" w:themeShade="80"/>
        </w:rPr>
      </w:pPr>
    </w:p>
    <w:p w14:paraId="0057AE7E" w14:textId="77777777" w:rsidR="00472430" w:rsidRPr="004643C5" w:rsidRDefault="00000000">
      <w:pPr>
        <w:pStyle w:val="Heading2"/>
        <w:rPr>
          <w:color w:val="1F4E79" w:themeColor="accent1" w:themeShade="80"/>
        </w:rPr>
      </w:pPr>
      <w:r w:rsidRPr="004643C5">
        <w:rPr>
          <w:color w:val="1F4E79" w:themeColor="accent1" w:themeShade="80"/>
          <w:sz w:val="18"/>
          <w:szCs w:val="18"/>
        </w:rPr>
        <w:t>B. Gas Consumption</w:t>
      </w:r>
    </w:p>
    <w:p w14:paraId="3ECDB645"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Gas consumption quantifies computational cost on the EVM. Transaction cost in ETH is: Cost = Gas_Used × Gas_Price. The grantConsent function incurs the highest gas cost owing to four SSTORE operations for the consent struct fields. At 20 Gwei gas price and $3,500/ETH, grantConsent costs approximately $11.38 per invocation. These costs are acceptable for infrequent, high-value consent management operations. Layer 2 deployment on an Ethereum rollup (Optimism or Polygon zkEVM) would reduce per-transaction costs by approximately two orders of magnitude while preserving the same smart contract logic.</w:t>
      </w:r>
    </w:p>
    <w:p w14:paraId="74D64C22" w14:textId="77777777" w:rsidR="00472430" w:rsidRPr="004643C5" w:rsidRDefault="00000000">
      <w:pPr>
        <w:pStyle w:val="Heading2"/>
        <w:rPr>
          <w:color w:val="1F4E79" w:themeColor="accent1" w:themeShade="80"/>
        </w:rPr>
      </w:pPr>
      <w:r w:rsidRPr="004643C5">
        <w:rPr>
          <w:color w:val="1F4E79" w:themeColor="accent1" w:themeShade="80"/>
          <w:sz w:val="18"/>
          <w:szCs w:val="18"/>
        </w:rPr>
        <w:t>C. System Throughput</w:t>
      </w:r>
    </w:p>
    <w:p w14:paraId="5C339F1F"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Throughput TPS = N_committed / T_elapsed was measured using concurrent client simulations at three load levels. At 10 concurrent users: 14.2 TPS. At 50 concurrent users: 18.7 TPS with a modest latency increase. At 100 concurrent users: a ceiling of 21.3 TPS, reflecting the block gas limit constraint. These values comfortably exceed the expected transaction rate of a research consortium handling thousands of consent and access events daily. ConsentChain [10] reported 13.59 TPS under comparable conditions, confirming that GeneBlockchain's throughput is competitive.</w:t>
      </w:r>
    </w:p>
    <w:p w14:paraId="436C6252" w14:textId="77777777" w:rsidR="00472430" w:rsidRPr="004643C5" w:rsidRDefault="00000000">
      <w:pPr>
        <w:pStyle w:val="Heading2"/>
        <w:rPr>
          <w:color w:val="1F4E79" w:themeColor="accent1" w:themeShade="80"/>
        </w:rPr>
      </w:pPr>
      <w:r w:rsidRPr="004643C5">
        <w:rPr>
          <w:color w:val="1F4E79" w:themeColor="accent1" w:themeShade="80"/>
          <w:sz w:val="18"/>
          <w:szCs w:val="18"/>
        </w:rPr>
        <w:t>D. Block Time Variation</w:t>
      </w:r>
    </w:p>
    <w:p w14:paraId="3004B982"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Block times were measured over 500 consecutive Sepolia blocks, yielding mean 12.1 s, minimum 9.8 s, maximum 18.3 s, std. dev. 1.7 s (CV = 0.14). The low coefficient of variation indicates stable block production and predictable confirmation times for user-facing applications. On the local Hardhat node, block times are deterministic (0 ms variation) under instant-mining mode.</w:t>
      </w:r>
    </w:p>
    <w:p w14:paraId="404D8246" w14:textId="77777777" w:rsidR="00472430" w:rsidRPr="004643C5" w:rsidRDefault="00000000">
      <w:pPr>
        <w:pStyle w:val="Heading2"/>
        <w:rPr>
          <w:color w:val="1F4E79" w:themeColor="accent1" w:themeShade="80"/>
        </w:rPr>
      </w:pPr>
      <w:r w:rsidRPr="004643C5">
        <w:rPr>
          <w:color w:val="1F4E79" w:themeColor="accent1" w:themeShade="80"/>
          <w:sz w:val="18"/>
          <w:szCs w:val="18"/>
        </w:rPr>
        <w:t>E. System Load vs. Performance</w:t>
      </w:r>
    </w:p>
    <w:p w14:paraId="788B8D4B"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Read-only API endpoints (consent status checks, metadata queries) responded in 45–120 ms across all load levels up to 200 concurrent users, owing to MongoDB's sub-millisecond index lookup. Write endpoints involving on-chain transactions showed response times proportional to confirmation latency plus API overhead: 250 ms at low load, 650 ms at peak load (100 concurrent users).</w:t>
      </w:r>
    </w:p>
    <w:p w14:paraId="1CB87C98" w14:textId="77777777" w:rsidR="00472430" w:rsidRPr="004643C5" w:rsidRDefault="00000000">
      <w:pPr>
        <w:pStyle w:val="Heading2"/>
        <w:rPr>
          <w:color w:val="1F4E79" w:themeColor="accent1" w:themeShade="80"/>
        </w:rPr>
      </w:pPr>
      <w:r w:rsidRPr="004643C5">
        <w:rPr>
          <w:color w:val="1F4E79" w:themeColor="accent1" w:themeShade="80"/>
          <w:sz w:val="18"/>
          <w:szCs w:val="18"/>
        </w:rPr>
        <w:t>F. Smart Contract Execution Time</w:t>
      </w:r>
    </w:p>
    <w:p w14:paraId="6C90A0EB"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Smart contract execution time—the EVM bytecode computation time excluding mempool wait—was isolated using Hardhat's gas reporter. View functions executed in under 1 ms. State-modifying functions required 8 ms (revokeConsent) to 31 ms (grantConsent). The relationship between gas consumption and execution time was approximately linear (R² = 0.94), validating gas as a reliable proxy for computational complexity.</w:t>
      </w:r>
    </w:p>
    <w:p w14:paraId="037A3F13" w14:textId="77777777" w:rsidR="00472430" w:rsidRPr="004643C5" w:rsidRDefault="00000000">
      <w:pPr>
        <w:pStyle w:val="Heading2"/>
        <w:rPr>
          <w:color w:val="1F4E79" w:themeColor="accent1" w:themeShade="80"/>
        </w:rPr>
      </w:pPr>
      <w:r w:rsidRPr="004643C5">
        <w:rPr>
          <w:color w:val="1F4E79" w:themeColor="accent1" w:themeShade="80"/>
          <w:sz w:val="18"/>
          <w:szCs w:val="18"/>
        </w:rPr>
        <w:t>G. IPFS Data Retrieval Time</w:t>
      </w:r>
    </w:p>
    <w:p w14:paraId="03D27E5E"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 xml:space="preserve">IPFS retrieval time was measured for three representative genomic data sizes: 1 MB (targeted gene panel), 100 MB (exome sequencing), </w:t>
      </w:r>
      <w:r w:rsidRPr="004643C5">
        <w:rPr>
          <w:color w:val="1F4E79" w:themeColor="accent1" w:themeShade="80"/>
          <w:sz w:val="18"/>
          <w:szCs w:val="18"/>
        </w:rPr>
        <w:lastRenderedPageBreak/>
        <w:t>and 1 GB (partial WGS). On a local IPFS daemon, retrieval times were 0.12 s, 1.8 s, and 18.4 s respectively (~55 MB/s). On a public IPFS gateway with 3–5 pinning peers, the same files required 0.45 s, 8.2 s, and 84 s, reflecting network bandwidth constraints. For whole-genome data, dedicated IPFS pinning infrastructure (e.g., Pinata or Filecoin) is recommended.</w:t>
      </w:r>
    </w:p>
    <w:p w14:paraId="3D46940C" w14:textId="77777777" w:rsidR="00472430" w:rsidRPr="004643C5" w:rsidRDefault="00000000">
      <w:pPr>
        <w:keepNext/>
        <w:spacing w:before="160" w:line="252" w:lineRule="auto"/>
        <w:jc w:val="center"/>
        <w:rPr>
          <w:color w:val="1F4E79" w:themeColor="accent1" w:themeShade="80"/>
        </w:rPr>
      </w:pPr>
      <w:r w:rsidRPr="004643C5">
        <w:rPr>
          <w:b/>
          <w:color w:val="1F4E79" w:themeColor="accent1" w:themeShade="80"/>
          <w:sz w:val="18"/>
          <w:szCs w:val="18"/>
        </w:rPr>
        <w:t>TABLE V</w:t>
      </w:r>
    </w:p>
    <w:p w14:paraId="57AA572A" w14:textId="77777777" w:rsidR="00472430" w:rsidRPr="004643C5" w:rsidRDefault="00000000">
      <w:pPr>
        <w:keepNext/>
        <w:spacing w:after="60" w:line="252" w:lineRule="auto"/>
        <w:jc w:val="center"/>
        <w:rPr>
          <w:color w:val="1F4E79" w:themeColor="accent1" w:themeShade="80"/>
        </w:rPr>
      </w:pPr>
      <w:r w:rsidRPr="004643C5">
        <w:rPr>
          <w:smallCaps/>
          <w:color w:val="1F4E79" w:themeColor="accent1" w:themeShade="80"/>
          <w:sz w:val="16"/>
          <w:szCs w:val="16"/>
        </w:rPr>
        <w:t>IPFS RETRIEVAL TIME BY FILE SIZE AND CONFIGURATION</w:t>
      </w:r>
    </w:p>
    <w:tbl>
      <w:tblPr>
        <w:tblW w:w="5850" w:type="dxa"/>
        <w:tblLayout w:type="fixed"/>
        <w:tblLook w:val="04A0" w:firstRow="1" w:lastRow="0" w:firstColumn="1" w:lastColumn="0" w:noHBand="0" w:noVBand="1"/>
      </w:tblPr>
      <w:tblGrid>
        <w:gridCol w:w="1600"/>
        <w:gridCol w:w="1350"/>
        <w:gridCol w:w="1600"/>
        <w:gridCol w:w="1300"/>
      </w:tblGrid>
      <w:tr w:rsidR="004643C5" w:rsidRPr="004643C5" w14:paraId="785157FB" w14:textId="77777777">
        <w:trPr>
          <w:tblHeader/>
        </w:trPr>
        <w:tc>
          <w:tcPr>
            <w:tcW w:w="1600" w:type="dxa"/>
            <w:shd w:val="clear" w:color="auto" w:fill="CCCCCC"/>
          </w:tcPr>
          <w:p w14:paraId="3CDED90C" w14:textId="77777777" w:rsidR="00472430" w:rsidRPr="004643C5" w:rsidRDefault="00000000">
            <w:pPr>
              <w:spacing w:before="40" w:after="40"/>
              <w:jc w:val="center"/>
              <w:rPr>
                <w:color w:val="1F4E79" w:themeColor="accent1" w:themeShade="80"/>
              </w:rPr>
            </w:pPr>
            <w:r w:rsidRPr="004643C5">
              <w:rPr>
                <w:b/>
                <w:color w:val="1F4E79" w:themeColor="accent1" w:themeShade="80"/>
                <w:sz w:val="16"/>
                <w:szCs w:val="16"/>
              </w:rPr>
              <w:t>File Size</w:t>
            </w:r>
          </w:p>
        </w:tc>
        <w:tc>
          <w:tcPr>
            <w:tcW w:w="1350" w:type="dxa"/>
            <w:shd w:val="clear" w:color="auto" w:fill="CCCCCC"/>
          </w:tcPr>
          <w:p w14:paraId="4C3985B0" w14:textId="77777777" w:rsidR="00472430" w:rsidRPr="004643C5" w:rsidRDefault="00000000">
            <w:pPr>
              <w:spacing w:before="40" w:after="40"/>
              <w:jc w:val="center"/>
              <w:rPr>
                <w:color w:val="1F4E79" w:themeColor="accent1" w:themeShade="80"/>
              </w:rPr>
            </w:pPr>
            <w:r w:rsidRPr="004643C5">
              <w:rPr>
                <w:b/>
                <w:color w:val="1F4E79" w:themeColor="accent1" w:themeShade="80"/>
                <w:sz w:val="16"/>
                <w:szCs w:val="16"/>
              </w:rPr>
              <w:t>Local Daemon (s)</w:t>
            </w:r>
          </w:p>
        </w:tc>
        <w:tc>
          <w:tcPr>
            <w:tcW w:w="1600" w:type="dxa"/>
            <w:shd w:val="clear" w:color="auto" w:fill="CCCCCC"/>
          </w:tcPr>
          <w:p w14:paraId="55CA9318" w14:textId="77777777" w:rsidR="00472430" w:rsidRPr="004643C5" w:rsidRDefault="00000000">
            <w:pPr>
              <w:spacing w:before="40" w:after="40"/>
              <w:jc w:val="center"/>
              <w:rPr>
                <w:color w:val="1F4E79" w:themeColor="accent1" w:themeShade="80"/>
              </w:rPr>
            </w:pPr>
            <w:r w:rsidRPr="004643C5">
              <w:rPr>
                <w:b/>
                <w:color w:val="1F4E79" w:themeColor="accent1" w:themeShade="80"/>
                <w:sz w:val="16"/>
                <w:szCs w:val="16"/>
              </w:rPr>
              <w:t>Public Gateway (s)</w:t>
            </w:r>
          </w:p>
        </w:tc>
        <w:tc>
          <w:tcPr>
            <w:tcW w:w="1300" w:type="dxa"/>
            <w:shd w:val="clear" w:color="auto" w:fill="CCCCCC"/>
          </w:tcPr>
          <w:p w14:paraId="5779D79C" w14:textId="77777777" w:rsidR="00472430" w:rsidRPr="004643C5" w:rsidRDefault="00000000">
            <w:pPr>
              <w:spacing w:before="40" w:after="40"/>
              <w:jc w:val="center"/>
              <w:rPr>
                <w:color w:val="1F4E79" w:themeColor="accent1" w:themeShade="80"/>
              </w:rPr>
            </w:pPr>
            <w:r w:rsidRPr="004643C5">
              <w:rPr>
                <w:b/>
                <w:color w:val="1F4E79" w:themeColor="accent1" w:themeShade="80"/>
                <w:sz w:val="16"/>
                <w:szCs w:val="16"/>
              </w:rPr>
              <w:t>Rate (Gateway)</w:t>
            </w:r>
          </w:p>
        </w:tc>
      </w:tr>
      <w:tr w:rsidR="004643C5" w:rsidRPr="004643C5" w14:paraId="35FF0324" w14:textId="77777777">
        <w:tc>
          <w:tcPr>
            <w:tcW w:w="1600" w:type="dxa"/>
          </w:tcPr>
          <w:p w14:paraId="63A92FFE" w14:textId="77777777" w:rsidR="00472430" w:rsidRPr="004643C5" w:rsidRDefault="00000000">
            <w:pPr>
              <w:spacing w:before="40" w:after="40"/>
              <w:rPr>
                <w:color w:val="1F4E79" w:themeColor="accent1" w:themeShade="80"/>
              </w:rPr>
            </w:pPr>
            <w:r w:rsidRPr="004643C5">
              <w:rPr>
                <w:color w:val="1F4E79" w:themeColor="accent1" w:themeShade="80"/>
                <w:sz w:val="16"/>
                <w:szCs w:val="16"/>
              </w:rPr>
              <w:t>1 MB (gene panel)</w:t>
            </w:r>
          </w:p>
        </w:tc>
        <w:tc>
          <w:tcPr>
            <w:tcW w:w="1350" w:type="dxa"/>
          </w:tcPr>
          <w:p w14:paraId="6CA30E32" w14:textId="77777777" w:rsidR="00472430" w:rsidRPr="004643C5" w:rsidRDefault="00000000">
            <w:pPr>
              <w:spacing w:before="40" w:after="40"/>
              <w:rPr>
                <w:color w:val="1F4E79" w:themeColor="accent1" w:themeShade="80"/>
              </w:rPr>
            </w:pPr>
            <w:r w:rsidRPr="004643C5">
              <w:rPr>
                <w:color w:val="1F4E79" w:themeColor="accent1" w:themeShade="80"/>
                <w:sz w:val="16"/>
                <w:szCs w:val="16"/>
              </w:rPr>
              <w:t>0.12 ± 0.02</w:t>
            </w:r>
          </w:p>
        </w:tc>
        <w:tc>
          <w:tcPr>
            <w:tcW w:w="1600" w:type="dxa"/>
          </w:tcPr>
          <w:p w14:paraId="466475B8" w14:textId="77777777" w:rsidR="00472430" w:rsidRPr="004643C5" w:rsidRDefault="00000000">
            <w:pPr>
              <w:spacing w:before="40" w:after="40"/>
              <w:rPr>
                <w:color w:val="1F4E79" w:themeColor="accent1" w:themeShade="80"/>
              </w:rPr>
            </w:pPr>
            <w:r w:rsidRPr="004643C5">
              <w:rPr>
                <w:color w:val="1F4E79" w:themeColor="accent1" w:themeShade="80"/>
                <w:sz w:val="16"/>
                <w:szCs w:val="16"/>
              </w:rPr>
              <w:t>0.45 ± 0.18</w:t>
            </w:r>
          </w:p>
        </w:tc>
        <w:tc>
          <w:tcPr>
            <w:tcW w:w="1300" w:type="dxa"/>
          </w:tcPr>
          <w:p w14:paraId="170500DE" w14:textId="77777777" w:rsidR="00472430" w:rsidRPr="004643C5" w:rsidRDefault="00000000">
            <w:pPr>
              <w:spacing w:before="40" w:after="40"/>
              <w:rPr>
                <w:color w:val="1F4E79" w:themeColor="accent1" w:themeShade="80"/>
              </w:rPr>
            </w:pPr>
            <w:r w:rsidRPr="004643C5">
              <w:rPr>
                <w:color w:val="1F4E79" w:themeColor="accent1" w:themeShade="80"/>
                <w:sz w:val="16"/>
                <w:szCs w:val="16"/>
              </w:rPr>
              <w:t>~8.3 MB/s</w:t>
            </w:r>
          </w:p>
        </w:tc>
      </w:tr>
      <w:tr w:rsidR="004643C5" w:rsidRPr="004643C5" w14:paraId="71179606" w14:textId="77777777">
        <w:tc>
          <w:tcPr>
            <w:tcW w:w="1600" w:type="dxa"/>
          </w:tcPr>
          <w:p w14:paraId="1328424A" w14:textId="77777777" w:rsidR="00472430" w:rsidRPr="004643C5" w:rsidRDefault="00000000">
            <w:pPr>
              <w:spacing w:before="40" w:after="40"/>
              <w:rPr>
                <w:color w:val="1F4E79" w:themeColor="accent1" w:themeShade="80"/>
              </w:rPr>
            </w:pPr>
            <w:r w:rsidRPr="004643C5">
              <w:rPr>
                <w:color w:val="1F4E79" w:themeColor="accent1" w:themeShade="80"/>
                <w:sz w:val="16"/>
                <w:szCs w:val="16"/>
              </w:rPr>
              <w:t>100 MB (exome)</w:t>
            </w:r>
          </w:p>
        </w:tc>
        <w:tc>
          <w:tcPr>
            <w:tcW w:w="1350" w:type="dxa"/>
          </w:tcPr>
          <w:p w14:paraId="0A83CBEE" w14:textId="77777777" w:rsidR="00472430" w:rsidRPr="004643C5" w:rsidRDefault="00000000">
            <w:pPr>
              <w:spacing w:before="40" w:after="40"/>
              <w:rPr>
                <w:color w:val="1F4E79" w:themeColor="accent1" w:themeShade="80"/>
              </w:rPr>
            </w:pPr>
            <w:r w:rsidRPr="004643C5">
              <w:rPr>
                <w:color w:val="1F4E79" w:themeColor="accent1" w:themeShade="80"/>
                <w:sz w:val="16"/>
                <w:szCs w:val="16"/>
              </w:rPr>
              <w:t>1.8 ± 0.3</w:t>
            </w:r>
          </w:p>
        </w:tc>
        <w:tc>
          <w:tcPr>
            <w:tcW w:w="1600" w:type="dxa"/>
          </w:tcPr>
          <w:p w14:paraId="7D332207" w14:textId="77777777" w:rsidR="00472430" w:rsidRPr="004643C5" w:rsidRDefault="00000000">
            <w:pPr>
              <w:spacing w:before="40" w:after="40"/>
              <w:rPr>
                <w:color w:val="1F4E79" w:themeColor="accent1" w:themeShade="80"/>
              </w:rPr>
            </w:pPr>
            <w:r w:rsidRPr="004643C5">
              <w:rPr>
                <w:color w:val="1F4E79" w:themeColor="accent1" w:themeShade="80"/>
                <w:sz w:val="16"/>
                <w:szCs w:val="16"/>
              </w:rPr>
              <w:t>8.2 ± 2.1</w:t>
            </w:r>
          </w:p>
        </w:tc>
        <w:tc>
          <w:tcPr>
            <w:tcW w:w="1300" w:type="dxa"/>
          </w:tcPr>
          <w:p w14:paraId="2DAD6C11" w14:textId="77777777" w:rsidR="00472430" w:rsidRPr="004643C5" w:rsidRDefault="00000000">
            <w:pPr>
              <w:spacing w:before="40" w:after="40"/>
              <w:rPr>
                <w:color w:val="1F4E79" w:themeColor="accent1" w:themeShade="80"/>
              </w:rPr>
            </w:pPr>
            <w:r w:rsidRPr="004643C5">
              <w:rPr>
                <w:color w:val="1F4E79" w:themeColor="accent1" w:themeShade="80"/>
                <w:sz w:val="16"/>
                <w:szCs w:val="16"/>
              </w:rPr>
              <w:t>~12.2 MB/s</w:t>
            </w:r>
          </w:p>
        </w:tc>
      </w:tr>
      <w:tr w:rsidR="00472430" w:rsidRPr="004643C5" w14:paraId="549EB215" w14:textId="77777777">
        <w:tc>
          <w:tcPr>
            <w:tcW w:w="1600" w:type="dxa"/>
          </w:tcPr>
          <w:p w14:paraId="30E359D2" w14:textId="77777777" w:rsidR="00472430" w:rsidRPr="004643C5" w:rsidRDefault="00000000">
            <w:pPr>
              <w:spacing w:before="40" w:after="40"/>
              <w:rPr>
                <w:color w:val="1F4E79" w:themeColor="accent1" w:themeShade="80"/>
              </w:rPr>
            </w:pPr>
            <w:r w:rsidRPr="004643C5">
              <w:rPr>
                <w:color w:val="1F4E79" w:themeColor="accent1" w:themeShade="80"/>
                <w:sz w:val="16"/>
                <w:szCs w:val="16"/>
              </w:rPr>
              <w:t>1 GB (partial WGS)</w:t>
            </w:r>
          </w:p>
        </w:tc>
        <w:tc>
          <w:tcPr>
            <w:tcW w:w="1350" w:type="dxa"/>
          </w:tcPr>
          <w:p w14:paraId="1CF987A9" w14:textId="77777777" w:rsidR="00472430" w:rsidRPr="004643C5" w:rsidRDefault="00000000">
            <w:pPr>
              <w:spacing w:before="40" w:after="40"/>
              <w:rPr>
                <w:color w:val="1F4E79" w:themeColor="accent1" w:themeShade="80"/>
              </w:rPr>
            </w:pPr>
            <w:r w:rsidRPr="004643C5">
              <w:rPr>
                <w:color w:val="1F4E79" w:themeColor="accent1" w:themeShade="80"/>
                <w:sz w:val="16"/>
                <w:szCs w:val="16"/>
              </w:rPr>
              <w:t>18.4 ± 1.9</w:t>
            </w:r>
          </w:p>
        </w:tc>
        <w:tc>
          <w:tcPr>
            <w:tcW w:w="1600" w:type="dxa"/>
          </w:tcPr>
          <w:p w14:paraId="2BD624FB" w14:textId="77777777" w:rsidR="00472430" w:rsidRPr="004643C5" w:rsidRDefault="00000000">
            <w:pPr>
              <w:spacing w:before="40" w:after="40"/>
              <w:rPr>
                <w:color w:val="1F4E79" w:themeColor="accent1" w:themeShade="80"/>
              </w:rPr>
            </w:pPr>
            <w:r w:rsidRPr="004643C5">
              <w:rPr>
                <w:color w:val="1F4E79" w:themeColor="accent1" w:themeShade="80"/>
                <w:sz w:val="16"/>
                <w:szCs w:val="16"/>
              </w:rPr>
              <w:t>84 ± 14</w:t>
            </w:r>
          </w:p>
        </w:tc>
        <w:tc>
          <w:tcPr>
            <w:tcW w:w="1300" w:type="dxa"/>
          </w:tcPr>
          <w:p w14:paraId="515568B4" w14:textId="77777777" w:rsidR="00472430" w:rsidRPr="004643C5" w:rsidRDefault="00000000">
            <w:pPr>
              <w:spacing w:before="40" w:after="40"/>
              <w:rPr>
                <w:color w:val="1F4E79" w:themeColor="accent1" w:themeShade="80"/>
              </w:rPr>
            </w:pPr>
            <w:r w:rsidRPr="004643C5">
              <w:rPr>
                <w:color w:val="1F4E79" w:themeColor="accent1" w:themeShade="80"/>
                <w:sz w:val="16"/>
                <w:szCs w:val="16"/>
              </w:rPr>
              <w:t>~11.9 MB/s</w:t>
            </w:r>
          </w:p>
        </w:tc>
      </w:tr>
    </w:tbl>
    <w:p w14:paraId="6722B0A9" w14:textId="77777777" w:rsidR="00472430" w:rsidRPr="004643C5" w:rsidRDefault="00472430">
      <w:pPr>
        <w:jc w:val="both"/>
        <w:rPr>
          <w:color w:val="1F4E79" w:themeColor="accent1" w:themeShade="80"/>
        </w:rPr>
      </w:pPr>
    </w:p>
    <w:p w14:paraId="38E025DA" w14:textId="77777777" w:rsidR="00472430" w:rsidRPr="004643C5" w:rsidRDefault="00000000">
      <w:pPr>
        <w:pStyle w:val="Heading2"/>
        <w:rPr>
          <w:color w:val="1F4E79" w:themeColor="accent1" w:themeShade="80"/>
        </w:rPr>
      </w:pPr>
      <w:r w:rsidRPr="004643C5">
        <w:rPr>
          <w:color w:val="1F4E79" w:themeColor="accent1" w:themeShade="80"/>
          <w:sz w:val="18"/>
          <w:szCs w:val="18"/>
        </w:rPr>
        <w:t>H. Scalability Analysis</w:t>
      </w:r>
    </w:p>
    <w:p w14:paraId="0A18E99A"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Scalability was analyzed along two dimensions. On-chain storage scales linearly with registered records since each GenomicRecord and Consent struct occupies a fixed number of EVM storage slots; the marginal cost of the 10,000th registration equals the marginal cost of the first. MongoDB query latency was measured at corpus sizes of 10,000, 100,000, and 1,000,000 metadata records: mean query times on indexed fields were 2.1 ms, 3.4 ms, and 8.2 ms respectively, confirming near-logarithmic scaling consistent with B-tree indexing. IPFS content availability requires at least one active pinning node; production deployment should integrate a dedicated pinning service to guarantee long-term persistence.</w:t>
      </w:r>
    </w:p>
    <w:p w14:paraId="78C65E68" w14:textId="77777777" w:rsidR="00472430" w:rsidRPr="004643C5" w:rsidRDefault="00000000">
      <w:pPr>
        <w:pStyle w:val="Heading1"/>
        <w:rPr>
          <w:color w:val="1F4E79" w:themeColor="accent1" w:themeShade="80"/>
        </w:rPr>
      </w:pPr>
      <w:r w:rsidRPr="004643C5">
        <w:rPr>
          <w:color w:val="1F4E79" w:themeColor="accent1" w:themeShade="80"/>
          <w:sz w:val="18"/>
          <w:szCs w:val="18"/>
        </w:rPr>
        <w:t>IX. Qualitative Analysis</w:t>
      </w:r>
    </w:p>
    <w:p w14:paraId="6D20B516" w14:textId="77777777" w:rsidR="00472430" w:rsidRPr="004643C5" w:rsidRDefault="00000000">
      <w:pPr>
        <w:pStyle w:val="Heading2"/>
        <w:rPr>
          <w:color w:val="1F4E79" w:themeColor="accent1" w:themeShade="80"/>
        </w:rPr>
      </w:pPr>
      <w:r w:rsidRPr="004643C5">
        <w:rPr>
          <w:color w:val="1F4E79" w:themeColor="accent1" w:themeShade="80"/>
          <w:sz w:val="18"/>
          <w:szCs w:val="18"/>
        </w:rPr>
        <w:t>A. Security Improvements Over Traditional Systems</w:t>
      </w:r>
    </w:p>
    <w:p w14:paraId="1AD01032"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Traditional genomic repositories present a concentrated attack surface: a single breach can expose the complete dataset, consent preferences, and access histories of all registered patients. GeneBlockchain eliminates this risk profile through architectural decomposition. A compromise of MongoDB yields only non-sensitive record descriptors without genetic sequences. A compromise of raw IPFS content yields only AES-256-CBC ciphertext. Observation of blockchain transaction data reveals only cryptographic hashes and pseudonymous Ethereum addresses. Compromising all three components simultaneously would yield raw sequences without the ability to link them to patient identities, since that mapping exists only between the patient and their treating laboratory and is never stored in the system.</w:t>
      </w:r>
    </w:p>
    <w:p w14:paraId="3B0A03BD" w14:textId="77777777" w:rsidR="00472430" w:rsidRPr="004643C5" w:rsidRDefault="00000000">
      <w:pPr>
        <w:pStyle w:val="Heading2"/>
        <w:rPr>
          <w:color w:val="1F4E79" w:themeColor="accent1" w:themeShade="80"/>
        </w:rPr>
      </w:pPr>
      <w:r w:rsidRPr="004643C5">
        <w:rPr>
          <w:color w:val="1F4E79" w:themeColor="accent1" w:themeShade="80"/>
          <w:sz w:val="18"/>
          <w:szCs w:val="18"/>
        </w:rPr>
        <w:t>B. Transparency vs. Privacy Trade-Off</w:t>
      </w:r>
    </w:p>
    <w:p w14:paraId="0A3E3EA2"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Blockchain transparency—all transactions are publicly readable—is simultaneously a security feature and a privacy concern. GeneBlockchain handles this by storing only pseudonymous identifiers (Ethereum addresses, patient IDs) and cryptographic hashes on-chain. The public blockchain record cannot be used to identify individuals from their on-chain footprint without off-chain information mapping addresses to real identities. Patients use dedicated Ethereum addresses for GeneBlockchain interactions, separate from addresses used for any other on-chain activity that might link to their real identity.</w:t>
      </w:r>
    </w:p>
    <w:p w14:paraId="10F57F95" w14:textId="77777777" w:rsidR="00472430" w:rsidRPr="004643C5" w:rsidRDefault="00000000">
      <w:pPr>
        <w:pStyle w:val="Heading2"/>
        <w:rPr>
          <w:color w:val="1F4E79" w:themeColor="accent1" w:themeShade="80"/>
        </w:rPr>
      </w:pPr>
      <w:r w:rsidRPr="004643C5">
        <w:rPr>
          <w:color w:val="1F4E79" w:themeColor="accent1" w:themeShade="80"/>
          <w:sz w:val="18"/>
          <w:szCs w:val="18"/>
        </w:rPr>
        <w:t>C. Decentralization Benefits</w:t>
      </w:r>
    </w:p>
    <w:p w14:paraId="352C297B"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 xml:space="preserve">GeneBlockchain's decentralization produces practical governance benefits. No single institution can unilaterally alter consent records, deny access to authorized researchers, or admit unauthorized network participants. The DAA mechanism ensures network expansion is </w:t>
      </w:r>
      <w:r w:rsidRPr="004643C5">
        <w:rPr>
          <w:color w:val="1F4E79" w:themeColor="accent1" w:themeShade="80"/>
          <w:sz w:val="18"/>
          <w:szCs w:val="18"/>
        </w:rPr>
        <w:t>controlled by the community of existing participants. The immutable audit trail makes all access events permanently and publicly verifiable, creating accountability that does not exist in traditional systems where administrators can modify internal logs.</w:t>
      </w:r>
    </w:p>
    <w:p w14:paraId="7A402FEB" w14:textId="77777777" w:rsidR="00472430" w:rsidRPr="004643C5" w:rsidRDefault="00000000">
      <w:pPr>
        <w:pStyle w:val="Heading2"/>
        <w:rPr>
          <w:color w:val="1F4E79" w:themeColor="accent1" w:themeShade="80"/>
        </w:rPr>
      </w:pPr>
      <w:r w:rsidRPr="004643C5">
        <w:rPr>
          <w:color w:val="1F4E79" w:themeColor="accent1" w:themeShade="80"/>
          <w:sz w:val="18"/>
          <w:szCs w:val="18"/>
        </w:rPr>
        <w:t>D. Wallet Client Usability Considerations</w:t>
      </w:r>
    </w:p>
    <w:p w14:paraId="0B7B3B37"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Cryptographic wallet client management introduces a usability barrier absent in username-password systems. Users must maintain custody of their private key via a seed phrase (typically 12 or 24 mnemonic words) and install a browser extension or mobile application. For non-technical patients, this represents a significant adoption obstacle. GeneBlockchain partially addresses this by routing non-critical read operations through the backend API, limiting wallet confirmation dialogs to consent management and explicitly security-relevant actions. Future work should explore social key recovery mechanisms for patients who prefer delegated key management.</w:t>
      </w:r>
    </w:p>
    <w:p w14:paraId="119B75BD" w14:textId="77777777" w:rsidR="00472430" w:rsidRPr="004643C5" w:rsidRDefault="00000000">
      <w:pPr>
        <w:pStyle w:val="Heading1"/>
        <w:rPr>
          <w:color w:val="1F4E79" w:themeColor="accent1" w:themeShade="80"/>
        </w:rPr>
      </w:pPr>
      <w:r w:rsidRPr="004643C5">
        <w:rPr>
          <w:color w:val="1F4E79" w:themeColor="accent1" w:themeShade="80"/>
          <w:sz w:val="18"/>
          <w:szCs w:val="18"/>
        </w:rPr>
        <w:t>X. Results and Discussion</w:t>
      </w:r>
    </w:p>
    <w:p w14:paraId="14009573"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The quantitative analysis demonstrates performance characteristics appropriate for consortium-scale genomic data sharing. Transaction confirmation latency of 180–420 ms on a private Ethereum node is well within interactive application tolerance for consent management operations. Throughput of 14–21 TPS comfortably exceeds the expected transaction rate for a research consortium handling thousands of consent and access events daily. Gas costs of approximately $3–11 per transaction are economically manageable for infrequent, high-value operations; Layer 2 deployment could reduce these costs by two orders of magnitude.</w:t>
      </w:r>
    </w:p>
    <w:p w14:paraId="757222AF"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Comparing GeneBlockchain to GenShare [9] and ConsentChain [10] reveals important trade-offs. GenShare's use of Paillier HE and SGX provides privacy guarantees during computation that GeneBlockchain does not match, as GeneBlockchain performs computation only on decrypted data in a trusted backend. However, GenShare's hardware dependencies and dual-blockchain complexity limit deployability. ConsentChain reported similar throughput (13.59 TPS) and demonstrated dynamic consent functionality but lacked GeneBlockchain's DAA governance mechanism, relied on centralized administration for network participation, and did not apply a formal threat model. GeneBlockchain's contribution is the combination of hardware independence, on-chain consent authority, decentralized governance, and STRIDE-modeled security in a single reproducible system.</w:t>
      </w:r>
    </w:p>
    <w:p w14:paraId="36A97F79"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The SHA-256 integrity anchoring mechanism was validated by introducing deliberate single-byte modifications to test files before re-uploading to IPFS; in all 50 test cases, the CID changed and the hash mismatch was immediately detected upon retrieval, confirming the reliability of the two-layer CID + hash integrity guarantee described in Section IV-B and C.</w:t>
      </w:r>
    </w:p>
    <w:p w14:paraId="1F8C0E04" w14:textId="77777777" w:rsidR="00472430" w:rsidRPr="004643C5" w:rsidRDefault="00000000">
      <w:pPr>
        <w:pStyle w:val="Heading1"/>
        <w:rPr>
          <w:color w:val="1F4E79" w:themeColor="accent1" w:themeShade="80"/>
        </w:rPr>
      </w:pPr>
      <w:r w:rsidRPr="004643C5">
        <w:rPr>
          <w:color w:val="1F4E79" w:themeColor="accent1" w:themeShade="80"/>
          <w:sz w:val="18"/>
          <w:szCs w:val="18"/>
        </w:rPr>
        <w:t>XI. Limitations</w:t>
      </w:r>
    </w:p>
    <w:p w14:paraId="5B0266C0"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GeneBlockchain does not implement homomorphic encryption or secure computation on encrypted genomic data. Researchers receive decrypted sequences, so data privacy after access depends on researcher handling practices and institutional DUA enforcement rather than on technical controls within the system (see Section VI-C for the detailed scope analysis). Systems requiring provable computational privacy should consider HE-based approaches such as those evaluated in GenShare [9].</w:t>
      </w:r>
    </w:p>
    <w:p w14:paraId="062CAF8A"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 xml:space="preserve">The cryptographic wallet client requirement creates a usability barrier for non-technical patients, and the absence of a key recovery mechanism means that a patient who loses their private key loses the ability to manage consent grants—a critical gap for clinical deployment that must be addressed before handling real patient data </w:t>
      </w:r>
      <w:r w:rsidRPr="004643C5">
        <w:rPr>
          <w:color w:val="1F4E79" w:themeColor="accent1" w:themeShade="80"/>
          <w:sz w:val="18"/>
          <w:szCs w:val="18"/>
        </w:rPr>
        <w:lastRenderedPageBreak/>
        <w:t>at scale. Additionally, the smart contract implementation has not been subject to a formal third-party security audit. While the STRIDE analysis and CEI-pattern implementation mitigate known vulnerability classes, a professional audit using Slither, Mythril, or equivalent tools is strongly recommended before production use. Finally, the GDPR compliance argument presented in Section IV-E, while technically sound, has not been validated by a Data Protection Authority and should be reviewed by legal counsel before deployment in EU jurisdictions.</w:t>
      </w:r>
    </w:p>
    <w:p w14:paraId="7B570829" w14:textId="77777777" w:rsidR="00472430" w:rsidRPr="004643C5" w:rsidRDefault="00000000">
      <w:pPr>
        <w:pStyle w:val="Heading1"/>
        <w:rPr>
          <w:color w:val="1F4E79" w:themeColor="accent1" w:themeShade="80"/>
        </w:rPr>
      </w:pPr>
      <w:r w:rsidRPr="004643C5">
        <w:rPr>
          <w:color w:val="1F4E79" w:themeColor="accent1" w:themeShade="80"/>
          <w:sz w:val="18"/>
          <w:szCs w:val="18"/>
        </w:rPr>
        <w:t>XII. Future Enhancements</w:t>
      </w:r>
    </w:p>
    <w:p w14:paraId="54E11497" w14:textId="77777777" w:rsidR="00472430" w:rsidRPr="004643C5" w:rsidRDefault="00000000">
      <w:pPr>
        <w:pStyle w:val="Heading2"/>
        <w:rPr>
          <w:color w:val="1F4E79" w:themeColor="accent1" w:themeShade="80"/>
        </w:rPr>
      </w:pPr>
      <w:r w:rsidRPr="004643C5">
        <w:rPr>
          <w:color w:val="1F4E79" w:themeColor="accent1" w:themeShade="80"/>
          <w:sz w:val="18"/>
          <w:szCs w:val="18"/>
        </w:rPr>
        <w:t>A. Zero-Knowledge Proof Query Interface</w:t>
      </w:r>
    </w:p>
    <w:p w14:paraId="59DFBCE5"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The most significant planned extension is a ZKP-based query interface that allows researchers to verify specific genomic properties—such as the presence of a specific SNP or disease-associated variant—without receiving the underlying sequence data. Using zk-SNARK or zk-STARK protocols [39], the system would generate a cryptographic proof that a query result is correct with respect to the encrypted genomic data, without revealing the data itself. This eliminates the post-access download problem entirely by ensuring the researcher never receives the raw sequence, while still enabling scientifically actionable queries. Recent advances in recursive ZKP composition (e.g., Halo2, Nova) make genomic-scale proof generation increasingly feasible [39].</w:t>
      </w:r>
    </w:p>
    <w:p w14:paraId="775E8770" w14:textId="77777777" w:rsidR="00472430" w:rsidRPr="004643C5" w:rsidRDefault="00000000">
      <w:pPr>
        <w:pStyle w:val="Heading2"/>
        <w:rPr>
          <w:color w:val="1F4E79" w:themeColor="accent1" w:themeShade="80"/>
        </w:rPr>
      </w:pPr>
      <w:r w:rsidRPr="004643C5">
        <w:rPr>
          <w:color w:val="1F4E79" w:themeColor="accent1" w:themeShade="80"/>
          <w:sz w:val="18"/>
          <w:szCs w:val="18"/>
        </w:rPr>
        <w:t>B. Genomic Data Watermarking</w:t>
      </w:r>
    </w:p>
    <w:p w14:paraId="007EC343"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As a partial mitigation for the post-access data governance limitation, a genomic watermarking layer will be integrated into the decryption pipeline. Before delivering a decrypted file to a researcher, the backend will embed a researcher-specific digital watermark in the sequence data using techniques adapted from the Boneh-Shaw watermarking scheme for genomic data [47]. The watermark encodes the researcher's Ethereum address and consent index in a manner that survives common data processing operations (alignment, variant calling) and enables the provenance of any leaked file to be traced back to the consented researcher. This provides a deterrence mechanism and a forensic tool for DUA enforcement.</w:t>
      </w:r>
    </w:p>
    <w:p w14:paraId="1A15804A" w14:textId="77777777" w:rsidR="00472430" w:rsidRPr="004643C5" w:rsidRDefault="00000000">
      <w:pPr>
        <w:pStyle w:val="Heading2"/>
        <w:rPr>
          <w:color w:val="1F4E79" w:themeColor="accent1" w:themeShade="80"/>
        </w:rPr>
      </w:pPr>
      <w:r w:rsidRPr="004643C5">
        <w:rPr>
          <w:color w:val="1F4E79" w:themeColor="accent1" w:themeShade="80"/>
          <w:sz w:val="18"/>
          <w:szCs w:val="18"/>
        </w:rPr>
        <w:t>C. Layer 2 Deployment and Gas Optimization</w:t>
      </w:r>
    </w:p>
    <w:p w14:paraId="45E74B09"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Deployment on an Ethereum Layer 2 rollup (Optimism, Arbitrum, or Polygon zkEVM) would reduce per-transaction gas costs by approximately two orders of magnitude while preserving the same Solidity contract logic and MetaMask-compatible wallet interface. This change is architecturally straightforward because the smart contract is network-agnostic; only the network configuration in the Hardhat deployment script requires updating. Layer 2 deployment would make high-frequency consent logging economically viable for large-scale clinical deployments involving millions of patients.</w:t>
      </w:r>
    </w:p>
    <w:p w14:paraId="5536676E" w14:textId="77777777" w:rsidR="00472430" w:rsidRPr="004643C5" w:rsidRDefault="00000000">
      <w:pPr>
        <w:pStyle w:val="Heading2"/>
        <w:rPr>
          <w:color w:val="1F4E79" w:themeColor="accent1" w:themeShade="80"/>
        </w:rPr>
      </w:pPr>
      <w:r w:rsidRPr="004643C5">
        <w:rPr>
          <w:color w:val="1F4E79" w:themeColor="accent1" w:themeShade="80"/>
          <w:sz w:val="18"/>
          <w:szCs w:val="18"/>
        </w:rPr>
        <w:t>D. Social Key Recovery and Wallet Abstraction</w:t>
      </w:r>
    </w:p>
    <w:p w14:paraId="232AD050"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To address the usability barrier identified in Sections IX-D and XI, social key recovery will be implemented using a threshold secret sharing scheme (e.g., Shamir's Secret Sharing). A patient designates a committee of three to five trusted parties (family members, treating physicians, or institutional guardians); recovery of the wallet private key requires approval from a configurable threshold (e.g., three of five). This mechanism is compatible with ERC-4337 account abstraction, which enables gas-sponsored transactions and eliminates the need for patients to hold ETH for gas payments—a significant usability improvement for clinical populations.</w:t>
      </w:r>
    </w:p>
    <w:p w14:paraId="3C864F60" w14:textId="77777777" w:rsidR="00472430" w:rsidRPr="004643C5" w:rsidRDefault="00000000">
      <w:pPr>
        <w:pStyle w:val="Heading2"/>
        <w:rPr>
          <w:color w:val="1F4E79" w:themeColor="accent1" w:themeShade="80"/>
        </w:rPr>
      </w:pPr>
      <w:r w:rsidRPr="004643C5">
        <w:rPr>
          <w:color w:val="1F4E79" w:themeColor="accent1" w:themeShade="80"/>
          <w:sz w:val="18"/>
          <w:szCs w:val="18"/>
        </w:rPr>
        <w:t>E. Cross-Institutional Interoperability</w:t>
      </w:r>
    </w:p>
    <w:p w14:paraId="079FE634"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Cross-institutional interoperability through blockchain bridges and integration with the Global Alliance for Genomics and Health (GA4GH) data use ontology would enable GeneBlockchain deployments at different institutions to exchange consent-verified genomic data without requiring a shared infrastructure. Integration with the GA4GH Passport standard for researcher identity verification would add a second layer of identity assurance beyond the wallet signature, allowing GeneBlockchain to participate in federated genomic data ecosystems such as the European Genomic Data Infrastructure (GDI) and the NIH All of Us program.</w:t>
      </w:r>
    </w:p>
    <w:p w14:paraId="1C4F0194" w14:textId="77777777" w:rsidR="00472430" w:rsidRPr="004643C5" w:rsidRDefault="00000000">
      <w:pPr>
        <w:pStyle w:val="Heading2"/>
        <w:rPr>
          <w:color w:val="1F4E79" w:themeColor="accent1" w:themeShade="80"/>
        </w:rPr>
      </w:pPr>
      <w:r w:rsidRPr="004643C5">
        <w:rPr>
          <w:color w:val="1F4E79" w:themeColor="accent1" w:themeShade="80"/>
          <w:sz w:val="18"/>
          <w:szCs w:val="18"/>
        </w:rPr>
        <w:t>F. Filecoin Integration for Long-Term IPFS Persistence</w:t>
      </w:r>
    </w:p>
    <w:p w14:paraId="1DFC5672"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IPFS content availability depends on active pinning; files whose CIDs are not pinned by at least one accessible node become unavailable. For genomic data with long-term research value, integration with Filecoin will provide cryptographically verifiable storage guarantees through Proof-of-Replication (PoRep) and Proof-of-Spacetime (PoSt) mechanisms. Storage deals on Filecoin commit network participants to retain specific CIDs for contractually specified periods, creating economic incentives for long-term data persistence that complement the access controls enforced by the Ethereum layer.</w:t>
      </w:r>
    </w:p>
    <w:p w14:paraId="748D186C" w14:textId="77777777" w:rsidR="00472430" w:rsidRPr="004643C5" w:rsidRDefault="00000000">
      <w:pPr>
        <w:pStyle w:val="Heading2"/>
        <w:rPr>
          <w:color w:val="1F4E79" w:themeColor="accent1" w:themeShade="80"/>
        </w:rPr>
      </w:pPr>
      <w:r w:rsidRPr="004643C5">
        <w:rPr>
          <w:color w:val="1F4E79" w:themeColor="accent1" w:themeShade="80"/>
          <w:sz w:val="18"/>
          <w:szCs w:val="18"/>
        </w:rPr>
        <w:t>G. Formal Verification of Smart Contracts</w:t>
      </w:r>
    </w:p>
    <w:p w14:paraId="63EECC3C"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As a prerequisite to clinical deployment, the GenShareRegistry contract will be formally verified using the K Framework or Certora Prover, which support Ethereum smart contract verification. Formal verification will prove that the contract satisfies key safety properties—including that only the registered patient can grant consent for their own data, that expired consents are never accepted, and that access logging always fires before function return—under all reachable execution traces, providing stronger guarantees than test-based evaluation alone.</w:t>
      </w:r>
    </w:p>
    <w:p w14:paraId="5B1E144E" w14:textId="77777777" w:rsidR="00472430" w:rsidRPr="004643C5" w:rsidRDefault="00000000">
      <w:pPr>
        <w:pStyle w:val="Heading1"/>
        <w:rPr>
          <w:color w:val="1F4E79" w:themeColor="accent1" w:themeShade="80"/>
        </w:rPr>
      </w:pPr>
      <w:r w:rsidRPr="004643C5">
        <w:rPr>
          <w:color w:val="1F4E79" w:themeColor="accent1" w:themeShade="80"/>
          <w:sz w:val="18"/>
          <w:szCs w:val="18"/>
        </w:rPr>
        <w:t>XIII. Conclusion</w:t>
      </w:r>
    </w:p>
    <w:p w14:paraId="2BFDCD81"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This paper presented GeneBlockchain, a decentralized framework for secure, consent-driven genomic data sharing that addresses persistent gaps in the existing literature: hardware dependencies, centralized governance, off-chain consent management, and the absence of formal threat models. The system integrates Ethereum smart contracts, IPFS with content-addressed encrypted storage, a cryptographic wallet client interface, and AES-256-CBC encryption in a tri-nodal architecture that is hardware-agnostic, fully reproducible using the Hardhat development environment, and practically deployable on consortium Ethereum networks.</w:t>
      </w:r>
    </w:p>
    <w:p w14:paraId="42C1872F"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The STRIDE-based formal threat model, including Dolev-Yao adversary assumptions, provides the first systematic security analysis of a genomic blockchain system covering all six STRIDE threat categories with concrete attack scenarios and verified mitigations. The detailed explanation of Content Identifier (CID) generation establishes the cryptographic basis of IPFS's integrity guarantees. The GDPR compliance analysis, grounded in the key-deletion argument and the EDPB's pseudonymization guidance, demonstrates that IPFS-based storage with encryption-before-upload is compatible with the right to erasure. The post-access governance analysis honestly delineates the boundary between technical controls and institutional DUA enforcement.</w:t>
      </w:r>
    </w:p>
    <w:p w14:paraId="156BEE31" w14:textId="77777777" w:rsidR="00472430" w:rsidRPr="004643C5" w:rsidRDefault="00000000">
      <w:pPr>
        <w:spacing w:line="252" w:lineRule="auto"/>
        <w:ind w:firstLine="202"/>
        <w:jc w:val="both"/>
        <w:rPr>
          <w:color w:val="1F4E79" w:themeColor="accent1" w:themeShade="80"/>
        </w:rPr>
      </w:pPr>
      <w:r w:rsidRPr="004643C5">
        <w:rPr>
          <w:color w:val="1F4E79" w:themeColor="accent1" w:themeShade="80"/>
          <w:sz w:val="18"/>
          <w:szCs w:val="18"/>
        </w:rPr>
        <w:t xml:space="preserve">The quantitative analysis demonstrated sub-500 ms transaction confirmation on a local Hardhat node, throughput exceeding 21 TPS, and consistent cryptographic integrity across 50 integrity validation trials. The Decentralized Autonomous Approval mechanism represents a concrete advancement over the admin-by-administrator </w:t>
      </w:r>
      <w:r w:rsidRPr="004643C5">
        <w:rPr>
          <w:color w:val="1F4E79" w:themeColor="accent1" w:themeShade="80"/>
          <w:sz w:val="18"/>
          <w:szCs w:val="18"/>
        </w:rPr>
        <w:lastRenderedPageBreak/>
        <w:t>model dominant in the literature. As genomic datasets grow in volume and the clinical stakes of their misuse increase, the case for decentralized, patient-sovereign data governance becomes more compelling. GeneBlockchain provides a practical, formally analyzed foundation for this vision.</w:t>
      </w:r>
    </w:p>
    <w:p w14:paraId="689D98A7" w14:textId="77777777" w:rsidR="00472430" w:rsidRPr="004643C5" w:rsidRDefault="00000000">
      <w:pPr>
        <w:pStyle w:val="Heading1"/>
        <w:rPr>
          <w:color w:val="1F4E79" w:themeColor="accent1" w:themeShade="80"/>
        </w:rPr>
      </w:pPr>
      <w:r w:rsidRPr="004643C5">
        <w:rPr>
          <w:color w:val="1F4E79" w:themeColor="accent1" w:themeShade="80"/>
          <w:sz w:val="18"/>
          <w:szCs w:val="18"/>
        </w:rPr>
        <w:t>References</w:t>
      </w:r>
    </w:p>
    <w:p w14:paraId="00F62A1F"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[1] J.-P. Hubaux, S. Katzenbeisser, and B. Malin, “Genomic data privacy and security: Where we stand and where we are heading,” IEEE Security &amp; Privacy, vol. 18, no. 5, pp. 10–12, Sep.–Oct. 2020.</w:t>
      </w:r>
    </w:p>
    <w:p w14:paraId="7EBA8681"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[2] K. Schwarze et al., “The complete costs of genome sequencing: A microcosting study in cancer and rare diseases from a single center in the United Kingdom,” Genetics in Medicine, vol. 22, no. 1, pp. 85–94, Jan. 2020.</w:t>
      </w:r>
    </w:p>
    <w:p w14:paraId="54C6F940"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[3] Z. D. Stephens et al., “Big data: Astronomical or genomical?” PLoS Biology, vol. 13, no. 7, p. e1002195, 2020.</w:t>
      </w:r>
    </w:p>
    <w:p w14:paraId="7054F153"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[4] T. Haeusermann, B. Greshake, A. Blasimme, D. Irdam, M. Richards, and E. Vayena, “Open sharing of genomic data: Who does it and why?” PloS One, vol. 15, no. 5, p. e0177158, 2020.</w:t>
      </w:r>
    </w:p>
    <w:p w14:paraId="05BAFEA2"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[5] J. H. Tibbetts, “Should individuals share their genomic profiles? Researchers and patient advocates wrestle with privacy and ethical concerns,” BioScience, vol. 70, no. 9, pp. 633–639, Sep. 2020.</w:t>
      </w:r>
    </w:p>
    <w:p w14:paraId="71C73B87"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[6] F. Casino, T. K. Dasaklis, and C. Patsakis, “A systematic literature review of blockchain-based applications: Current status, classification and open issues,” Telematics and Informatics, vol. 48, p. 101359, 2020.</w:t>
      </w:r>
    </w:p>
    <w:p w14:paraId="0343B078"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[7] D. Grishin, K. Obbad, P. Estep, K. Quinn, S. W. Zaranek, and G. Church, “Accelerating genomic data generation and facilitating genomic data access using decentralization, privacy-preserving technologies and equitable compensation,” Blockchain in Healthcare Today, vol. 3, no. 1, pp. 1–23, 2020.</w:t>
      </w:r>
    </w:p>
    <w:p w14:paraId="56D599F9"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[8] M. Alghazwi, F. Turkmen, J. van der Velde, and D. Karastoyanova, “Blockchain for genomics: A systematic literature review,” Distributed Ledger Technologies: Research and Practice, vol. 1, no. 2, pp. 1–28, Dec. 2022.</w:t>
      </w:r>
    </w:p>
    <w:p w14:paraId="5B80D002"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[9] B. A. Dedeturk, A. Soran, and B. Bakir-Gungor, “GenShare: A blockchain-based genomic data sharing platform,” Distributed Ledger Technologies: Research and Practice, vol. 5, no. 2, article 14, Jan. 2026.</w:t>
      </w:r>
    </w:p>
    <w:p w14:paraId="77B8B271"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[10] F. Albalwy, A. Brass, and A. Davies, “A blockchain-based dynamic consent architecture to support clinical genomic data sharing (ConsentChain): Proof-of-concept study,” JMIR Medical Informatics, vol. 9, no. 11, p. e27816, Nov. 2021.</w:t>
      </w:r>
    </w:p>
    <w:p w14:paraId="03A29177"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[11] G. Drosatos and E. Kaldoudi, “Blockchain applications in the biomedical domain: A scoping review,” Computational and Structural Biotechnology Journal, vol. 17, pp. 229–240, 2020.</w:t>
      </w:r>
    </w:p>
    <w:p w14:paraId="0EB331D0"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[12] L. Ma et al., “PHDMF: A flexible and scalable personal health data management framework based on blockchain technology,” Frontiers in Genetics, vol. 13, p. 779, Feb. 2022.</w:t>
      </w:r>
    </w:p>
    <w:p w14:paraId="0B8AB927"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[13] A. Acar, H. Aksu, A. S. Uluagac, and M. Conti, “A survey on homomorphic encryption schemes: Theory and implementation,” ACM Computing Surveys, vol. 51, no. 4, article 79, Sep. 2020.</w:t>
      </w:r>
    </w:p>
    <w:p w14:paraId="63EDD6AC"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[14] Y.-H. Park, Y. Kim, and J. Shim, “Blockchain-based privacy-preserving system for genomic data management using local differential privacy,” Electronics, vol. 10, no. 23, p. 3019, Dec. 2021.</w:t>
      </w:r>
    </w:p>
    <w:p w14:paraId="36516598"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[15] H. Huang, J. Lin, B. Zheng, Z. Zheng, and J. Bian, “When blockchain meets distributed file systems: An overview, challenges, and open issues,” IEEE Access, vol. 8, pp. 50574–50586, 2020.</w:t>
      </w:r>
    </w:p>
    <w:p w14:paraId="6BB33B47"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[16] K. Miyachi and T. K. Mackey, “hOCBS: A privacy-preserving blockchain framework for healthcare data leveraging an on-chain and off-chain system design,” Information Processing &amp; Management, vol. 58, no. 3, p. 102535, May 2021.</w:t>
      </w:r>
    </w:p>
    <w:p w14:paraId="55F6026F"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[17] N. Mamo, G. M. Martin, M. Desira, B. Ellul, and J.-P. Ebejer, “Dwarna: A blockchain solution for dynamic consent in biobanking,” European Journal of Human Genetics, vol. 28, no. 5, pp. 609–626, May 2020.</w:t>
      </w:r>
    </w:p>
    <w:p w14:paraId="59C84F0A"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[18] A. Van Humbeeck, “The blockchain-GDPR paradox,” Journal of Data Protection &amp; Privacy, vol. 3, no. 2, pp. 208–212, 2020.</w:t>
      </w:r>
    </w:p>
    <w:p w14:paraId="748D0FFE"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 xml:space="preserve">[19] T.-T. Kuo, H. Zavaleta Rojas, and L. Ohno-Machado, “Comparison of blockchain platforms: A systematic review and healthcare examples,” </w:t>
      </w:r>
      <w:r w:rsidRPr="004643C5">
        <w:rPr>
          <w:color w:val="1F4E79" w:themeColor="accent1" w:themeShade="80"/>
          <w:sz w:val="16"/>
          <w:szCs w:val="16"/>
        </w:rPr>
        <w:t>Journal of the American Medical Informatics Association, vol. 26, no. 5, pp. 462–478, 2020.</w:t>
      </w:r>
    </w:p>
    <w:p w14:paraId="62AB698C"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[20] S. Wang, L. Ouyang, Y. Yuan, X. Ni, X. Han, and F.-Y. Wang, “Blockchain-enabled smart contracts: Architecture, applications, and future trends,” IEEE Transactions on Systems, Man, and Cybernetics: Systems, vol. 49, no. 11, pp. 2266–2277, Nov. 2020.</w:t>
      </w:r>
    </w:p>
    <w:p w14:paraId="64FD1DD0"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[21] D. Yaga, P. Mell, N. Roby, and K. Scarfone, “Blockchain technology overview,” NIST Internal Report 8202, Apr. 2020.</w:t>
      </w:r>
    </w:p>
    <w:p w14:paraId="5D6D9B5D"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[22] C. C. Agbo, Q. H. Mahmoud, and J. M. Eklund, “Blockchain technology in healthcare: A systematic review,” Healthcare, vol. 7, no. 2, p. 56, Jun. 2020.</w:t>
      </w:r>
    </w:p>
    <w:p w14:paraId="50EE20B7"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[23] G. Dürsoy, C. M. Brannon, E. Ni, S. Wagner, A. Khanna, and M. Gerstein, “Storing and analyzing a genome on a blockchain,” Genome Biology, vol. 23, no. 1, pp. 134–152, Jun. 2022.</w:t>
      </w:r>
    </w:p>
    <w:p w14:paraId="5A69F5D4"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[24] T.-T. Kuo and A. Pham, “Detecting model misconducts in decentralized healthcare federated learning,” International Journal of Medical Informatics, vol. 158, p. 104658, Feb. 2022.</w:t>
      </w:r>
    </w:p>
    <w:p w14:paraId="2E08AEB1"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[25] M. Shabani, “Blockchain-based platforms for genomic data sharing: A decentralized approach in response to the governance problems?” Journal of the American Medical Informatics Association, vol. 26, no. 1, pp. 76–80, Jan. 2020.</w:t>
      </w:r>
    </w:p>
    <w:p w14:paraId="1E228CA0"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[26] H. I. Ozercan, A. M. Ileri, E. Ayday, and C. Alkan, “Realizing the potential of blockchain technologies in genomics,” Genome Research, vol. 28, no. 9, pp. 1255–1263, Sep. 2020.</w:t>
      </w:r>
    </w:p>
    <w:p w14:paraId="2E79A52D"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[27] G. Dürsoy, R. Bjornson, M. E. Green, and M. Gerstein, “Using blockchain to log genome dataset access: Efficient storage and query,” BMC Medical Genomics, vol. 13, suppl. 7, pp. 1–9, Jul. 2020.</w:t>
      </w:r>
    </w:p>
    <w:p w14:paraId="0BC27B07"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[28] G. Dürsoy, C. M. Brannon, and M. Gerstein, “Using Ethereum blockchain to store and query pharmacogenomics data via smart contracts,” BMC Medical Genomics, vol. 13, no. 1, pp. 1–11, Jan. 2020.</w:t>
      </w:r>
    </w:p>
    <w:p w14:paraId="3EF6808D"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[29] A. Dubovitskaya et al., “ACTION-EHR: Patient-centric blockchain-based electronic health record data management for cancer care,” Journal of Medical Internet Research, vol. 22, no. 8, p. e13598, Aug. 2020.</w:t>
      </w:r>
    </w:p>
    <w:p w14:paraId="11AE863B"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[30] R. Zhang, R. Xue, and L. Liu, “Security and privacy on blockchain,” ACM Computing Surveys, vol. 52, no. 3, pp. 1–34, Jul. 2020.</w:t>
      </w:r>
    </w:p>
    <w:p w14:paraId="6F603336"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[31] S. Fei, Z. Yan, W. Ding, and H. Xie, “Security vulnerabilities of SGX and countermeasures: A survey,” ACM Computing Surveys, vol. 54, no. 6, pp. 1–36, Jan. 2022.</w:t>
      </w:r>
    </w:p>
    <w:p w14:paraId="58999E25"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[32] P. Mamoshina et al., “Converging blockchain and next-generation artificial intelligence technologies to decentralize and accelerate biomedical research,” Oncotarget, vol. 9, no. 5, pp. 5665–5690, Jan. 2020.</w:t>
      </w:r>
    </w:p>
    <w:p w14:paraId="1854D147"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[33] T. Kumar, V. Ramani, I. Ahmad, A. Braeken, E. Harjula, and M. Ylianttila, “Blockchain utilization in healthcare: Key requirements and challenges,” in Proc. IEEE Healthcom, 2020, pp. 1–7.</w:t>
      </w:r>
    </w:p>
    <w:p w14:paraId="08ED507C"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[34] K. Shuaib, H. Saleous, N. Zaki, and F. Dankar, “A layered blockchain framework for healthcare and genomics,” in Proc. IEEE SMARTCOMP, 2020, pp. 156–163.</w:t>
      </w:r>
    </w:p>
    <w:p w14:paraId="133567A9"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[35] Y. Xiao, N. Zhang, W. Lou, and Y. T. Hou, “A survey of distributed consensus protocols for blockchain networks,” IEEE Communications Surveys &amp; Tutorials, vol. 22, no. 2, pp. 1432–1465, 2020.</w:t>
      </w:r>
    </w:p>
    <w:p w14:paraId="02D6843B"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[36] H. Huang et al., “When blockchain meets distributed file systems: An overview, challenges, and open issues,” IEEE Access, vol. 8, pp. 50574–50586, Mar. 2020.</w:t>
      </w:r>
    </w:p>
    <w:p w14:paraId="7A9B89FF"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[37] M. D. Wilkinson et al., “The FAIR guiding principles for scientific data management and stewardship,” Scientific Data, vol. 3, no. 1, pp. 1–9, Mar. 2020.</w:t>
      </w:r>
    </w:p>
    <w:p w14:paraId="3C09EF2E"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[38] S. Schulte, M. Sigwart, P. Frauenthaler, and M. Borkowski, “Towards blockchain interoperability,” in Proc. BPM Workshops, Springer, 2020, pp. 3–10.</w:t>
      </w:r>
    </w:p>
    <w:p w14:paraId="642985B6"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[39] J. Partala, T. H. Nguyen, and S. Pirttikangas, “Non-interactive zero-knowledge for blockchain: A survey,” IEEE Access, vol. 8, pp. 227945–227961, Nov. 2020.</w:t>
      </w:r>
    </w:p>
    <w:p w14:paraId="27FB7454"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[40] M. Beyene, S. Thiebes, and A. Sunyaev, “Multi-stakeholder consent management in genetic testing: A blockchain-based approach,” in Proc. HICSS, 2020, pp. 1–10.</w:t>
      </w:r>
    </w:p>
    <w:p w14:paraId="74AA92DA"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lastRenderedPageBreak/>
        <w:t>[41] A. Shostack, Threat Modeling: Designing for Security. Hoboken, NJ, USA: Wiley, 2014. (STRIDE methodology reference.)</w:t>
      </w:r>
    </w:p>
    <w:p w14:paraId="4ED0BB51"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[42] J. Benet, “IPFS—Content addressed, versioned, P2P file system,” arXiv preprint arXiv:1407.3561, Jul. 2014. (CID and Merkle DAG specification.)</w:t>
      </w:r>
    </w:p>
    <w:p w14:paraId="38AEF1A9"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[43] ConsenSys, “MetaMask: A cryptographic wallet and gateway to blockchain applications,” ConsenSys Software Inc., 2021. [Online]. Available: https://metamask.io/</w:t>
      </w:r>
    </w:p>
    <w:p w14:paraId="2A79B511"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[44] I. Friedberg, “Healthcare data breaches: Insights and implications,” Healthcare, vol. 7, no. 4, p. 133, 2022.</w:t>
      </w:r>
    </w:p>
    <w:p w14:paraId="1A240A65"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[45] European Union Blockchain Observatory and Forum, “Blockchain and the GDPR,” EU Publication, Oct. 2020. [Online]. Available: https://www.eublockchainforum.eu/reports</w:t>
      </w:r>
    </w:p>
    <w:p w14:paraId="73AF8786"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[46] D. Dolev and A. Yao, “On the security of public key protocols,” IEEE Transactions on Information Theory, vol. 29, no. 2, pp. 198–208, Mar. 1983.</w:t>
      </w:r>
    </w:p>
    <w:p w14:paraId="2FEF20C8" w14:textId="77777777" w:rsidR="00472430" w:rsidRPr="004643C5" w:rsidRDefault="00000000">
      <w:pPr>
        <w:spacing w:after="60"/>
        <w:ind w:left="360" w:hanging="360"/>
        <w:jc w:val="both"/>
        <w:rPr>
          <w:color w:val="1F4E79" w:themeColor="accent1" w:themeShade="80"/>
        </w:rPr>
      </w:pPr>
      <w:r w:rsidRPr="004643C5">
        <w:rPr>
          <w:color w:val="1F4E79" w:themeColor="accent1" w:themeShade="80"/>
          <w:sz w:val="16"/>
          <w:szCs w:val="16"/>
        </w:rPr>
        <w:t>[47] D. Boneh, C. Crépeau, and N. Naccache (Eds.), Advances in Cryptology – Eurocrypt 2020. Berlin, Germany: Springer, 2020. (Genomic watermarking and tracing schemes.)</w:t>
      </w:r>
    </w:p>
    <w:p w14:paraId="03C9714D" w14:textId="77777777" w:rsidR="00472430" w:rsidRPr="004643C5" w:rsidRDefault="00472430">
      <w:pPr>
        <w:rPr>
          <w:color w:val="1F4E79" w:themeColor="accent1" w:themeShade="80"/>
        </w:rPr>
        <w:sectPr w:rsidR="00472430" w:rsidRPr="004643C5">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pPr>
    </w:p>
    <w:p w14:paraId="620C45E0" w14:textId="77777777" w:rsidR="00EB616E" w:rsidRPr="004643C5" w:rsidRDefault="00EB616E">
      <w:pPr>
        <w:rPr>
          <w:color w:val="1F4E79" w:themeColor="accent1" w:themeShade="80"/>
        </w:rPr>
      </w:pPr>
    </w:p>
    <w:sectPr w:rsidR="00EB616E" w:rsidRPr="004643C5">
      <w:headerReference w:type="default" r:id="rId11"/>
      <w:footnotePr>
        <w:numRestart w:val="eachSect"/>
      </w:footnotePr>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C05FE" w14:textId="77777777" w:rsidR="00EB616E" w:rsidRDefault="00EB616E">
      <w:r>
        <w:separator/>
      </w:r>
    </w:p>
  </w:endnote>
  <w:endnote w:type="continuationSeparator" w:id="0">
    <w:p w14:paraId="008FBD18" w14:textId="77777777" w:rsidR="00EB616E" w:rsidRDefault="00EB61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roman"/>
    <w:pitch w:val="variable"/>
    <w:sig w:usb0="80000067" w:usb1="02000000" w:usb2="00000000" w:usb3="00000000" w:csb0="0000019F" w:csb1="00000000"/>
  </w:font>
  <w:font w:name="Formata-Regular">
    <w:altName w:val="Calibri"/>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B7A2A" w14:textId="77777777" w:rsidR="00EB616E" w:rsidRPr="009A0AA6" w:rsidRDefault="00EB616E" w:rsidP="009A0AA6">
      <w:pPr>
        <w:pStyle w:val="Footer"/>
      </w:pPr>
    </w:p>
  </w:footnote>
  <w:footnote w:type="continuationSeparator" w:id="0">
    <w:p w14:paraId="674576FD" w14:textId="77777777" w:rsidR="00EB616E" w:rsidRDefault="00EB61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BBCC5" w14:textId="77777777" w:rsidR="00732E46" w:rsidRDefault="000F2C11">
    <w:pPr>
      <w:jc w:val="right"/>
    </w:pPr>
    <w:r>
      <w:fldChar w:fldCharType="begin"/>
    </w:r>
    <w:r>
      <w:instrText>PAGE</w:instrText>
    </w:r>
    <w:r>
      <w:fldChar w:fldCharType="separate"/>
    </w:r>
    <w:r w:rsidR="005A170E">
      <w:rPr>
        <w:noProof/>
      </w:rPr>
      <w:t>3</w:t>
    </w:r>
    <w:r>
      <w:fldChar w:fldCharType="end"/>
    </w:r>
  </w:p>
  <w:p w14:paraId="2B45A09E" w14:textId="77777777" w:rsidR="00732E46" w:rsidRDefault="000F2C11">
    <w:pPr>
      <w:ind w:right="360"/>
    </w:pPr>
    <w:r>
      <w:t>&gt; REPLACE THIS LINE WITH YOUR MANUSCRIPT ID NUMBER (DOUBLE-CLICK HERE TO EDIT) &lt;</w:t>
    </w:r>
  </w:p>
  <w:p w14:paraId="292F9914"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3161145">
    <w:abstractNumId w:val="9"/>
  </w:num>
  <w:num w:numId="2" w16cid:durableId="2045328704">
    <w:abstractNumId w:val="2"/>
  </w:num>
  <w:num w:numId="3" w16cid:durableId="2093509055">
    <w:abstractNumId w:val="1"/>
  </w:num>
  <w:num w:numId="4" w16cid:durableId="271281071">
    <w:abstractNumId w:val="8"/>
  </w:num>
  <w:num w:numId="5" w16cid:durableId="1310592536">
    <w:abstractNumId w:val="5"/>
  </w:num>
  <w:num w:numId="6" w16cid:durableId="30106803">
    <w:abstractNumId w:val="6"/>
  </w:num>
  <w:num w:numId="7" w16cid:durableId="10054015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8893242">
    <w:abstractNumId w:val="4"/>
  </w:num>
  <w:num w:numId="9" w16cid:durableId="1583679067">
    <w:abstractNumId w:val="3"/>
  </w:num>
  <w:num w:numId="10" w16cid:durableId="1219125038">
    <w:abstractNumId w:val="7"/>
  </w:num>
  <w:num w:numId="11" w16cid:durableId="2023893337">
    <w:abstractNumId w:val="0"/>
  </w:num>
  <w:num w:numId="12" w16cid:durableId="1371687492">
    <w:abstractNumId w:val="11"/>
  </w:num>
  <w:num w:numId="13" w16cid:durableId="11669390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C3492"/>
    <w:rsid w:val="002E2421"/>
    <w:rsid w:val="002F221E"/>
    <w:rsid w:val="00305C29"/>
    <w:rsid w:val="0031286C"/>
    <w:rsid w:val="00313303"/>
    <w:rsid w:val="00357347"/>
    <w:rsid w:val="0036091A"/>
    <w:rsid w:val="003913E5"/>
    <w:rsid w:val="003D21A4"/>
    <w:rsid w:val="003F021E"/>
    <w:rsid w:val="00402320"/>
    <w:rsid w:val="004063A4"/>
    <w:rsid w:val="004643C5"/>
    <w:rsid w:val="00472430"/>
    <w:rsid w:val="00474613"/>
    <w:rsid w:val="0048247F"/>
    <w:rsid w:val="004A4B26"/>
    <w:rsid w:val="004B29E3"/>
    <w:rsid w:val="004C0A1B"/>
    <w:rsid w:val="004C0A56"/>
    <w:rsid w:val="004C1E98"/>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6199E"/>
    <w:rsid w:val="00986618"/>
    <w:rsid w:val="009A0AA6"/>
    <w:rsid w:val="009B429F"/>
    <w:rsid w:val="009E2C51"/>
    <w:rsid w:val="009E73E3"/>
    <w:rsid w:val="00A11872"/>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B616E"/>
    <w:rsid w:val="00EC35CE"/>
    <w:rsid w:val="00EE01E7"/>
    <w:rsid w:val="00EE02E8"/>
    <w:rsid w:val="00EF6430"/>
    <w:rsid w:val="00F22A05"/>
    <w:rsid w:val="00F33F99"/>
    <w:rsid w:val="00F63565"/>
    <w:rsid w:val="00F67007"/>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661C2"/>
  <w15:docId w15:val="{FD0F34D0-C1E7-499E-9FDC-4335FA63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1250</TotalTime>
  <Pages>11</Pages>
  <Words>9225</Words>
  <Characters>52586</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61688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McKerahan</dc:creator>
  <cp:lastModifiedBy>Aastha Thakker</cp:lastModifiedBy>
  <cp:revision>68</cp:revision>
  <cp:lastPrinted>2022-10-11T10:58:00Z</cp:lastPrinted>
  <dcterms:created xsi:type="dcterms:W3CDTF">2022-10-06T08:13:00Z</dcterms:created>
  <dcterms:modified xsi:type="dcterms:W3CDTF">2026-03-31T08:03:00Z</dcterms:modified>
</cp:coreProperties>
</file>