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&amp; Decision Records — Cash Flow Runway Advisor</w:t>
      </w:r>
    </w:p>
    <w:p/>
    <w:p>
      <w:pPr>
        <w:pStyle w:val="Heading2"/>
      </w:pPr>
      <w:r>
        <w:t>1. ADR-1 — Model Selection</w:t>
      </w:r>
    </w:p>
    <w:p/>
    <w:p>
      <w:r>
        <w:rPr>
          <w:b/>
        </w:rPr>
        <w:t>Decision.</w:t>
      </w:r>
      <w:r>
        <w:t xml:space="preserve"> Claude Sonnet 4.6 for the Planner and the Judge. Claude Haiku 4.5 for the Executor.</w:t>
      </w:r>
    </w:p>
    <w:p/>
    <w:p>
      <w:r>
        <w:rPr>
          <w:b/>
        </w:rPr>
        <w:t>Context.</w:t>
      </w:r>
      <w:r>
        <w:t xml:space="preserve"> A full evaluation sweep is roughly 50 tasks × (1 Planner call + ~4 Executor turns + 1 Judge call) ≈ 300 model calls; consistency adds 30 more. With three consistency runs × 50 variants, naïve Sonnet-everywhere pricing would dominate the burn budget.</w:t>
      </w:r>
    </w:p>
    <w:p/>
    <w:p>
      <w:r>
        <w:rPr>
          <w:b/>
        </w:rPr>
        <w:t>Reasoning.</w:t>
      </w:r>
      <w:r>
        <w:t xml:space="preserve"> Planning and grading are the two roles that hurt most when reasoning quality slips: a sloppy plan cascades into wasted tool calls, and a sloppy judge invalidates the entire evaluation matrix. Both are infrequent per task (one call each), so the Sonnet price tag is amortized. Execution, by contrast, is high-volume tool dispatch and short summarization once the plan is set — exactly where Haiku is strongest at ≈3× lower cost.</w:t>
      </w:r>
    </w:p>
    <w:p/>
    <w:p>
      <w:r>
        <w:rPr>
          <w:b/>
        </w:rPr>
        <w:t>Tradeoff.</w:t>
      </w:r>
      <w:r>
        <w:t xml:space="preserve"> Haiku occasionally formats the </w:t>
      </w:r>
      <w:r>
        <w:rPr>
          <w:rFonts w:ascii="Consolas" w:hAnsi="Consolas"/>
          <w:color w:val="993333"/>
          <w:sz w:val="20"/>
        </w:rPr>
        <w:t>&lt;answer&gt;</w:t>
      </w:r>
      <w:r>
        <w:t xml:space="preserve"> block more loosely than Sonnet would. The </w:t>
      </w:r>
      <w:r>
        <w:rPr>
          <w:rFonts w:ascii="Consolas" w:hAnsi="Consolas"/>
          <w:color w:val="993333"/>
          <w:sz w:val="20"/>
        </w:rPr>
        <w:t>EXECUTOR_SYSTEM_V3</w:t>
      </w:r>
      <w:r>
        <w:t xml:space="preserve"> prompt enforces required sections (Numbers / Trade-offs / Risks / Recommendation), and </w:t>
      </w:r>
      <w:r>
        <w:rPr>
          <w:rFonts w:ascii="Consolas" w:hAnsi="Consolas"/>
          <w:color w:val="993333"/>
          <w:sz w:val="20"/>
        </w:rPr>
        <w:t>_classify_success</w:t>
      </w:r>
      <w:r>
        <w:t xml:space="preserve"> rejects any output missing the </w:t>
      </w:r>
      <w:r>
        <w:rPr>
          <w:rFonts w:ascii="Consolas" w:hAnsi="Consolas"/>
          <w:color w:val="993333"/>
          <w:sz w:val="20"/>
        </w:rPr>
        <w:t>&lt;answer&gt;…&lt;/answer&gt;</w:t>
      </w:r>
      <w:r>
        <w:t xml:space="preserve"> envelope, so format slips become failures we measure rather than slip past us.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2. ADR-2 — AI vs Rule-Based Components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LLM or Code?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/>
            <w:r>
              <w:t>Runway math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Code</w:t>
            </w:r>
            <w:r>
              <w:t xml:space="preserve"> (</w:t>
            </w:r>
            <w:r>
              <w:rPr>
                <w:rFonts w:ascii="Consolas" w:hAnsi="Consolas"/>
                <w:color w:val="993333"/>
                <w:sz w:val="20"/>
              </w:rPr>
              <w:t>calculate_runway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Determinism, audit trail. An LLM doing arithmetic is a regression risk — small numbers, hard to catch.</w:t>
            </w:r>
          </w:p>
        </w:tc>
      </w:tr>
      <w:tr>
        <w:tc>
          <w:tcPr>
            <w:tcW w:type="dxa" w:w="2880"/>
          </w:tcPr>
          <w:p>
            <w:r/>
            <w:r>
              <w:t>Scenario math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Code</w:t>
            </w:r>
            <w:r>
              <w:t xml:space="preserve"> (</w:t>
            </w:r>
            <w:r>
              <w:rPr>
                <w:rFonts w:ascii="Consolas" w:hAnsi="Consolas"/>
                <w:color w:val="993333"/>
                <w:sz w:val="20"/>
              </w:rPr>
              <w:t>simulate_scenario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Same. The LLM names the scenario; code computes baseline vs delta vs verdict.</w:t>
            </w:r>
          </w:p>
        </w:tc>
      </w:tr>
      <w:tr>
        <w:tc>
          <w:tcPr>
            <w:tcW w:type="dxa" w:w="2880"/>
          </w:tcPr>
          <w:p>
            <w:r/>
            <w:r>
              <w:t>Action enum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Code</w:t>
            </w:r>
            <w:r>
              <w:t xml:space="preserve"> (</w:t>
            </w:r>
            <w:r>
              <w:rPr>
                <w:rFonts w:ascii="Consolas" w:hAnsi="Consolas"/>
                <w:color w:val="993333"/>
                <w:sz w:val="20"/>
              </w:rPr>
              <w:t>KNOWN_ACTIONS</w:t>
            </w:r>
            <w:r>
              <w:t xml:space="preserve"> whitelist)</w:t>
            </w:r>
          </w:p>
        </w:tc>
        <w:tc>
          <w:tcPr>
            <w:tcW w:type="dxa" w:w="2880"/>
          </w:tcPr>
          <w:p>
            <w:r/>
            <w:r>
              <w:t xml:space="preserve">Prevents the agent from inventing actions like </w:t>
            </w:r>
            <w:r>
              <w:rPr>
                <w:rFonts w:ascii="Consolas" w:hAnsi="Consolas"/>
                <w:color w:val="993333"/>
                <w:sz w:val="20"/>
              </w:rPr>
              <w:t>"raise_emergency_round"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Plan routing (</w:t>
            </w:r>
            <w:r>
              <w:rPr>
                <w:rFonts w:ascii="Consolas" w:hAnsi="Consolas"/>
                <w:color w:val="993333"/>
                <w:sz w:val="20"/>
              </w:rPr>
              <w:t>clarify</w:t>
            </w:r>
            <w:r>
              <w:t xml:space="preserve"> / </w:t>
            </w:r>
            <w:r>
              <w:rPr>
                <w:rFonts w:ascii="Consolas" w:hAnsi="Consolas"/>
                <w:color w:val="993333"/>
                <w:sz w:val="20"/>
              </w:rPr>
              <w:t>execute</w:t>
            </w:r>
            <w:r>
              <w:t xml:space="preserve"> / </w:t>
            </w:r>
            <w:r>
              <w:rPr>
                <w:rFonts w:ascii="Consolas" w:hAnsi="Consolas"/>
                <w:color w:val="993333"/>
                <w:sz w:val="20"/>
              </w:rPr>
              <w:t>out_of_scope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LLM</w:t>
            </w:r>
            <w:r>
              <w:t xml:space="preserve"> (Planner)</w:t>
            </w:r>
          </w:p>
        </w:tc>
        <w:tc>
          <w:tcPr>
            <w:tcW w:type="dxa" w:w="2880"/>
          </w:tcPr>
          <w:p>
            <w:r/>
            <w:r>
              <w:t xml:space="preserve">Requires NL interpretation of vague intent — exactly what </w:t>
            </w:r>
            <w:r>
              <w:rPr>
                <w:rFonts w:ascii="Consolas" w:hAnsi="Consolas"/>
                <w:color w:val="993333"/>
                <w:sz w:val="20"/>
              </w:rPr>
              <w:t>if/else</w:t>
            </w:r>
            <w:r>
              <w:t xml:space="preserve"> can't do.</w:t>
            </w:r>
          </w:p>
        </w:tc>
      </w:tr>
      <w:tr>
        <w:tc>
          <w:tcPr>
            <w:tcW w:type="dxa" w:w="2880"/>
          </w:tcPr>
          <w:p>
            <w:r/>
            <w:r>
              <w:t>Risk synthesis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LLM</w:t>
            </w:r>
            <w:r>
              <w:t xml:space="preserve"> (Executor </w:t>
            </w:r>
            <w:r>
              <w:rPr>
                <w:rFonts w:ascii="Consolas" w:hAnsi="Consolas"/>
                <w:color w:val="993333"/>
                <w:sz w:val="20"/>
              </w:rPr>
              <w:t>&lt;Risks&gt;</w:t>
            </w:r>
            <w:r>
              <w:t xml:space="preserve"> block)</w:t>
            </w:r>
          </w:p>
        </w:tc>
        <w:tc>
          <w:tcPr>
            <w:tcW w:type="dxa" w:w="2880"/>
          </w:tcPr>
          <w:p>
            <w:r/>
            <w:r>
              <w:t xml:space="preserve">Which uncertainty matters </w:t>
            </w:r>
            <w:r>
              <w:rPr>
                <w:i/>
              </w:rPr>
              <w:t>for this user</w:t>
            </w:r>
            <w:r>
              <w:t xml:space="preserve"> is a semantic judgement (concentration vs seasonality vs one-off).</w:t>
            </w:r>
          </w:p>
        </w:tc>
      </w:tr>
      <w:tr>
        <w:tc>
          <w:tcPr>
            <w:tcW w:type="dxa" w:w="2880"/>
          </w:tcPr>
          <w:p>
            <w:r/>
            <w:r>
              <w:t>Success classification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Code</w:t>
            </w:r>
            <w:r>
              <w:t xml:space="preserve"> (</w:t>
            </w:r>
            <w:r>
              <w:rPr>
                <w:rFonts w:ascii="Consolas" w:hAnsi="Consolas"/>
                <w:color w:val="993333"/>
                <w:sz w:val="20"/>
              </w:rPr>
              <w:t>_classify_success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Structural check on </w:t>
            </w:r>
            <w:r>
              <w:rPr>
                <w:rFonts w:ascii="Consolas" w:hAnsi="Consolas"/>
                <w:color w:val="993333"/>
                <w:sz w:val="20"/>
              </w:rPr>
              <w:t>&lt;answer&gt;</w:t>
            </w:r>
            <w:r>
              <w:t xml:space="preserve"> envelope + </w:t>
            </w:r>
            <w:r>
              <w:rPr>
                <w:rFonts w:ascii="Consolas" w:hAnsi="Consolas"/>
                <w:color w:val="993333"/>
                <w:sz w:val="20"/>
              </w:rPr>
              <w:t>stopped_reason</w:t>
            </w:r>
            <w:r>
              <w:t>. We don't let the agent grade itself.</w:t>
            </w:r>
          </w:p>
        </w:tc>
      </w:tr>
    </w:tbl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3. ADR-3 — State Strategy</w:t>
      </w:r>
    </w:p>
    <w:p/>
    <w:p>
      <w:r>
        <w:rPr>
          <w:b/>
        </w:rPr>
        <w:t>Decision.</w:t>
      </w:r>
      <w:r>
        <w:t xml:space="preserve"> Stateless tasks. Every user question creates a fresh </w:t>
      </w:r>
      <w:r>
        <w:rPr>
          <w:rFonts w:ascii="Consolas" w:hAnsi="Consolas"/>
          <w:color w:val="993333"/>
          <w:sz w:val="20"/>
        </w:rPr>
        <w:t>Trace</w:t>
      </w:r>
      <w:r>
        <w:t xml:space="preserve"> and </w:t>
      </w:r>
      <w:r>
        <w:rPr>
          <w:rFonts w:ascii="Consolas" w:hAnsi="Consolas"/>
          <w:color w:val="993333"/>
          <w:sz w:val="20"/>
        </w:rPr>
        <w:t>CostTracker</w:t>
      </w:r>
      <w:r>
        <w:t>. No conversation history carried across tasks.</w:t>
      </w:r>
    </w:p>
    <w:p/>
    <w:p>
      <w:r>
        <w:rPr>
          <w:b/>
        </w:rPr>
        <w:t>Context.</w:t>
      </w:r>
      <w:r>
        <w:t xml:space="preserve"> Cash-flow advice is decision-shot, not chat — a CFO asks one question, gets one cited recommendation, then acts. The product surface is closer to a calculator than to a chatbot.</w:t>
      </w:r>
    </w:p>
    <w:p/>
    <w:p>
      <w:r>
        <w:rPr>
          <w:b/>
        </w:rPr>
        <w:t>Why this beats full-history.</w:t>
      </w:r>
      <w:r>
        <w:t xml:space="preserve"> Carrying history risks the agent quoting a runway figure computed before the underlying data refreshed, or a scenario the user has already rejected. It also makes evaluation harder: per-task reproducibility requires that one task's behaviour not depend on another's trace.</w:t>
      </w:r>
    </w:p>
    <w:p/>
    <w:p>
      <w:r>
        <w:rPr>
          <w:b/>
        </w:rPr>
        <w:t>What we lose.</w:t>
      </w:r>
      <w:r>
        <w:t xml:space="preserve"> Follow-up questions ("what if it was $130k instead?") can't reference the prior calculation — they re-run. The cost is one extra Planner call, which our FinOps measurements show is ≈$0.002.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4. ADR-4 — Error Handling / Graceful Degradation</w:t>
      </w:r>
    </w:p>
    <w:p/>
    <w:p>
      <w:r>
        <w:t>Three layers of defense, each independently sufficient:</w:t>
      </w:r>
    </w:p>
    <w:p/>
    <w:p>
      <w:pPr>
        <w:pStyle w:val="ListNumber"/>
      </w:pPr>
      <w:r>
        <w:rPr>
          <w:b/>
        </w:rPr>
        <w:t>Tool layer.</w:t>
      </w:r>
      <w:r>
        <w:t xml:space="preserve"> Every tool returns </w:t>
      </w:r>
      <w:r>
        <w:rPr>
          <w:rFonts w:ascii="Consolas" w:hAnsi="Consolas"/>
          <w:color w:val="993333"/>
          <w:sz w:val="20"/>
        </w:rPr>
        <w:t>{status: 'error', error: ..., available: [...]}</w:t>
      </w:r>
      <w:r>
        <w:t xml:space="preserve"> rather than raising. The loop never crashes; the model reads the envelope and self-corrects. Empirically this kicks in most often on category-name casing (</w:t>
      </w:r>
      <w:r>
        <w:rPr>
          <w:rFonts w:ascii="Consolas" w:hAnsi="Consolas"/>
          <w:color w:val="993333"/>
          <w:sz w:val="20"/>
        </w:rPr>
        <w:t>"Marketing"</w:t>
      </w:r>
      <w:r>
        <w:t xml:space="preserve"> vs </w:t>
      </w:r>
      <w:r>
        <w:rPr>
          <w:rFonts w:ascii="Consolas" w:hAnsi="Consolas"/>
          <w:color w:val="993333"/>
          <w:sz w:val="20"/>
        </w:rPr>
        <w:t>"marketing"</w:t>
      </w:r>
      <w:r>
        <w:t xml:space="preserve">) — the </w:t>
      </w:r>
      <w:r>
        <w:rPr>
          <w:rFonts w:ascii="Consolas" w:hAnsi="Consolas"/>
          <w:color w:val="993333"/>
          <w:sz w:val="20"/>
        </w:rPr>
        <w:t>available</w:t>
      </w:r>
      <w:r>
        <w:t xml:space="preserve"> list teaches the model the correct enum.</w:t>
      </w:r>
    </w:p>
    <w:p/>
    <w:p>
      <w:pPr>
        <w:pStyle w:val="ListNumber"/>
      </w:pPr>
      <w:r>
        <w:rPr>
          <w:b/>
        </w:rPr>
        <w:t>Executor layer.</w:t>
      </w:r>
      <w:r>
        <w:t xml:space="preserve"> </w:t>
      </w:r>
      <w:r>
        <w:rPr>
          <w:rFonts w:ascii="Consolas" w:hAnsi="Consolas"/>
          <w:color w:val="993333"/>
          <w:sz w:val="20"/>
        </w:rPr>
        <w:t>EXECUTOR_SYSTEM_V3</w:t>
      </w:r>
      <w:r>
        <w:t xml:space="preserve"> explicitly instructs the model to read tool errors and either retry with corrected inputs or surface the gap to the user. Errors are </w:t>
      </w:r>
      <w:r>
        <w:rPr>
          <w:i/>
        </w:rPr>
        <w:t>not</w:t>
      </w:r>
      <w:r>
        <w:t xml:space="preserve"> treated as task-fatal.</w:t>
      </w:r>
    </w:p>
    <w:p/>
    <w:p>
      <w:pPr>
        <w:pStyle w:val="ListNumber"/>
      </w:pPr>
      <w:r>
        <w:rPr>
          <w:b/>
        </w:rPr>
        <w:t>Guardrail layer.</w:t>
      </w:r>
      <w:r>
        <w:t xml:space="preserve"> Hard kill switches: </w:t>
      </w:r>
      <w:r>
        <w:rPr>
          <w:rFonts w:ascii="Consolas" w:hAnsi="Consolas"/>
          <w:color w:val="993333"/>
          <w:sz w:val="20"/>
        </w:rPr>
        <w:t>max_iterations=7</w:t>
      </w:r>
      <w:r>
        <w:t xml:space="preserve">, </w:t>
      </w:r>
      <w:r>
        <w:rPr>
          <w:rFonts w:ascii="Consolas" w:hAnsi="Consolas"/>
          <w:color w:val="993333"/>
          <w:sz w:val="20"/>
        </w:rPr>
        <w:t>max_total_tokens=60_000</w:t>
      </w:r>
      <w:r>
        <w:t xml:space="preserve">, </w:t>
      </w:r>
      <w:r>
        <w:rPr>
          <w:rFonts w:ascii="Consolas" w:hAnsi="Consolas"/>
          <w:color w:val="993333"/>
          <w:sz w:val="20"/>
        </w:rPr>
        <w:t>max_wall_seconds=60</w:t>
      </w:r>
      <w:r>
        <w:t xml:space="preserve">, </w:t>
      </w:r>
      <w:r>
        <w:rPr>
          <w:rFonts w:ascii="Consolas" w:hAnsi="Consolas"/>
          <w:color w:val="993333"/>
          <w:sz w:val="20"/>
        </w:rPr>
        <w:t>tool_timeout_s=10</w:t>
      </w:r>
      <w:r>
        <w:t xml:space="preserve">. A trip yields </w:t>
      </w:r>
      <w:r>
        <w:rPr>
          <w:rFonts w:ascii="Consolas" w:hAnsi="Consolas"/>
          <w:color w:val="993333"/>
          <w:sz w:val="20"/>
        </w:rPr>
        <w:t>stopped_reason ∈ {max_iterations, token_budget, wall_clock}</w:t>
      </w:r>
      <w:r>
        <w:t xml:space="preserve"> and an explicit </w:t>
      </w:r>
      <w:r>
        <w:rPr>
          <w:rFonts w:ascii="Consolas" w:hAnsi="Consolas"/>
          <w:color w:val="993333"/>
          <w:sz w:val="20"/>
        </w:rPr>
        <w:t>guardrail</w:t>
      </w:r>
      <w:r>
        <w:t xml:space="preserve"> step in the trace. </w:t>
      </w:r>
      <w:r>
        <w:rPr>
          <w:rFonts w:ascii="Consolas" w:hAnsi="Consolas"/>
          <w:color w:val="993333"/>
          <w:sz w:val="20"/>
        </w:rPr>
        <w:t>_classify_success</w:t>
      </w:r>
      <w:r>
        <w:t xml:space="preserve"> marks these as failures so they don't contaminate the success-rate metric.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5. Architecture Diagram</w:t>
      </w:r>
    </w:p>
    <w:p/>
    <w:p>
      <w:r>
        <w:rPr>
          <w:rFonts w:ascii="Consolas" w:hAnsi="Consolas"/>
          <w:sz w:val="18"/>
        </w:rPr>
        <w:t>flowchart TD</w:t>
        <w:br/>
        <w:t xml:space="preserve">    U[User question] --&gt; P[Planner Agent&lt;br/&gt;Sonnet 4.6]</w:t>
        <w:br/>
        <w:t xml:space="preserve">    P --&gt;|action=clarify| C[Clarify response]</w:t>
        <w:br/>
        <w:t xml:space="preserve">    P --&gt;|action=out_of_scope| O[Out-of-scope response]</w:t>
        <w:br/>
        <w:t xml:space="preserve">    P --&gt;|action=execute| E[Executor Agent&lt;br/&gt;Haiku 4.5]</w:t>
        <w:br/>
        <w:t xml:space="preserve">    E --&gt; L{tool_use loop&lt;br/&gt;guardrails:&lt;br/&gt;iters / tokens / wall}</w:t>
        <w:br/>
        <w:t xml:space="preserve">    L --&gt; T1[query_financials&lt;br/&gt;SQLite SELECT]</w:t>
        <w:br/>
        <w:t xml:space="preserve">    L --&gt; T2[calculate_runway&lt;br/&gt;pandas + sensitivity]</w:t>
        <w:br/>
        <w:t xml:space="preserve">    L --&gt; T3[simulate_scenario&lt;br/&gt;baseline vs delta vs verdict]</w:t>
        <w:br/>
        <w:t xml:space="preserve">    T1 --&gt; L</w:t>
        <w:br/>
        <w:t xml:space="preserve">    T2 --&gt; L</w:t>
        <w:br/>
        <w:t xml:space="preserve">    T3 --&gt; L</w:t>
        <w:br/>
        <w:t xml:space="preserve">    L --&gt;|end_turn| A[Final answer&lt;br/&gt;Numbers / Trade-offs / Risks / Rec]</w:t>
        <w:br/>
        <w:t xml:space="preserve">    A --&gt; J[Judge Agent&lt;br/&gt;Sonnet 4.6&lt;br/&gt;+ ground truth + citations]</w:t>
        <w:br/>
        <w:t xml:space="preserve">    J --&gt; R[6-axis verdict + scores]</w:t>
        <w:br/>
        <w:t xml:space="preserve">    classDef ai fill:#e6f0ff,stroke:#4a80c0;</w:t>
        <w:br/>
        <w:t xml:space="preserve">    classDef rule fill:#fff4e6,stroke:#c08040;</w:t>
        <w:br/>
        <w:t xml:space="preserve">    class P,E,J ai;</w:t>
        <w:br/>
        <w:t xml:space="preserve">    class T1,T2,T3,L rule;</w:t>
      </w:r>
    </w:p>
    <w:p/>
    <w:p>
      <w:r>
        <w:rPr>
          <w:b/>
        </w:rPr>
        <w:t>Legend.</w:t>
      </w:r>
      <w:r>
        <w:t xml:space="preserve"> Blue = LLM-driven nodes. Orange = deterministic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