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Report — Cash Flow Runway Advisor (Week 8)</w:t>
      </w:r>
    </w:p>
    <w:p/>
    <w:p>
      <w:pPr>
        <w:ind w:left="576"/>
      </w:pPr>
      <w:r>
        <w:rPr>
          <w:i/>
          <w:color w:val="555555"/>
        </w:rPr>
        <w:t>**How to read this.** All numbers in this report are computed by the notebook</w:t>
      </w:r>
    </w:p>
    <w:p>
      <w:pPr>
        <w:ind w:left="576"/>
      </w:pPr>
      <w:r>
        <w:rPr>
          <w:i/>
          <w:color w:val="555555"/>
        </w:rPr>
        <w:t>(`cash_flow_runway_advisor-5.ipynb`) at run time and persisted to</w:t>
      </w:r>
    </w:p>
    <w:p>
      <w:pPr>
        <w:ind w:left="576"/>
      </w:pPr>
      <w:r>
        <w:rPr>
          <w:i/>
          <w:color w:val="555555"/>
        </w:rPr>
        <w:t>`artifacts/&lt;timestamp&gt;/`. The values below are taken from the most recent full</w:t>
      </w:r>
    </w:p>
    <w:p>
      <w:pPr>
        <w:ind w:left="576"/>
      </w:pPr>
      <w:r>
        <w:rPr>
          <w:i/>
          <w:color w:val="555555"/>
        </w:rPr>
        <w:t>evaluation pass. Re-run the notebook end-to-end to refresh the numbers; the</w:t>
      </w:r>
    </w:p>
    <w:p>
      <w:pPr>
        <w:ind w:left="576"/>
      </w:pPr>
      <w:r>
        <w:rPr>
          <w:i/>
          <w:color w:val="555555"/>
        </w:rPr>
        <w:t>tables, methodology, and rubric mapping remain valid regardless of run-to-run</w:t>
      </w:r>
    </w:p>
    <w:p>
      <w:pPr>
        <w:ind w:left="576"/>
      </w:pPr>
      <w:r>
        <w:rPr>
          <w:i/>
          <w:color w:val="555555"/>
        </w:rPr>
        <w:t>variance.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1. Evaluation Matrix (50 synthetic variants + 5 seeds)</w:t>
      </w:r>
    </w:p>
    <w:p/>
    <w:p>
      <w:r>
        <w:t xml:space="preserve">Synthetic variants are generated by </w:t>
      </w:r>
      <w:r>
        <w:rPr>
          <w:rFonts w:ascii="Consolas" w:hAnsi="Consolas"/>
          <w:color w:val="993333"/>
          <w:sz w:val="20"/>
        </w:rPr>
        <w:t>generate_synthetic_variants(client, SEED_TESTS, variants_per_seed=10)</w:t>
      </w:r>
      <w:r>
        <w:t xml:space="preserve"> (notebook §7, cell 21), expanding 5 seed cases across professional / frustrated / vague / panicked tones plus missing-parameter and out-of-bounds-date edge cases.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Judge axis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 score (1-5)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instruction_adherence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>Did the agent address the actual question?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reasoning_transparency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>ReAct-style "expect / observe" cadence visible in 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hallucination_check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>Every numeric claim cited from a tool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calculation_accuracy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>Within ±5% of synthetic ground truth (n/a if no GT)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scenario_completeness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 xml:space="preserve">min(5, ⌈found/required × 5⌉) over </w:t>
            </w:r>
            <w:r>
              <w:rPr>
                <w:rFonts w:ascii="Consolas" w:hAnsi="Consolas"/>
                <w:color w:val="993333"/>
                <w:sz w:val="20"/>
              </w:rPr>
              <w:t>scenarios_to_compare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risk_disclosure</w:t>
            </w:r>
          </w:p>
        </w:tc>
        <w:tc>
          <w:tcPr>
            <w:tcW w:type="dxa" w:w="2880"/>
          </w:tcPr>
          <w:p>
            <w:r/>
            <w:r>
              <w:t>reported in notebook §9</w:t>
            </w:r>
          </w:p>
        </w:tc>
        <w:tc>
          <w:tcPr>
            <w:tcW w:type="dxa" w:w="2880"/>
          </w:tcPr>
          <w:p>
            <w:r/>
            <w:r>
              <w:t>≥2 of {AR_VARIANCE, CUSTOMER_CONCENTRATION, ONE_TIME_EXPENSE, SEASONALITY, RUNWAY_BELOW_THRESHOLD} → 5</w:t>
            </w:r>
          </w:p>
        </w:tc>
      </w:tr>
    </w:tbl>
    <w:p/>
    <w:p>
      <w:r>
        <w:t>Aggregate verdict counts (</w:t>
      </w:r>
      <w:r>
        <w:rPr>
          <w:rFonts w:ascii="Consolas" w:hAnsi="Consolas"/>
          <w:color w:val="993333"/>
          <w:sz w:val="20"/>
        </w:rPr>
        <w:t>PASS</w:t>
      </w:r>
      <w:r>
        <w:t xml:space="preserve"> / </w:t>
      </w:r>
      <w:r>
        <w:rPr>
          <w:rFonts w:ascii="Consolas" w:hAnsi="Consolas"/>
          <w:color w:val="993333"/>
          <w:sz w:val="20"/>
        </w:rPr>
        <w:t>PARTIAL</w:t>
      </w:r>
      <w:r>
        <w:t xml:space="preserve"> / </w:t>
      </w:r>
      <w:r>
        <w:rPr>
          <w:rFonts w:ascii="Consolas" w:hAnsi="Consolas"/>
          <w:color w:val="993333"/>
          <w:sz w:val="20"/>
        </w:rPr>
        <w:t>FAIL</w:t>
      </w:r>
      <w:r>
        <w:t xml:space="preserve">) are printed by </w:t>
      </w:r>
      <w:r>
        <w:rPr>
          <w:rFonts w:ascii="Consolas" w:hAnsi="Consolas"/>
          <w:color w:val="993333"/>
          <w:sz w:val="20"/>
        </w:rPr>
        <w:t>aggregate_results(...)</w:t>
      </w:r>
      <w:r>
        <w:t xml:space="preserve"> in §9 cell 26.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2. Consistency (10 cases × 3 runs)</w:t>
      </w:r>
    </w:p>
    <w:p/>
    <w:p>
      <w:r>
        <w:t xml:space="preserve">Notebook §10 (cell 29) runs </w:t>
      </w:r>
      <w:r>
        <w:rPr>
          <w:rFonts w:ascii="Consolas" w:hAnsi="Consolas"/>
          <w:color w:val="993333"/>
          <w:sz w:val="20"/>
        </w:rPr>
        <w:t>CONSISTENCY_CASES = (SEED_TESTS + VARIANTS[:5])[:10]</w:t>
      </w:r>
      <w:r>
        <w:t xml:space="preserve"> three times each and reports per-axis standard deviation across the three judge verdicts. Variance is the </w:t>
      </w:r>
      <w:r>
        <w:rPr>
          <w:i/>
        </w:rPr>
        <w:t>honest</w:t>
      </w:r>
      <w:r>
        <w:t xml:space="preserve"> metric — a low mean with high variance is worse than a slightly lower mean with low variance, because production deployments need predictability.</w:t>
      </w:r>
    </w:p>
    <w:p/>
    <w:p>
      <w:r>
        <w:t>What we look for:</w:t>
      </w:r>
    </w:p>
    <w:p>
      <w:pPr>
        <w:pStyle w:val="ListBullet"/>
      </w:pPr>
      <w:r>
        <w:rPr>
          <w:b/>
        </w:rPr>
        <w:t>σ &lt; 0.5</w:t>
      </w:r>
      <w:r>
        <w:t xml:space="preserve"> on </w:t>
      </w:r>
      <w:r>
        <w:rPr>
          <w:rFonts w:ascii="Consolas" w:hAnsi="Consolas"/>
          <w:color w:val="993333"/>
          <w:sz w:val="20"/>
        </w:rPr>
        <w:t>calculation_accuracy</w:t>
      </w:r>
      <w:r>
        <w:t xml:space="preserve"> — numeric answers should not move between runs.</w:t>
      </w:r>
    </w:p>
    <w:p>
      <w:pPr>
        <w:pStyle w:val="ListBullet"/>
      </w:pPr>
      <w:r>
        <w:rPr>
          <w:b/>
        </w:rPr>
        <w:t>σ &lt; 0.8</w:t>
      </w:r>
      <w:r>
        <w:t xml:space="preserve"> on </w:t>
      </w:r>
      <w:r>
        <w:rPr>
          <w:rFonts w:ascii="Consolas" w:hAnsi="Consolas"/>
          <w:color w:val="993333"/>
          <w:sz w:val="20"/>
        </w:rPr>
        <w:t>instruction_adherence</w:t>
      </w:r>
      <w:r>
        <w:t xml:space="preserve"> and </w:t>
      </w:r>
      <w:r>
        <w:rPr>
          <w:rFonts w:ascii="Consolas" w:hAnsi="Consolas"/>
          <w:color w:val="993333"/>
          <w:sz w:val="20"/>
        </w:rPr>
        <w:t>hallucination_check</w:t>
      </w:r>
      <w:r>
        <w:t xml:space="preserve"> — these are structural.</w:t>
      </w:r>
    </w:p>
    <w:p>
      <w:pPr>
        <w:pStyle w:val="ListBullet"/>
      </w:pPr>
      <w:r>
        <w:rPr>
          <w:b/>
        </w:rPr>
        <w:t>σ ≤ 1.2</w:t>
      </w:r>
      <w:r>
        <w:t xml:space="preserve"> on </w:t>
      </w:r>
      <w:r>
        <w:rPr>
          <w:rFonts w:ascii="Consolas" w:hAnsi="Consolas"/>
          <w:color w:val="993333"/>
          <w:sz w:val="20"/>
        </w:rPr>
        <w:t>scenario_completeness</w:t>
      </w:r>
      <w:r>
        <w:t xml:space="preserve"> and </w:t>
      </w:r>
      <w:r>
        <w:rPr>
          <w:rFonts w:ascii="Consolas" w:hAnsi="Consolas"/>
          <w:color w:val="993333"/>
          <w:sz w:val="20"/>
        </w:rPr>
        <w:t>risk_disclosure</w:t>
      </w:r>
      <w:r>
        <w:t xml:space="preserve"> — these depend on LLM phrasing.</w:t>
      </w:r>
    </w:p>
    <w:p/>
    <w:p>
      <w:r>
        <w:t xml:space="preserve">Cases that breach these bands are listed by </w:t>
      </w:r>
      <w:r>
        <w:rPr>
          <w:rFonts w:ascii="Consolas" w:hAnsi="Consolas"/>
          <w:color w:val="993333"/>
          <w:sz w:val="20"/>
        </w:rPr>
        <w:t>task_id</w:t>
      </w:r>
      <w:r>
        <w:t xml:space="preserve"> in the cell output and form the input for the red-team review (§5).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3. FinOps — Cost-per-Success vs Cost-per-Failure</w:t>
      </w:r>
    </w:p>
    <w:p/>
    <w:p>
      <w:r>
        <w:t xml:space="preserve">Burn buckets are computed in §15 cell 35 by partitioning </w:t>
      </w:r>
      <w:r>
        <w:rPr>
          <w:rFonts w:ascii="Consolas" w:hAnsi="Consolas"/>
          <w:color w:val="993333"/>
          <w:sz w:val="20"/>
        </w:rPr>
        <w:t>_eval_results</w:t>
      </w:r>
      <w:r>
        <w:t xml:space="preserve"> on </w:t>
      </w:r>
      <w:r>
        <w:rPr>
          <w:rFonts w:ascii="Consolas" w:hAnsi="Consolas"/>
          <w:color w:val="993333"/>
          <w:sz w:val="20"/>
        </w:rPr>
        <w:t>stopped_reason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cost/task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stopped_reason="end_turn"</w:t>
            </w:r>
            <w:r>
              <w:t xml:space="preserve"> AND </w:t>
            </w:r>
            <w:r>
              <w:rPr>
                <w:rFonts w:ascii="Consolas" w:hAnsi="Consolas"/>
                <w:color w:val="993333"/>
                <w:sz w:val="20"/>
              </w:rPr>
              <w:t>&lt;answer&gt;</w:t>
            </w:r>
            <w:r>
              <w:t xml:space="preserve"> block present</w:t>
            </w:r>
          </w:p>
        </w:tc>
        <w:tc>
          <w:tcPr>
            <w:tcW w:type="dxa" w:w="2880"/>
          </w:tcPr>
          <w:p>
            <w:r/>
            <w:r>
              <w:t>Planner (Sonnet) + ~4 Executor turns (Haiku) + Judge (Sonnet)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truncated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stopped_reason ∈ {max_iterations, token_budget, wall_clock}</w:t>
            </w:r>
          </w:p>
        </w:tc>
        <w:tc>
          <w:tcPr>
            <w:tcW w:type="dxa" w:w="2880"/>
          </w:tcPr>
          <w:p>
            <w:r/>
            <w:r>
              <w:t>Planner + ~7 Executor turns burned before guardrail 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clarify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stopped_reason="clarify"</w:t>
            </w:r>
            <w:r>
              <w:t xml:space="preserve"> (Planner routed to clarify)</w:t>
            </w:r>
          </w:p>
        </w:tc>
        <w:tc>
          <w:tcPr>
            <w:tcW w:type="dxa" w:w="2880"/>
          </w:tcPr>
          <w:p>
            <w:r/>
            <w:r>
              <w:t>Planner call only — cheapest happy-path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out_of_scope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stopped_reason="out_of_scope"</w:t>
            </w:r>
          </w:p>
        </w:tc>
        <w:tc>
          <w:tcPr>
            <w:tcW w:type="dxa" w:w="2880"/>
          </w:tcPr>
          <w:p>
            <w:r/>
            <w:r>
              <w:t>Planner call only</w:t>
            </w:r>
          </w:p>
        </w:tc>
      </w:tr>
    </w:tbl>
    <w:p/>
    <w:p>
      <w:r>
        <w:t xml:space="preserve">The exact dollar values are printed in cell 35 output and persisted to </w:t>
      </w:r>
      <w:r>
        <w:rPr>
          <w:rFonts w:ascii="Consolas" w:hAnsi="Consolas"/>
          <w:color w:val="993333"/>
          <w:sz w:val="20"/>
        </w:rPr>
        <w:t>artifacts/&lt;ts&gt;/burn_buckets.json</w:t>
      </w:r>
      <w:r>
        <w:t>. The two operational implications:</w:t>
      </w:r>
    </w:p>
    <w:p/>
    <w:p>
      <w:pPr>
        <w:pStyle w:val="ListNumber"/>
      </w:pPr>
      <w:r>
        <w:rPr>
          <w:b/>
        </w:rPr>
        <w:t>Clarify is a feature, not a fallback.</w:t>
      </w:r>
      <w:r>
        <w:t xml:space="preserve"> A clarified task costs ≈10% of a full execute task. Better to ask one question than to simulate the wrong scenario.</w:t>
      </w:r>
    </w:p>
    <w:p>
      <w:pPr>
        <w:pStyle w:val="ListNumber"/>
      </w:pPr>
      <w:r>
        <w:rPr>
          <w:b/>
        </w:rPr>
        <w:t>Truncation costs more than success.</w:t>
      </w:r>
      <w:r>
        <w:t xml:space="preserve"> A wall-clock or iteration trip burns Planner + N Executor turns and produces nothing usable. This is why the guardrails are tight (7 iters / 60 s) rather than generous.</w:t>
      </w:r>
    </w:p>
    <w:p/>
    <w:p>
      <w:pPr>
        <w:pStyle w:val="Heading3"/>
      </w:pPr>
      <w:r>
        <w:t>High-perf vs Budget split (ADR-1 evidence)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Per-task share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/>
            <w:r>
              <w:t>Planner</w:t>
            </w:r>
          </w:p>
        </w:tc>
        <w:tc>
          <w:tcPr>
            <w:tcW w:type="dxa" w:w="2160"/>
          </w:tcPr>
          <w:p>
            <w:r/>
            <w:r>
              <w:t>Sonnet 4.6</w:t>
            </w:r>
          </w:p>
        </w:tc>
        <w:tc>
          <w:tcPr>
            <w:tcW w:type="dxa" w:w="2160"/>
          </w:tcPr>
          <w:p>
            <w:r/>
            <w:r>
              <w:t>1 call/task</w:t>
            </w:r>
          </w:p>
        </w:tc>
        <w:tc>
          <w:tcPr>
            <w:tcW w:type="dxa" w:w="2160"/>
          </w:tcPr>
          <w:p>
            <w:r/>
            <w:r>
              <w:t>Reasoning quality cascades into every downstream tool call</w:t>
            </w:r>
          </w:p>
        </w:tc>
      </w:tr>
      <w:tr>
        <w:tc>
          <w:tcPr>
            <w:tcW w:type="dxa" w:w="2160"/>
          </w:tcPr>
          <w:p>
            <w:r/>
            <w:r>
              <w:t>Executor</w:t>
            </w:r>
          </w:p>
        </w:tc>
        <w:tc>
          <w:tcPr>
            <w:tcW w:type="dxa" w:w="2160"/>
          </w:tcPr>
          <w:p>
            <w:r/>
            <w:r>
              <w:t>Haiku 4.5</w:t>
            </w:r>
          </w:p>
        </w:tc>
        <w:tc>
          <w:tcPr>
            <w:tcW w:type="dxa" w:w="2160"/>
          </w:tcPr>
          <w:p>
            <w:r/>
            <w:r>
              <w:t>3–7 calls/task</w:t>
            </w:r>
          </w:p>
        </w:tc>
        <w:tc>
          <w:tcPr>
            <w:tcW w:type="dxa" w:w="2160"/>
          </w:tcPr>
          <w:p>
            <w:r/>
            <w:r>
              <w:t>High-volume tool dispatch; format is enforced by prompt + classifier</w:t>
            </w:r>
          </w:p>
        </w:tc>
      </w:tr>
      <w:tr>
        <w:tc>
          <w:tcPr>
            <w:tcW w:type="dxa" w:w="2160"/>
          </w:tcPr>
          <w:p>
            <w:r/>
            <w:r>
              <w:t>Judge</w:t>
            </w:r>
          </w:p>
        </w:tc>
        <w:tc>
          <w:tcPr>
            <w:tcW w:type="dxa" w:w="2160"/>
          </w:tcPr>
          <w:p>
            <w:r/>
            <w:r>
              <w:t>Sonnet 4.6</w:t>
            </w:r>
          </w:p>
        </w:tc>
        <w:tc>
          <w:tcPr>
            <w:tcW w:type="dxa" w:w="2160"/>
          </w:tcPr>
          <w:p>
            <w:r/>
            <w:r>
              <w:t>1 call/task</w:t>
            </w:r>
          </w:p>
        </w:tc>
        <w:tc>
          <w:tcPr>
            <w:tcW w:type="dxa" w:w="2160"/>
          </w:tcPr>
          <w:p>
            <w:r/>
            <w:r>
              <w:t>Sloppy grading invalidates the whole evaluation matrix</w:t>
            </w:r>
          </w:p>
        </w:tc>
      </w:tr>
    </w:tbl>
    <w:p/>
    <w:p>
      <w:r>
        <w:t xml:space="preserve">A Sonnet-everywhere variant was prototyped during development; the cost roughly tripled with no measurable lift in </w:t>
      </w:r>
      <w:r>
        <w:rPr>
          <w:rFonts w:ascii="Consolas" w:hAnsi="Consolas"/>
          <w:color w:val="993333"/>
          <w:sz w:val="20"/>
        </w:rPr>
        <w:t>calculation_accuracy</w:t>
      </w:r>
      <w:r>
        <w:t xml:space="preserve"> or </w:t>
      </w:r>
      <w:r>
        <w:rPr>
          <w:rFonts w:ascii="Consolas" w:hAnsi="Consolas"/>
          <w:color w:val="993333"/>
          <w:sz w:val="20"/>
        </w:rPr>
        <w:t>risk_disclosure</w:t>
      </w:r>
      <w:r>
        <w:t xml:space="preserve"> (the two axes that matter most). The split is the cheaper Pareto frontier.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4. Latency Profile (where time goes)</w:t>
      </w:r>
    </w:p>
    <w:p/>
    <w:p>
      <w:r>
        <w:rPr>
          <w:rFonts w:ascii="Consolas" w:hAnsi="Consolas"/>
          <w:color w:val="993333"/>
          <w:sz w:val="20"/>
        </w:rPr>
        <w:t>CostTracker</w:t>
      </w:r>
      <w:r>
        <w:t xml:space="preserve"> records </w:t>
      </w:r>
      <w:r>
        <w:rPr>
          <w:rFonts w:ascii="Consolas" w:hAnsi="Consolas"/>
          <w:color w:val="993333"/>
          <w:sz w:val="20"/>
        </w:rPr>
        <w:t>inference_seconds</w:t>
      </w:r>
      <w:r>
        <w:t xml:space="preserve"> and </w:t>
      </w:r>
      <w:r>
        <w:rPr>
          <w:rFonts w:ascii="Consolas" w:hAnsi="Consolas"/>
          <w:color w:val="993333"/>
          <w:sz w:val="20"/>
        </w:rPr>
        <w:t>tool_seconds</w:t>
      </w:r>
      <w:r>
        <w:t xml:space="preserve"> separately. The breakdown is reported in cell 26 under </w:t>
      </w:r>
      <w:r>
        <w:rPr>
          <w:rFonts w:ascii="Consolas" w:hAnsi="Consolas"/>
          <w:color w:val="993333"/>
          <w:sz w:val="20"/>
        </w:rPr>
        <w:t>by_model.*.seconds</w:t>
      </w:r>
      <w:r>
        <w:t xml:space="preserve"> plus </w:t>
      </w:r>
      <w:r>
        <w:rPr>
          <w:rFonts w:ascii="Consolas" w:hAnsi="Consolas"/>
          <w:color w:val="993333"/>
          <w:sz w:val="20"/>
        </w:rPr>
        <w:t>tool_seconds</w:t>
      </w:r>
      <w:r>
        <w:t>.</w:t>
      </w:r>
    </w:p>
    <w:p/>
    <w:p>
      <w:r>
        <w:t>Typical profile for a successful execute task: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Wall fraction</w:t>
            </w:r>
          </w:p>
        </w:tc>
      </w:tr>
      <w:tr>
        <w:tc>
          <w:tcPr>
            <w:tcW w:type="dxa" w:w="4320"/>
          </w:tcPr>
          <w:p>
            <w:r/>
            <w:r>
              <w:t>Planner inference (Sonnet)</w:t>
            </w:r>
          </w:p>
        </w:tc>
        <w:tc>
          <w:tcPr>
            <w:tcW w:type="dxa" w:w="4320"/>
          </w:tcPr>
          <w:p>
            <w:r/>
            <w:r>
              <w:t>~10–15%</w:t>
            </w:r>
          </w:p>
        </w:tc>
      </w:tr>
      <w:tr>
        <w:tc>
          <w:tcPr>
            <w:tcW w:type="dxa" w:w="4320"/>
          </w:tcPr>
          <w:p>
            <w:r/>
            <w:r>
              <w:t>Executor inference (Haiku, 4 turns)</w:t>
            </w:r>
          </w:p>
        </w:tc>
        <w:tc>
          <w:tcPr>
            <w:tcW w:type="dxa" w:w="4320"/>
          </w:tcPr>
          <w:p>
            <w:r/>
            <w:r>
              <w:t>~70–80%</w:t>
            </w:r>
          </w:p>
        </w:tc>
      </w:tr>
      <w:tr>
        <w:tc>
          <w:tcPr>
            <w:tcW w:type="dxa" w:w="4320"/>
          </w:tcPr>
          <w:p>
            <w:r/>
            <w:r>
              <w:t>Tool execution (SQLite + pandas)</w:t>
            </w:r>
          </w:p>
        </w:tc>
        <w:tc>
          <w:tcPr>
            <w:tcW w:type="dxa" w:w="4320"/>
          </w:tcPr>
          <w:p>
            <w:r/>
            <w:r>
              <w:t>&lt;3%</w:t>
            </w:r>
          </w:p>
        </w:tc>
      </w:tr>
      <w:tr>
        <w:tc>
          <w:tcPr>
            <w:tcW w:type="dxa" w:w="4320"/>
          </w:tcPr>
          <w:p>
            <w:r/>
            <w:r>
              <w:t>Judge inference (post-hoc, not on critical path)</w:t>
            </w:r>
          </w:p>
        </w:tc>
        <w:tc>
          <w:tcPr>
            <w:tcW w:type="dxa" w:w="4320"/>
          </w:tcPr>
          <w:p>
            <w:r/>
            <w:r>
              <w:t>not counted</w:t>
            </w:r>
          </w:p>
        </w:tc>
      </w:tr>
    </w:tbl>
    <w:p/>
    <w:p>
      <w:r>
        <w:rPr>
          <w:b/>
        </w:rPr>
        <w:t>Bottleneck.</w:t>
      </w:r>
      <w:r>
        <w:t xml:space="preserve"> Executor inference. The tool calls themselves are negligible (SQLite over a 4-table in-memory DB plus a pandas rolling mean). Latency reduction would come from cutting Executor turns, not faster tools — which is why </w:t>
      </w:r>
      <w:r>
        <w:rPr>
          <w:rFonts w:ascii="Consolas" w:hAnsi="Consolas"/>
          <w:color w:val="993333"/>
          <w:sz w:val="20"/>
        </w:rPr>
        <w:t>simulate_scenario</w:t>
      </w:r>
      <w:r>
        <w:t xml:space="preserve"> returns a </w:t>
      </w:r>
      <w:r>
        <w:rPr>
          <w:i/>
        </w:rPr>
        <w:t>complete</w:t>
      </w:r>
      <w:r>
        <w:t xml:space="preserve"> baseline-vs-delta-vs-verdict struct rather than three separate tools the agent would have to chain.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5. Red-Team Findings &amp; Mitigations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 / edge 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Original 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Out-of-range date</w:t>
            </w:r>
            <w:r>
              <w:t xml:space="preserve"> ("Q3 2023?")</w:t>
            </w:r>
          </w:p>
        </w:tc>
        <w:tc>
          <w:tcPr>
            <w:tcW w:type="dxa" w:w="2880"/>
          </w:tcPr>
          <w:p>
            <w:r/>
            <w:r>
              <w:t xml:space="preserve">Planner v1 called </w:t>
            </w:r>
            <w:r>
              <w:rPr>
                <w:rFonts w:ascii="Consolas" w:hAnsi="Consolas"/>
                <w:color w:val="993333"/>
                <w:sz w:val="20"/>
              </w:rPr>
              <w:t>query_financials</w:t>
            </w:r>
            <w:r>
              <w:t xml:space="preserve"> with a 2023 filter, got zero rows, then fabricated a guess.</w:t>
            </w:r>
          </w:p>
        </w:tc>
        <w:tc>
          <w:tcPr>
            <w:tcW w:type="dxa" w:w="2880"/>
          </w:tcPr>
          <w:p>
            <w:r/>
            <w:r>
              <w:t xml:space="preserve">Planner v3: priority-ordered decision rule routes to </w:t>
            </w:r>
            <w:r>
              <w:rPr>
                <w:rFonts w:ascii="Consolas" w:hAnsi="Consolas"/>
                <w:color w:val="993333"/>
                <w:sz w:val="20"/>
              </w:rPr>
              <w:t>out_of_scope</w:t>
            </w:r>
            <w:r>
              <w:t xml:space="preserve"> </w:t>
            </w:r>
            <w:r>
              <w:rPr>
                <w:i/>
              </w:rPr>
              <w:t>before</w:t>
            </w:r>
            <w:r>
              <w:t xml:space="preserve"> generating a plan.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Binary pressure</w:t>
            </w:r>
            <w:r>
              <w:t xml:space="preserve"> ("Just yes or no")</w:t>
            </w:r>
          </w:p>
        </w:tc>
        <w:tc>
          <w:tcPr>
            <w:tcW w:type="dxa" w:w="2880"/>
          </w:tcPr>
          <w:p>
            <w:r/>
            <w:r>
              <w:t>Executor v2 capitulated to a one-word answer with no numbers.</w:t>
            </w:r>
          </w:p>
        </w:tc>
        <w:tc>
          <w:tcPr>
            <w:tcW w:type="dxa" w:w="2880"/>
          </w:tcPr>
          <w:p>
            <w:r/>
            <w:r>
              <w:t xml:space="preserve">Executor v3 </w:t>
            </w:r>
            <w:r>
              <w:rPr>
                <w:i/>
              </w:rPr>
              <w:t>Conservative Bias</w:t>
            </w:r>
            <w:r>
              <w:t xml:space="preserve"> clause + required </w:t>
            </w:r>
            <w:r>
              <w:rPr>
                <w:rFonts w:ascii="Consolas" w:hAnsi="Consolas"/>
                <w:color w:val="993333"/>
                <w:sz w:val="20"/>
              </w:rPr>
              <w:t>&lt;answer&gt;</w:t>
            </w:r>
            <w:r>
              <w:t xml:space="preserve"> block with Numbers section.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Hallucinated numbers</w:t>
            </w:r>
          </w:p>
        </w:tc>
        <w:tc>
          <w:tcPr>
            <w:tcW w:type="dxa" w:w="2880"/>
          </w:tcPr>
          <w:p>
            <w:r/>
            <w:r>
              <w:t>Executor v1/v2 stated runway figures not backed by any tool call.</w:t>
            </w:r>
          </w:p>
        </w:tc>
        <w:tc>
          <w:tcPr>
            <w:tcW w:type="dxa" w:w="2880"/>
          </w:tcPr>
          <w:p>
            <w:r/>
            <w:r>
              <w:t xml:space="preserve">Executor v3: "if you state a number that isn't in a tool result, you have failed." Judge v3 enforces via </w:t>
            </w:r>
            <w:r>
              <w:rPr>
                <w:rFonts w:ascii="Consolas" w:hAnsi="Consolas"/>
                <w:color w:val="993333"/>
                <w:sz w:val="20"/>
              </w:rPr>
              <w:t>hallucination_check</w:t>
            </w:r>
            <w:r>
              <w:t xml:space="preserve"> with required trace citation.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Wrong category casing</w:t>
            </w:r>
            <w:r>
              <w:t xml:space="preserve"> ("Marketing" vs "marketing")</w:t>
            </w:r>
          </w:p>
        </w:tc>
        <w:tc>
          <w:tcPr>
            <w:tcW w:type="dxa" w:w="2880"/>
          </w:tcPr>
          <w:p>
            <w:r/>
            <w:r>
              <w:t>Tool returned a generic error; executor gave up.</w:t>
            </w:r>
          </w:p>
        </w:tc>
        <w:tc>
          <w:tcPr>
            <w:tcW w:type="dxa" w:w="2880"/>
          </w:tcPr>
          <w:p>
            <w:r/>
            <w:r>
              <w:t xml:space="preserve">Tool now returns </w:t>
            </w:r>
            <w:r>
              <w:rPr>
                <w:rFonts w:ascii="Consolas" w:hAnsi="Consolas"/>
                <w:color w:val="993333"/>
                <w:sz w:val="20"/>
              </w:rPr>
              <w:t>{available: [...]}</w:t>
            </w:r>
            <w:r>
              <w:t>; executor self-corrects on next iteration.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Missing parameter</w:t>
            </w:r>
            <w:r>
              <w:t xml:space="preserve"> ("Should I hire someone?" with no salary)</w:t>
            </w:r>
          </w:p>
        </w:tc>
        <w:tc>
          <w:tcPr>
            <w:tcW w:type="dxa" w:w="2880"/>
          </w:tcPr>
          <w:p>
            <w:r/>
            <w:r>
              <w:t xml:space="preserve">Executor invented </w:t>
            </w:r>
            <w:r>
              <w:rPr>
                <w:rFonts w:ascii="Consolas" w:hAnsi="Consolas"/>
                <w:color w:val="993333"/>
                <w:sz w:val="20"/>
              </w:rPr>
              <w:t>$120k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 xml:space="preserve">Planner v3 routes to </w:t>
            </w:r>
            <w:r>
              <w:rPr>
                <w:rFonts w:ascii="Consolas" w:hAnsi="Consolas"/>
                <w:color w:val="993333"/>
                <w:sz w:val="20"/>
              </w:rPr>
              <w:t>clarify</w:t>
            </w:r>
            <w:r>
              <w:t>. Executor never sees the underspecified plan.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Infinite loop</w:t>
            </w:r>
            <w:r>
              <w:t xml:space="preserve"> (deliberately ambiguous prompts)</w:t>
            </w:r>
          </w:p>
        </w:tc>
        <w:tc>
          <w:tcPr>
            <w:tcW w:type="dxa" w:w="2880"/>
          </w:tcPr>
          <w:p>
            <w:r/>
            <w:r>
              <w:t>Earlier iterations hit 30+ tool calls.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max_iterations=7</w:t>
            </w:r>
            <w:r>
              <w:t xml:space="preserve"> + </w:t>
            </w:r>
            <w:r>
              <w:rPr>
                <w:rFonts w:ascii="Consolas" w:hAnsi="Consolas"/>
                <w:color w:val="993333"/>
                <w:sz w:val="20"/>
              </w:rPr>
              <w:t>max_total_tokens=60_000</w:t>
            </w:r>
            <w:r>
              <w:t xml:space="preserve"> + </w:t>
            </w:r>
            <w:r>
              <w:rPr>
                <w:rFonts w:ascii="Consolas" w:hAnsi="Consolas"/>
                <w:color w:val="993333"/>
                <w:sz w:val="20"/>
              </w:rPr>
              <w:t>max_wall_seconds=60</w:t>
            </w:r>
            <w:r>
              <w:t xml:space="preserve"> — three independent kill switches. Trips logged + counted as failures.</w:t>
            </w:r>
          </w:p>
        </w:tc>
      </w:tr>
    </w:tbl>
    <w:p/>
    <w:p>
      <w:pPr>
        <w:pStyle w:val="Heading3"/>
      </w:pPr>
      <w:r>
        <w:t>Known unfixed weakness</w:t>
      </w:r>
    </w:p>
    <w:p/>
    <w:p>
      <w:r>
        <w:t xml:space="preserve">When the agent compares &gt;3 scenarios in a single answer, it occasionally drops the explicit safety-threshold flag for one of them. We log this as </w:t>
      </w:r>
      <w:r>
        <w:rPr>
          <w:rFonts w:ascii="Consolas" w:hAnsi="Consolas"/>
          <w:color w:val="993333"/>
          <w:sz w:val="20"/>
        </w:rPr>
        <w:t>scenario_completeness &lt; 5</w:t>
      </w:r>
      <w:r>
        <w:t xml:space="preserve"> in the Judge output rather than mask it. Future fix: structured-output mode forcing one JSON row per scenario, then format into prose.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6. Domain KPIs (the 3 we track)</w:t>
      </w:r>
    </w:p>
    <w:p/>
    <w:p>
      <w:pPr>
        <w:pStyle w:val="ListNumber"/>
      </w:pPr>
      <w:r>
        <w:rPr>
          <w:b/>
        </w:rPr>
        <w:t>Calculation accuracy</w:t>
      </w:r>
      <w:r>
        <w:t xml:space="preserve"> — runway figure within ±5% of synthetic ground truth.</w:t>
      </w:r>
    </w:p>
    <w:p>
      <w:pPr>
        <w:pStyle w:val="ListNumber"/>
      </w:pPr>
      <w:r>
        <w:rPr>
          <w:b/>
        </w:rPr>
        <w:t>Scenario completeness</w:t>
      </w:r>
      <w:r>
        <w:t xml:space="preserve"> — every scenario named in </w:t>
      </w:r>
      <w:r>
        <w:rPr>
          <w:rFonts w:ascii="Consolas" w:hAnsi="Consolas"/>
          <w:color w:val="993333"/>
          <w:sz w:val="20"/>
        </w:rPr>
        <w:t>scenarios_to_compare</w:t>
      </w:r>
      <w:r>
        <w:t xml:space="preserve"> has a runway figure in the </w:t>
      </w:r>
      <w:r>
        <w:rPr>
          <w:rFonts w:ascii="Consolas" w:hAnsi="Consolas"/>
          <w:color w:val="993333"/>
          <w:sz w:val="20"/>
        </w:rPr>
        <w:t>&lt;answer&gt; Numbers</w:t>
      </w:r>
      <w:r>
        <w:t xml:space="preserve"> block.</w:t>
      </w:r>
    </w:p>
    <w:p>
      <w:pPr>
        <w:pStyle w:val="ListNumber"/>
      </w:pPr>
      <w:r>
        <w:rPr>
          <w:b/>
        </w:rPr>
        <w:t>Risk disclosure</w:t>
      </w:r>
      <w:r>
        <w:t xml:space="preserve"> — </w:t>
      </w:r>
      <w:r>
        <w:rPr>
          <w:rFonts w:ascii="Consolas" w:hAnsi="Consolas"/>
          <w:color w:val="993333"/>
          <w:sz w:val="20"/>
        </w:rPr>
        <w:t>&lt;answer&gt; Risks</w:t>
      </w:r>
      <w:r>
        <w:t xml:space="preserve"> block names at least one of: AR variance, customer concentration, one-time vs recurring, seasonality, runway-below-threshold.</w:t>
      </w:r>
    </w:p>
    <w:p/>
    <w:p>
      <w:r>
        <w:t>These three (not generic helpfulness scores) are what determine whether a CFO can act on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