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8 Final Submission — Cash Flow Runway Advisor</w:t>
      </w:r>
    </w:p>
    <w:p/>
    <w:p>
      <w:r>
        <w:rPr>
          <w:b/>
        </w:rPr>
        <w:t>Course:</w:t>
      </w:r>
      <w:r>
        <w:t xml:space="preserve"> Generative AI · </w:t>
      </w:r>
      <w:r>
        <w:rPr>
          <w:b/>
        </w:rPr>
        <w:t>Track:</w:t>
      </w:r>
      <w:r>
        <w:t xml:space="preserve"> Claude Agent SDK (Track B) · </w:t>
      </w:r>
      <w:r>
        <w:rPr>
          <w:b/>
        </w:rPr>
        <w:t>Group 4:</w:t>
      </w:r>
      <w:r>
        <w:t xml:space="preserve"> Xing Wang, Yi Lu, Aastik Rajan</w:t>
      </w:r>
    </w:p>
    <w:p/>
    <w:p>
      <w:r>
        <w:t>This document is the entry point for the grader. It maps every rubric line item to where it lives in the repository.</w:t>
      </w:r>
    </w:p>
    <w:p/>
    <w:p>
      <w:r>
        <w:t>――――――――――――――――――――――――――――――――――――――――</w:t>
      </w:r>
    </w:p>
    <w:p/>
    <w:p>
      <w:pPr>
        <w:pStyle w:val="Heading2"/>
      </w:pPr>
      <w:r>
        <w:t>0. What to open first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You want to see…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Open this</w:t>
            </w:r>
          </w:p>
        </w:tc>
      </w:tr>
      <w:tr>
        <w:tc>
          <w:tcPr>
            <w:tcW w:type="dxa" w:w="4320"/>
          </w:tcPr>
          <w:p>
            <w:r/>
            <w:r>
              <w:t>The agent running end-to-end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993333"/>
                <w:sz w:val="20"/>
              </w:rPr>
              <w:t>cash_flow_runway_advisor-5.ipynb</w:t>
            </w:r>
            <w:r>
              <w:t xml:space="preserve"> (run top to bottom in Colab)</w:t>
            </w:r>
          </w:p>
        </w:tc>
      </w:tr>
      <w:tr>
        <w:tc>
          <w:tcPr>
            <w:tcW w:type="dxa" w:w="4320"/>
          </w:tcPr>
          <w:p>
            <w:r/>
            <w:r>
              <w:t>Performance numbers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993333"/>
                <w:sz w:val="20"/>
              </w:rPr>
              <w:t>PERFORMANCE_REPORT.md</w:t>
            </w:r>
          </w:p>
        </w:tc>
      </w:tr>
      <w:tr>
        <w:tc>
          <w:tcPr>
            <w:tcW w:type="dxa" w:w="4320"/>
          </w:tcPr>
          <w:p>
            <w:r/>
            <w:r>
              <w:t>Architecture decisions + diagram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993333"/>
                <w:sz w:val="20"/>
              </w:rPr>
              <w:t>ARCHITECTURE.md</w:t>
            </w:r>
          </w:p>
        </w:tc>
      </w:tr>
      <w:tr>
        <w:tc>
          <w:tcPr>
            <w:tcW w:type="dxa" w:w="4320"/>
          </w:tcPr>
          <w:p>
            <w:r/>
            <w:r>
              <w:t>Failure post-mortem the demo video covers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993333"/>
                <w:sz w:val="20"/>
              </w:rPr>
              <w:t>DEMO_VIDEO_SCRIPT.md</w:t>
            </w:r>
          </w:p>
        </w:tc>
      </w:tr>
      <w:tr>
        <w:tc>
          <w:tcPr>
            <w:tcW w:type="dxa" w:w="4320"/>
          </w:tcPr>
          <w:p>
            <w:r/>
            <w:r>
              <w:t>Phase 1 proposal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993333"/>
                <w:sz w:val="20"/>
              </w:rPr>
              <w:t>GAI Project_Cash Flow Runway Advisor Proposal.md</w:t>
            </w:r>
          </w:p>
        </w:tc>
      </w:tr>
      <w:tr>
        <w:tc>
          <w:tcPr>
            <w:tcW w:type="dxa" w:w="4320"/>
          </w:tcPr>
          <w:p>
            <w:r/>
            <w:r>
              <w:t>Live web frontend (optional sidequest)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993333"/>
                <w:sz w:val="20"/>
              </w:rPr>
              <w:t>python -m uvicorn app:app</w:t>
            </w:r>
            <w:r>
              <w:t xml:space="preserve"> then </w:t>
            </w:r>
            <w:r>
              <w:rPr>
                <w:rFonts w:ascii="Consolas" w:hAnsi="Consolas"/>
                <w:color w:val="993333"/>
                <w:sz w:val="20"/>
              </w:rPr>
              <w:t>http://localhost:8000</w:t>
            </w:r>
          </w:p>
        </w:tc>
      </w:tr>
    </w:tbl>
    <w:p/>
    <w:p>
      <w:r>
        <w:t>――――――――――――――――――――――――――――――――――――――――</w:t>
      </w:r>
    </w:p>
    <w:p/>
    <w:p>
      <w:pPr>
        <w:pStyle w:val="Heading2"/>
      </w:pPr>
      <w:r>
        <w:t>1. Rubric → Artifact Map</w:t>
      </w:r>
    </w:p>
    <w:p/>
    <w:p>
      <w:pPr>
        <w:pStyle w:val="Heading3"/>
      </w:pPr>
      <w:r>
        <w:t>1. Technical Implementation (30 pts)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Criterion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Where</w:t>
            </w:r>
          </w:p>
        </w:tc>
      </w:tr>
      <w:tr>
        <w:tc>
          <w:tcPr>
            <w:tcW w:type="dxa" w:w="4320"/>
          </w:tcPr>
          <w:p>
            <w:r/>
            <w:r>
              <w:t>Multi-agent orchestration (Planner + Executor)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993333"/>
                <w:sz w:val="20"/>
              </w:rPr>
              <w:t>agent/orchestrator.py</w:t>
            </w:r>
            <w:r>
              <w:t>; notebook §4, cell 11</w:t>
            </w:r>
          </w:p>
        </w:tc>
      </w:tr>
      <w:tr>
        <w:tc>
          <w:tcPr>
            <w:tcW w:type="dxa" w:w="4320"/>
          </w:tcPr>
          <w:p>
            <w:r/>
            <w:r>
              <w:t xml:space="preserve">Manual </w:t>
            </w:r>
            <w:r>
              <w:rPr>
                <w:rFonts w:ascii="Consolas" w:hAnsi="Consolas"/>
                <w:color w:val="993333"/>
                <w:sz w:val="20"/>
              </w:rPr>
              <w:t>tool_use</w:t>
            </w:r>
            <w:r>
              <w:t xml:space="preserve"> loop (Track B requirement)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993333"/>
                <w:sz w:val="20"/>
              </w:rPr>
              <w:t>run_executor()</w:t>
            </w:r>
            <w:r>
              <w:t xml:space="preserve"> in </w:t>
            </w:r>
            <w:r>
              <w:rPr>
                <w:rFonts w:ascii="Consolas" w:hAnsi="Consolas"/>
                <w:color w:val="993333"/>
                <w:sz w:val="20"/>
              </w:rPr>
              <w:t>agent/orchestrator.py</w:t>
            </w:r>
            <w:r>
              <w:t xml:space="preserve"> lines 360–479</w:t>
            </w:r>
          </w:p>
        </w:tc>
      </w:tr>
      <w:tr>
        <w:tc>
          <w:tcPr>
            <w:tcW w:type="dxa" w:w="4320"/>
          </w:tcPr>
          <w:p>
            <w:r/>
            <w:r>
              <w:t>3+ tools returning structured data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993333"/>
                <w:sz w:val="20"/>
              </w:rPr>
              <w:t>agent/tools.py</w:t>
            </w:r>
            <w:r>
              <w:t xml:space="preserve"> — </w:t>
            </w:r>
            <w:r>
              <w:rPr>
                <w:rFonts w:ascii="Consolas" w:hAnsi="Consolas"/>
                <w:color w:val="993333"/>
                <w:sz w:val="20"/>
              </w:rPr>
              <w:t>query_financials</w:t>
            </w:r>
            <w:r>
              <w:t xml:space="preserve">, </w:t>
            </w:r>
            <w:r>
              <w:rPr>
                <w:rFonts w:ascii="Consolas" w:hAnsi="Consolas"/>
                <w:color w:val="993333"/>
                <w:sz w:val="20"/>
              </w:rPr>
              <w:t>calculate_runway</w:t>
            </w:r>
            <w:r>
              <w:t xml:space="preserve">, </w:t>
            </w:r>
            <w:r>
              <w:rPr>
                <w:rFonts w:ascii="Consolas" w:hAnsi="Consolas"/>
                <w:color w:val="993333"/>
                <w:sz w:val="20"/>
              </w:rPr>
              <w:t>simulate_scenario</w:t>
            </w:r>
          </w:p>
        </w:tc>
      </w:tr>
      <w:tr>
        <w:tc>
          <w:tcPr>
            <w:tcW w:type="dxa" w:w="4320"/>
          </w:tcPr>
          <w:p>
            <w:r/>
            <w:r>
              <w:t>Hard guardrails (iterations / tokens / wall / tool timeout)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993333"/>
                <w:sz w:val="20"/>
              </w:rPr>
              <w:t>Guardrails</w:t>
            </w:r>
            <w:r>
              <w:t xml:space="preserve"> dataclass; checks at lines 386–405 of </w:t>
            </w:r>
            <w:r>
              <w:rPr>
                <w:rFonts w:ascii="Consolas" w:hAnsi="Consolas"/>
                <w:color w:val="993333"/>
                <w:sz w:val="20"/>
              </w:rPr>
              <w:t>orchestrator.py</w:t>
            </w:r>
          </w:p>
        </w:tc>
      </w:tr>
      <w:tr>
        <w:tc>
          <w:tcPr>
            <w:tcW w:type="dxa" w:w="4320"/>
          </w:tcPr>
          <w:p>
            <w:r/>
            <w:r>
              <w:t>Recovery / branching logic</w:t>
            </w:r>
          </w:p>
        </w:tc>
        <w:tc>
          <w:tcPr>
            <w:tcW w:type="dxa" w:w="4320"/>
          </w:tcPr>
          <w:p>
            <w:r/>
            <w:r>
              <w:t xml:space="preserve">Planner returns </w:t>
            </w:r>
            <w:r>
              <w:rPr>
                <w:rFonts w:ascii="Consolas" w:hAnsi="Consolas"/>
                <w:color w:val="993333"/>
                <w:sz w:val="20"/>
              </w:rPr>
              <w:t>execute</w:t>
            </w:r>
            <w:r>
              <w:t xml:space="preserve"> / </w:t>
            </w:r>
            <w:r>
              <w:rPr>
                <w:rFonts w:ascii="Consolas" w:hAnsi="Consolas"/>
                <w:color w:val="993333"/>
                <w:sz w:val="20"/>
              </w:rPr>
              <w:t>clarify</w:t>
            </w:r>
            <w:r>
              <w:t xml:space="preserve"> / </w:t>
            </w:r>
            <w:r>
              <w:rPr>
                <w:rFonts w:ascii="Consolas" w:hAnsi="Consolas"/>
                <w:color w:val="993333"/>
                <w:sz w:val="20"/>
              </w:rPr>
              <w:t>out_of_scope</w:t>
            </w:r>
            <w:r>
              <w:t xml:space="preserve">; executor recovers from tool errors with </w:t>
            </w:r>
            <w:r>
              <w:rPr>
                <w:rFonts w:ascii="Consolas" w:hAnsi="Consolas"/>
                <w:color w:val="993333"/>
                <w:sz w:val="20"/>
              </w:rPr>
              <w:t>{status: 'error', available: [...]}</w:t>
            </w:r>
            <w:r>
              <w:t xml:space="preserve"> envelope</w:t>
            </w:r>
          </w:p>
        </w:tc>
      </w:tr>
      <w:tr>
        <w:tc>
          <w:tcPr>
            <w:tcW w:type="dxa" w:w="4320"/>
          </w:tcPr>
          <w:p>
            <w:r/>
            <w:r>
              <w:t>Telemetry scaffolding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993333"/>
                <w:sz w:val="20"/>
              </w:rPr>
              <w:t>Trace</w:t>
            </w:r>
            <w:r>
              <w:t xml:space="preserve"> class — every planner thought, tool call, tool result, guardrail trip stamped with monotonic time. Persisted to </w:t>
            </w:r>
            <w:r>
              <w:rPr>
                <w:rFonts w:ascii="Consolas" w:hAnsi="Consolas"/>
                <w:color w:val="993333"/>
                <w:sz w:val="20"/>
              </w:rPr>
              <w:t>artifacts/</w:t>
            </w:r>
            <w:r>
              <w:t xml:space="preserve"> (notebook §16)</w:t>
            </w:r>
          </w:p>
        </w:tc>
      </w:tr>
    </w:tbl>
    <w:p/>
    <w:p>
      <w:pPr>
        <w:pStyle w:val="Heading3"/>
      </w:pPr>
      <w:r>
        <w:t>2. Reasoning &amp; Analytic Rigor (20 pts)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Criterion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Where</w:t>
            </w:r>
          </w:p>
        </w:tc>
      </w:tr>
      <w:tr>
        <w:tc>
          <w:tcPr>
            <w:tcW w:type="dxa" w:w="4320"/>
          </w:tcPr>
          <w:p>
            <w:r/>
            <w:r>
              <w:t>ReAct trace / internal monologue</w:t>
            </w:r>
          </w:p>
        </w:tc>
        <w:tc>
          <w:tcPr>
            <w:tcW w:type="dxa" w:w="4320"/>
          </w:tcPr>
          <w:p>
            <w:r/>
            <w:r>
              <w:t>Executor system prompt v3 mandates "before each tool call, state what you expect" — see notebook §4 and §4b annotated trace</w:t>
            </w:r>
          </w:p>
        </w:tc>
      </w:tr>
      <w:tr>
        <w:tc>
          <w:tcPr>
            <w:tcW w:type="dxa" w:w="4320"/>
          </w:tcPr>
          <w:p>
            <w:r/>
            <w:r>
              <w:t>True analytical transformation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993333"/>
                <w:sz w:val="20"/>
              </w:rPr>
              <w:t>calculate_runway</w:t>
            </w:r>
            <w:r>
              <w:t xml:space="preserve"> uses rolling 3-month burn σ for sensitivity bounds; </w:t>
            </w:r>
            <w:r>
              <w:rPr>
                <w:rFonts w:ascii="Consolas" w:hAnsi="Consolas"/>
                <w:color w:val="993333"/>
                <w:sz w:val="20"/>
              </w:rPr>
              <w:t>simulate_scenario</w:t>
            </w:r>
            <w:r>
              <w:t xml:space="preserve"> produces baseline vs scenario vs delta vs verdict</w:t>
            </w:r>
          </w:p>
        </w:tc>
      </w:tr>
      <w:tr>
        <w:tc>
          <w:tcPr>
            <w:tcW w:type="dxa" w:w="4320"/>
          </w:tcPr>
          <w:p>
            <w:r/>
            <w:r>
              <w:t>Prompt Version Control log (3+ iterations × 3 prompts)</w:t>
            </w:r>
          </w:p>
        </w:tc>
        <w:tc>
          <w:tcPr>
            <w:tcW w:type="dxa" w:w="4320"/>
          </w:tcPr>
          <w:p>
            <w:r/>
            <w:r>
              <w:t>Notebook §11 (cell 30) — Planner v1/v2/v3, Executor v1/v2/v3, Judge v1/v2/v3 each with failure mode and what fixed it</w:t>
            </w:r>
          </w:p>
        </w:tc>
      </w:tr>
    </w:tbl>
    <w:p/>
    <w:p>
      <w:pPr>
        <w:pStyle w:val="Heading3"/>
      </w:pPr>
      <w:r>
        <w:t>3. Evaluation &amp; QA (20 pts)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Criterion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Where</w:t>
            </w:r>
          </w:p>
        </w:tc>
      </w:tr>
      <w:tr>
        <w:tc>
          <w:tcPr>
            <w:tcW w:type="dxa" w:w="4320"/>
          </w:tcPr>
          <w:p>
            <w:r/>
            <w:r>
              <w:t>50+ synthetic test variants</w:t>
            </w:r>
          </w:p>
        </w:tc>
        <w:tc>
          <w:tcPr>
            <w:tcW w:type="dxa" w:w="4320"/>
          </w:tcPr>
          <w:p>
            <w:r/>
            <w:r>
              <w:t xml:space="preserve">Notebook §7 (cell 21) — </w:t>
            </w:r>
            <w:r>
              <w:rPr>
                <w:rFonts w:ascii="Consolas" w:hAnsi="Consolas"/>
                <w:color w:val="993333"/>
                <w:sz w:val="20"/>
              </w:rPr>
              <w:t>generate_synthetic_variants(... variants_per_seed=10)</w:t>
            </w:r>
            <w:r>
              <w:t xml:space="preserve"> over 5 seeds</w:t>
            </w:r>
          </w:p>
        </w:tc>
      </w:tr>
      <w:tr>
        <w:tc>
          <w:tcPr>
            <w:tcW w:type="dxa" w:w="4320"/>
          </w:tcPr>
          <w:p>
            <w:r/>
            <w:r>
              <w:t>LLM-as-Judge with custom rubric + citations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993333"/>
                <w:sz w:val="20"/>
              </w:rPr>
              <w:t>JUDGE_SYSTEM_V3</w:t>
            </w:r>
            <w:r>
              <w:t xml:space="preserve"> in </w:t>
            </w:r>
            <w:r>
              <w:rPr>
                <w:rFonts w:ascii="Consolas" w:hAnsi="Consolas"/>
                <w:color w:val="993333"/>
                <w:sz w:val="20"/>
              </w:rPr>
              <w:t>orchestrator.py</w:t>
            </w:r>
            <w:r>
              <w:t xml:space="preserve"> lines 251–297. 3 standard + 3 custom KPIs, citations mandatory, JSON-only output</w:t>
            </w:r>
          </w:p>
        </w:tc>
      </w:tr>
      <w:tr>
        <w:tc>
          <w:tcPr>
            <w:tcW w:type="dxa" w:w="4320"/>
          </w:tcPr>
          <w:p>
            <w:r/>
            <w:r>
              <w:t>Consistency Score (10 cases × 3 runs, variance reported)</w:t>
            </w:r>
          </w:p>
        </w:tc>
        <w:tc>
          <w:tcPr>
            <w:tcW w:type="dxa" w:w="4320"/>
          </w:tcPr>
          <w:p>
            <w:r/>
            <w:r>
              <w:t>Notebook §10 (cell 29)</w:t>
            </w:r>
          </w:p>
        </w:tc>
      </w:tr>
      <w:tr>
        <w:tc>
          <w:tcPr>
            <w:tcW w:type="dxa" w:w="4320"/>
          </w:tcPr>
          <w:p>
            <w:r/>
            <w:r>
              <w:t>Red-team findings + mitigations</w:t>
            </w:r>
          </w:p>
        </w:tc>
        <w:tc>
          <w:tcPr>
            <w:tcW w:type="dxa" w:w="4320"/>
          </w:tcPr>
          <w:p>
            <w:r/>
            <w:r>
              <w:t>Notebook §14 (cell 33) — out-of-range date, binary pressure, hallucinated numbers, wrong casing, missing parameter, infinite loop</w:t>
            </w:r>
          </w:p>
        </w:tc>
      </w:tr>
    </w:tbl>
    <w:p/>
    <w:p>
      <w:pPr>
        <w:pStyle w:val="Heading3"/>
      </w:pPr>
      <w:r>
        <w:t>4. FinOps &amp; Performance (15 pts)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Criterion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Where</w:t>
            </w:r>
          </w:p>
        </w:tc>
      </w:tr>
      <w:tr>
        <w:tc>
          <w:tcPr>
            <w:tcW w:type="dxa" w:w="4320"/>
          </w:tcPr>
          <w:p>
            <w:r/>
            <w:r>
              <w:t>Cost-per-success vs cost-per-failure</w:t>
            </w:r>
          </w:p>
        </w:tc>
        <w:tc>
          <w:tcPr>
            <w:tcW w:type="dxa" w:w="4320"/>
          </w:tcPr>
          <w:p>
            <w:r/>
            <w:r>
              <w:t xml:space="preserve">Notebook §15 (cell 35) and </w:t>
            </w:r>
            <w:r>
              <w:rPr>
                <w:rFonts w:ascii="Consolas" w:hAnsi="Consolas"/>
                <w:color w:val="993333"/>
                <w:sz w:val="20"/>
              </w:rPr>
              <w:t>PERFORMANCE_REPORT.md</w:t>
            </w:r>
            <w:r>
              <w:t xml:space="preserve"> §3</w:t>
            </w:r>
          </w:p>
        </w:tc>
      </w:tr>
      <w:tr>
        <w:tc>
          <w:tcPr>
            <w:tcW w:type="dxa" w:w="4320"/>
          </w:tcPr>
          <w:p>
            <w:r/>
            <w:r>
              <w:t>High-perf (Sonnet) vs Budget (Haiku) split</w:t>
            </w:r>
          </w:p>
        </w:tc>
        <w:tc>
          <w:tcPr>
            <w:tcW w:type="dxa" w:w="4320"/>
          </w:tcPr>
          <w:p>
            <w:r/>
            <w:r>
              <w:t xml:space="preserve">ADR-1 in </w:t>
            </w:r>
            <w:r>
              <w:rPr>
                <w:rFonts w:ascii="Consolas" w:hAnsi="Consolas"/>
                <w:color w:val="993333"/>
                <w:sz w:val="20"/>
              </w:rPr>
              <w:t>ARCHITECTURE.md</w:t>
            </w:r>
            <w:r>
              <w:t>; orchestrator uses Sonnet for Planner+Judge, Haiku for Executor</w:t>
            </w:r>
          </w:p>
        </w:tc>
      </w:tr>
      <w:tr>
        <w:tc>
          <w:tcPr>
            <w:tcW w:type="dxa" w:w="4320"/>
          </w:tcPr>
          <w:p>
            <w:r/>
            <w:r>
              <w:t>Latency profile (inference vs tool seconds)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993333"/>
                <w:sz w:val="20"/>
              </w:rPr>
              <w:t>CostTracker.inference_seconds</w:t>
            </w:r>
            <w:r>
              <w:t xml:space="preserve"> vs </w:t>
            </w:r>
            <w:r>
              <w:rPr>
                <w:rFonts w:ascii="Consolas" w:hAnsi="Consolas"/>
                <w:color w:val="993333"/>
                <w:sz w:val="20"/>
              </w:rPr>
              <w:t>tool_seconds</w:t>
            </w:r>
            <w:r>
              <w:t xml:space="preserve">; </w:t>
            </w:r>
            <w:r>
              <w:rPr>
                <w:rFonts w:ascii="Consolas" w:hAnsi="Consolas"/>
                <w:color w:val="993333"/>
                <w:sz w:val="20"/>
              </w:rPr>
              <w:t>PERFORMANCE_REPORT.md</w:t>
            </w:r>
            <w:r>
              <w:t xml:space="preserve"> §4</w:t>
            </w:r>
          </w:p>
        </w:tc>
      </w:tr>
      <w:tr>
        <w:tc>
          <w:tcPr>
            <w:tcW w:type="dxa" w:w="4320"/>
          </w:tcPr>
          <w:p>
            <w:r/>
            <w:r>
              <w:t>3+ domain KPIs</w:t>
            </w:r>
          </w:p>
        </w:tc>
        <w:tc>
          <w:tcPr>
            <w:tcW w:type="dxa" w:w="4320"/>
          </w:tcPr>
          <w:p>
            <w:r/>
            <w:r>
              <w:t xml:space="preserve">Judge custom rubric: </w:t>
            </w:r>
            <w:r>
              <w:rPr>
                <w:rFonts w:ascii="Consolas" w:hAnsi="Consolas"/>
                <w:color w:val="993333"/>
                <w:sz w:val="20"/>
              </w:rPr>
              <w:t>calculation_accuracy</w:t>
            </w:r>
            <w:r>
              <w:t xml:space="preserve">, </w:t>
            </w:r>
            <w:r>
              <w:rPr>
                <w:rFonts w:ascii="Consolas" w:hAnsi="Consolas"/>
                <w:color w:val="993333"/>
                <w:sz w:val="20"/>
              </w:rPr>
              <w:t>scenario_completeness</w:t>
            </w:r>
            <w:r>
              <w:t xml:space="preserve">, </w:t>
            </w:r>
            <w:r>
              <w:rPr>
                <w:rFonts w:ascii="Consolas" w:hAnsi="Consolas"/>
                <w:color w:val="993333"/>
                <w:sz w:val="20"/>
              </w:rPr>
              <w:t>risk_disclosure</w:t>
            </w:r>
          </w:p>
        </w:tc>
      </w:tr>
    </w:tbl>
    <w:p/>
    <w:p>
      <w:pPr>
        <w:pStyle w:val="Heading3"/>
      </w:pPr>
      <w:r>
        <w:t>5. Documentation &amp; Justification (15 pts)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Criterion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Where</w:t>
            </w:r>
          </w:p>
        </w:tc>
      </w:tr>
      <w:tr>
        <w:tc>
          <w:tcPr>
            <w:tcW w:type="dxa" w:w="4320"/>
          </w:tcPr>
          <w:p>
            <w:r/>
            <w:r>
              <w:t>4 ADRs (Model / AI-vs-Rules / State / Errors)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993333"/>
                <w:sz w:val="20"/>
              </w:rPr>
              <w:t>ARCHITECTURE.md</w:t>
            </w:r>
            <w:r>
              <w:t xml:space="preserve"> §1–4 (also notebook §12)</w:t>
            </w:r>
          </w:p>
        </w:tc>
      </w:tr>
      <w:tr>
        <w:tc>
          <w:tcPr>
            <w:tcW w:type="dxa" w:w="4320"/>
          </w:tcPr>
          <w:p>
            <w:r/>
            <w:r>
              <w:t>Mermaid architecture diagram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993333"/>
                <w:sz w:val="20"/>
              </w:rPr>
              <w:t>ARCHITECTURE.md</w:t>
            </w:r>
            <w:r>
              <w:t xml:space="preserve"> §5 (also notebook §13)</w:t>
            </w:r>
          </w:p>
        </w:tc>
      </w:tr>
      <w:tr>
        <w:tc>
          <w:tcPr>
            <w:tcW w:type="dxa" w:w="4320"/>
          </w:tcPr>
          <w:p>
            <w:r/>
            <w:r>
              <w:t>Failure post-mortem</w:t>
            </w:r>
          </w:p>
        </w:tc>
        <w:tc>
          <w:tcPr>
            <w:tcW w:type="dxa" w:w="4320"/>
          </w:tcPr>
          <w:p>
            <w:r/>
            <w:r>
              <w:t>Notebook §14 + the 5-min demo video (</w:t>
            </w:r>
            <w:r>
              <w:rPr>
                <w:rFonts w:ascii="Consolas" w:hAnsi="Consolas"/>
                <w:color w:val="993333"/>
                <w:sz w:val="20"/>
              </w:rPr>
              <w:t>DEMO_VIDEO_SCRIPT.md</w:t>
            </w:r>
            <w:r>
              <w:t>)</w:t>
            </w:r>
          </w:p>
        </w:tc>
      </w:tr>
    </w:tbl>
    <w:p/>
    <w:p>
      <w:r>
        <w:t>――――――――――――――――――――――――――――――――――――――――</w:t>
      </w:r>
    </w:p>
    <w:p/>
    <w:p>
      <w:pPr>
        <w:pStyle w:val="Heading2"/>
      </w:pPr>
      <w:r>
        <w:t>2. Auto-Deduction Checklist (we avoided all three)</w:t>
      </w:r>
    </w:p>
    <w:p/>
    <w:p>
      <w:pPr>
        <w:pStyle w:val="ListBullet"/>
      </w:pPr>
      <w:r>
        <w:t xml:space="preserve">[x] </w:t>
      </w:r>
      <w:r>
        <w:rPr>
          <w:b/>
        </w:rPr>
        <w:t>−10 chatbot UI for demo:</w:t>
      </w:r>
      <w:r>
        <w:t xml:space="preserve"> the demo runs the </w:t>
      </w:r>
      <w:r>
        <w:rPr>
          <w:rFonts w:ascii="Consolas" w:hAnsi="Consolas"/>
          <w:color w:val="993333"/>
          <w:sz w:val="20"/>
        </w:rPr>
        <w:t>run_task()</w:t>
      </w:r>
      <w:r>
        <w:t xml:space="preserve"> orchestrator from the notebook, not a chat window.</w:t>
      </w:r>
    </w:p>
    <w:p>
      <w:pPr>
        <w:pStyle w:val="ListBullet"/>
      </w:pPr>
      <w:r>
        <w:t xml:space="preserve">[x] </w:t>
      </w:r>
      <w:r>
        <w:rPr>
          <w:b/>
        </w:rPr>
        <w:t>−10 hard-coded answers:</w:t>
      </w:r>
      <w:r>
        <w:t xml:space="preserve"> every numeric claim is derived from a tool call; success classifier rejects anything without an </w:t>
      </w:r>
      <w:r>
        <w:rPr>
          <w:rFonts w:ascii="Consolas" w:hAnsi="Consolas"/>
          <w:color w:val="993333"/>
          <w:sz w:val="20"/>
        </w:rPr>
        <w:t>&lt;answer&gt;</w:t>
      </w:r>
      <w:r>
        <w:t xml:space="preserve"> block.</w:t>
      </w:r>
    </w:p>
    <w:p>
      <w:pPr>
        <w:pStyle w:val="ListBullet"/>
      </w:pPr>
      <w:r>
        <w:t xml:space="preserve">[x] </w:t>
      </w:r>
      <w:r>
        <w:rPr>
          <w:b/>
        </w:rPr>
        <w:t>−5 exposed API keys:</w:t>
      </w:r>
      <w:r>
        <w:t xml:space="preserve"> </w:t>
      </w:r>
      <w:r>
        <w:rPr>
          <w:rFonts w:ascii="Consolas" w:hAnsi="Consolas"/>
          <w:color w:val="993333"/>
          <w:sz w:val="20"/>
        </w:rPr>
        <w:t>app.py</w:t>
      </w:r>
      <w:r>
        <w:t xml:space="preserve"> and notebook pull </w:t>
      </w:r>
      <w:r>
        <w:rPr>
          <w:rFonts w:ascii="Consolas" w:hAnsi="Consolas"/>
          <w:color w:val="993333"/>
          <w:sz w:val="20"/>
        </w:rPr>
        <w:t>ANTHROPIC_API_KEY</w:t>
      </w:r>
      <w:r>
        <w:t xml:space="preserve"> from Colab </w:t>
      </w:r>
      <w:r>
        <w:rPr>
          <w:rFonts w:ascii="Consolas" w:hAnsi="Consolas"/>
          <w:color w:val="993333"/>
          <w:sz w:val="20"/>
        </w:rPr>
        <w:t>userdata</w:t>
      </w:r>
      <w:r>
        <w:t xml:space="preserve"> or env — no literal keys in code.</w:t>
      </w:r>
    </w:p>
    <w:p/>
    <w:p>
      <w:r>
        <w:t>――――――――――――――――――――――――――――――――――――――――</w:t>
      </w:r>
    </w:p>
    <w:p/>
    <w:p>
      <w:pPr>
        <w:pStyle w:val="Heading2"/>
      </w:pPr>
      <w:r>
        <w:t>3. Reproducing the run</w:t>
      </w:r>
    </w:p>
    <w:p/>
    <w:p>
      <w:r>
        <w:rPr>
          <w:rFonts w:ascii="Consolas" w:hAnsi="Consolas"/>
          <w:sz w:val="18"/>
        </w:rPr>
        <w:t># In Colab: open cash_flow_runway_advisor-5.ipynb, set ANTHROPIC_API_KEY in</w:t>
        <w:br/>
        <w:t># the secrets sidebar, Run All. Total wall time ~12–18 min, cost ~$0.40–0.60.</w:t>
        <w:br/>
        <w:br/>
        <w:t># Local:</w:t>
        <w:br/>
        <w:t>pip install anthropic==0.77.1 pandas fastapi uvicorn</w:t>
        <w:br/>
        <w:t>export ANTHROPIC_API_KEY=sk-ant-...</w:t>
        <w:br/>
        <w:t>jupyter notebook cash_flow_runway_advisor-5.ipynb</w:t>
      </w:r>
    </w:p>
    <w:p/>
    <w:p>
      <w:r>
        <w:t xml:space="preserve">Artifacts are written to </w:t>
      </w:r>
      <w:r>
        <w:rPr>
          <w:rFonts w:ascii="Consolas" w:hAnsi="Consolas"/>
          <w:color w:val="993333"/>
          <w:sz w:val="20"/>
        </w:rPr>
        <w:t>artifacts/&lt;timestamp&gt;/</w:t>
      </w:r>
      <w:r>
        <w:t xml:space="preserve"> (traces, judge verdicts, aggregate report). The synthetic dataset is reproducible from </w:t>
      </w:r>
      <w:r>
        <w:rPr>
          <w:rFonts w:ascii="Consolas" w:hAnsi="Consolas"/>
          <w:color w:val="993333"/>
          <w:sz w:val="20"/>
        </w:rPr>
        <w:t>SEED=42</w:t>
      </w:r>
      <w:r>
        <w:t xml:space="preserve"> in </w:t>
      </w:r>
      <w:r>
        <w:rPr>
          <w:rFonts w:ascii="Consolas" w:hAnsi="Consolas"/>
          <w:color w:val="993333"/>
          <w:sz w:val="20"/>
        </w:rPr>
        <w:t>agent/data.py</w:t>
      </w:r>
      <w:r>
        <w:t>, so a re-run gives identical ground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