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70D03"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51AD2BDB" w14:textId="14FAE2E1"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514C56E8"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7A69D700" w14:textId="48EE1217" w:rsidR="00B47528" w:rsidRPr="00B47528" w:rsidRDefault="00B47528" w:rsidP="00B47528">
      <w:pPr>
        <w:spacing w:line="480" w:lineRule="auto"/>
        <w:rPr>
          <w:rFonts w:ascii="Times New Roman" w:eastAsia="Times New Roman" w:hAnsi="Times New Roman" w:cs="Times New Roman"/>
          <w:b/>
          <w:bCs/>
          <w:color w:val="222222"/>
          <w:kern w:val="0"/>
          <w:sz w:val="44"/>
          <w:szCs w:val="44"/>
          <w14:ligatures w14:val="none"/>
        </w:rPr>
      </w:pPr>
      <w:r w:rsidRPr="00B47528">
        <w:rPr>
          <w:rFonts w:ascii="Times New Roman" w:eastAsia="Times New Roman" w:hAnsi="Times New Roman" w:cs="Times New Roman"/>
          <w:b/>
          <w:bCs/>
          <w:color w:val="222222"/>
          <w:kern w:val="0"/>
          <w:sz w:val="44"/>
          <w:szCs w:val="44"/>
          <w14:ligatures w14:val="none"/>
        </w:rPr>
        <w:t>H</w:t>
      </w:r>
      <w:r w:rsidRPr="00B47528">
        <w:rPr>
          <w:rFonts w:ascii="Times New Roman" w:eastAsia="Times New Roman" w:hAnsi="Times New Roman" w:cs="Times New Roman"/>
          <w:b/>
          <w:bCs/>
          <w:color w:val="222222"/>
          <w:kern w:val="0"/>
          <w:sz w:val="44"/>
          <w:szCs w:val="44"/>
          <w14:ligatures w14:val="none"/>
        </w:rPr>
        <w:t>SA</w:t>
      </w:r>
      <w:r w:rsidRPr="00B47528">
        <w:rPr>
          <w:rFonts w:ascii="Times New Roman" w:eastAsia="Times New Roman" w:hAnsi="Times New Roman" w:cs="Times New Roman"/>
          <w:b/>
          <w:bCs/>
          <w:color w:val="222222"/>
          <w:kern w:val="0"/>
          <w:sz w:val="44"/>
          <w:szCs w:val="44"/>
          <w14:ligatures w14:val="none"/>
        </w:rPr>
        <w:t xml:space="preserve"> ACCOUNT PERFORMANCE</w:t>
      </w:r>
      <w:r w:rsidRPr="00B47528">
        <w:rPr>
          <w:rFonts w:ascii="Times New Roman" w:eastAsia="Times New Roman" w:hAnsi="Times New Roman" w:cs="Times New Roman"/>
          <w:b/>
          <w:bCs/>
          <w:color w:val="222222"/>
          <w:kern w:val="0"/>
          <w:sz w:val="44"/>
          <w:szCs w:val="44"/>
          <w14:ligatures w14:val="none"/>
        </w:rPr>
        <w:t xml:space="preserve"> ANALYSIS</w:t>
      </w:r>
    </w:p>
    <w:p w14:paraId="68255896" w14:textId="395FBCA7" w:rsidR="00EE572D" w:rsidRDefault="00EE572D" w:rsidP="00B47528">
      <w:pPr>
        <w:spacing w:line="480" w:lineRule="auto"/>
        <w:jc w:val="center"/>
        <w:rPr>
          <w:rFonts w:ascii="Times New Roman" w:eastAsia="Times New Roman" w:hAnsi="Times New Roman" w:cs="Times New Roman"/>
          <w:b/>
          <w:bCs/>
          <w:color w:val="222222"/>
          <w:kern w:val="0"/>
          <w:sz w:val="24"/>
          <w:szCs w:val="24"/>
          <w14:ligatures w14:val="none"/>
        </w:rPr>
      </w:pPr>
    </w:p>
    <w:p w14:paraId="36FB902B" w14:textId="31372EEF" w:rsidR="00EE572D" w:rsidRDefault="00B47528" w:rsidP="00EE572D">
      <w:pPr>
        <w:spacing w:line="480" w:lineRule="auto"/>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noProof/>
          <w:color w:val="222222"/>
          <w:kern w:val="0"/>
          <w:sz w:val="24"/>
          <w:szCs w:val="24"/>
        </w:rPr>
        <w:drawing>
          <wp:inline distT="0" distB="0" distL="0" distR="0" wp14:anchorId="2D104B16" wp14:editId="651D50AC">
            <wp:extent cx="4742821" cy="1037492"/>
            <wp:effectExtent l="0" t="0" r="635" b="0"/>
            <wp:docPr id="1306233369" name="Picture 2" descr="A purpl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33369" name="Picture 2" descr="A purple square with white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5507" cy="1042455"/>
                    </a:xfrm>
                    <a:prstGeom prst="rect">
                      <a:avLst/>
                    </a:prstGeom>
                  </pic:spPr>
                </pic:pic>
              </a:graphicData>
            </a:graphic>
          </wp:inline>
        </w:drawing>
      </w:r>
    </w:p>
    <w:p w14:paraId="44015DA7"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66E55537" w14:textId="77777777" w:rsidR="00B47528" w:rsidRDefault="00B47528" w:rsidP="00EE572D">
      <w:pPr>
        <w:spacing w:line="480" w:lineRule="auto"/>
        <w:rPr>
          <w:rFonts w:ascii="Times New Roman" w:eastAsia="Times New Roman" w:hAnsi="Times New Roman" w:cs="Times New Roman"/>
          <w:b/>
          <w:bCs/>
          <w:color w:val="222222"/>
          <w:kern w:val="0"/>
          <w:sz w:val="24"/>
          <w:szCs w:val="24"/>
          <w14:ligatures w14:val="none"/>
        </w:rPr>
      </w:pPr>
    </w:p>
    <w:p w14:paraId="25C07164" w14:textId="77777777" w:rsidR="00B47528" w:rsidRPr="00B47528" w:rsidRDefault="00B47528" w:rsidP="00B47528">
      <w:pPr>
        <w:spacing w:line="480" w:lineRule="auto"/>
        <w:rPr>
          <w:rFonts w:ascii="Times New Roman" w:eastAsia="Times New Roman" w:hAnsi="Times New Roman" w:cs="Times New Roman"/>
          <w:b/>
          <w:bCs/>
          <w:color w:val="222222"/>
          <w:kern w:val="0"/>
          <w:sz w:val="50"/>
          <w:szCs w:val="50"/>
          <w14:ligatures w14:val="none"/>
        </w:rPr>
      </w:pPr>
      <w:r w:rsidRPr="00B47528">
        <w:rPr>
          <w:rFonts w:ascii="Times New Roman" w:eastAsia="Times New Roman" w:hAnsi="Times New Roman" w:cs="Times New Roman"/>
          <w:b/>
          <w:bCs/>
          <w:color w:val="222222"/>
          <w:kern w:val="0"/>
          <w:sz w:val="50"/>
          <w:szCs w:val="50"/>
          <w14:ligatures w14:val="none"/>
        </w:rPr>
        <w:t>Aasvitha Adikkesavelu</w:t>
      </w:r>
    </w:p>
    <w:p w14:paraId="19F34C3D" w14:textId="77777777" w:rsidR="00B47528" w:rsidRDefault="00B47528" w:rsidP="00EE572D">
      <w:pPr>
        <w:spacing w:line="480" w:lineRule="auto"/>
        <w:rPr>
          <w:rFonts w:ascii="Times New Roman" w:eastAsia="Times New Roman" w:hAnsi="Times New Roman" w:cs="Times New Roman"/>
          <w:b/>
          <w:bCs/>
          <w:color w:val="222222"/>
          <w:kern w:val="0"/>
          <w:sz w:val="24"/>
          <w:szCs w:val="24"/>
          <w14:ligatures w14:val="none"/>
        </w:rPr>
      </w:pPr>
    </w:p>
    <w:p w14:paraId="5F5C833A" w14:textId="3F41E476"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100C1FF9"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15D914A3"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540B4FC7" w14:textId="33C3819E" w:rsidR="00EE572D" w:rsidRDefault="00B47528" w:rsidP="00EE572D">
      <w:pPr>
        <w:spacing w:line="480" w:lineRule="auto"/>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color w:val="222222"/>
          <w:kern w:val="0"/>
          <w:sz w:val="24"/>
          <w:szCs w:val="24"/>
          <w14:ligatures w14:val="none"/>
        </w:rPr>
        <w:t xml:space="preserve">                       </w:t>
      </w:r>
    </w:p>
    <w:p w14:paraId="1995C743"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79932278" w14:textId="5561909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469155FC" w14:textId="30DF33AD"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4A7FFF8A" w14:textId="77777777" w:rsidR="00EE572D" w:rsidRDefault="00EE572D" w:rsidP="00EE572D">
      <w:pPr>
        <w:spacing w:line="480" w:lineRule="auto"/>
        <w:rPr>
          <w:rFonts w:ascii="Times New Roman" w:eastAsia="Times New Roman" w:hAnsi="Times New Roman" w:cs="Times New Roman"/>
          <w:b/>
          <w:bCs/>
          <w:color w:val="222222"/>
          <w:kern w:val="0"/>
          <w:sz w:val="24"/>
          <w:szCs w:val="24"/>
          <w14:ligatures w14:val="none"/>
        </w:rPr>
      </w:pPr>
    </w:p>
    <w:p w14:paraId="0C281974" w14:textId="0051503E" w:rsidR="00FC495C" w:rsidRDefault="004837C0" w:rsidP="00EE572D">
      <w:pPr>
        <w:spacing w:line="480" w:lineRule="auto"/>
        <w:rPr>
          <w:rFonts w:ascii="Times New Roman" w:eastAsia="Times New Roman" w:hAnsi="Times New Roman" w:cs="Times New Roman"/>
          <w:b/>
          <w:bCs/>
          <w:color w:val="222222"/>
          <w:kern w:val="0"/>
          <w:sz w:val="24"/>
          <w:szCs w:val="24"/>
          <w14:ligatures w14:val="none"/>
        </w:rPr>
      </w:pPr>
      <w:r w:rsidRPr="00FC495C">
        <w:rPr>
          <w:rFonts w:ascii="Times New Roman" w:eastAsia="Times New Roman" w:hAnsi="Times New Roman" w:cs="Times New Roman"/>
          <w:b/>
          <w:bCs/>
          <w:color w:val="222222"/>
          <w:kern w:val="0"/>
          <w:sz w:val="24"/>
          <w:szCs w:val="24"/>
          <w14:ligatures w14:val="none"/>
        </w:rPr>
        <w:t>Across the subset book of business provided, please determine the improvement in HSA performance based on +/1 12 month and based on +/- 24 months’ of “before and after integration” program performance.</w:t>
      </w:r>
    </w:p>
    <w:p w14:paraId="019A2B05" w14:textId="0C5229C7" w:rsidR="004837C0" w:rsidRPr="00FC495C" w:rsidRDefault="004837C0" w:rsidP="00EE572D">
      <w:pPr>
        <w:spacing w:line="480" w:lineRule="auto"/>
        <w:rPr>
          <w:rFonts w:ascii="Times New Roman" w:hAnsi="Times New Roman" w:cs="Times New Roman"/>
          <w:sz w:val="24"/>
          <w:szCs w:val="24"/>
        </w:rPr>
      </w:pPr>
      <w:r w:rsidRPr="00FC495C">
        <w:rPr>
          <w:rFonts w:ascii="Times New Roman" w:eastAsia="Times New Roman" w:hAnsi="Times New Roman" w:cs="Times New Roman"/>
          <w:b/>
          <w:bCs/>
          <w:color w:val="222222"/>
          <w:kern w:val="0"/>
          <w:sz w:val="24"/>
          <w:szCs w:val="24"/>
          <w14:ligatures w14:val="none"/>
        </w:rPr>
        <w:br/>
      </w:r>
      <w:r w:rsidR="00F91DB5" w:rsidRPr="00FC495C">
        <w:rPr>
          <w:rFonts w:ascii="Times New Roman" w:hAnsi="Times New Roman" w:cs="Times New Roman"/>
          <w:b/>
          <w:bCs/>
          <w:sz w:val="24"/>
          <w:szCs w:val="24"/>
        </w:rPr>
        <w:t>Post- Elevation:</w:t>
      </w:r>
      <w:r w:rsidRPr="00FC495C">
        <w:rPr>
          <w:rFonts w:ascii="Times New Roman" w:hAnsi="Times New Roman" w:cs="Times New Roman"/>
          <w:sz w:val="24"/>
          <w:szCs w:val="24"/>
        </w:rPr>
        <w:br/>
      </w:r>
      <w:r w:rsidRPr="00FC495C">
        <w:rPr>
          <w:rFonts w:ascii="Times New Roman" w:hAnsi="Times New Roman" w:cs="Times New Roman"/>
          <w:b/>
          <w:bCs/>
          <w:sz w:val="24"/>
          <w:szCs w:val="24"/>
        </w:rPr>
        <w:t>Sum of Accounts</w:t>
      </w:r>
      <w:r w:rsidRPr="00FC495C">
        <w:rPr>
          <w:rFonts w:ascii="Times New Roman" w:hAnsi="Times New Roman" w:cs="Times New Roman"/>
          <w:sz w:val="24"/>
          <w:szCs w:val="24"/>
        </w:rPr>
        <w:t>: There is a V-shaped trend visible in the number of accounts. There's a sharp decline from 2018 to 2019, followed by a dramatic increase from 2019 to 2020, and continuing to rise into 2021.</w:t>
      </w:r>
    </w:p>
    <w:p w14:paraId="16C379D4"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Sum of Total Assets:</w:t>
      </w:r>
      <w:r w:rsidRPr="00FC495C">
        <w:rPr>
          <w:rFonts w:ascii="Times New Roman" w:hAnsi="Times New Roman" w:cs="Times New Roman"/>
          <w:sz w:val="24"/>
          <w:szCs w:val="24"/>
        </w:rPr>
        <w:t xml:space="preserve"> This metric also shows a V-shaped pattern, with a decrease from 2018 to 2019, then a significant increase from 2019 to 2020, and further growth into 2021. The trend suggests recovery and growth in assets post-elevation.</w:t>
      </w:r>
    </w:p>
    <w:p w14:paraId="0B2139CC"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Sum of Total Cash</w:t>
      </w:r>
      <w:r w:rsidRPr="00FC495C">
        <w:rPr>
          <w:rFonts w:ascii="Times New Roman" w:hAnsi="Times New Roman" w:cs="Times New Roman"/>
          <w:sz w:val="24"/>
          <w:szCs w:val="24"/>
        </w:rPr>
        <w:t>: It shows a relatively steady growth from 2018 to 2019 but a more significant increase from 2019 to 2020, which then slightly tapers off in 2021 while still showing overall growth.</w:t>
      </w:r>
    </w:p>
    <w:p w14:paraId="32EAAB27"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 xml:space="preserve">Sum of </w:t>
      </w:r>
      <w:proofErr w:type="spellStart"/>
      <w:r w:rsidRPr="00FC495C">
        <w:rPr>
          <w:rFonts w:ascii="Times New Roman" w:hAnsi="Times New Roman" w:cs="Times New Roman"/>
          <w:b/>
          <w:bCs/>
          <w:sz w:val="24"/>
          <w:szCs w:val="24"/>
        </w:rPr>
        <w:t>AvgInvestment</w:t>
      </w:r>
      <w:proofErr w:type="spellEnd"/>
      <w:r w:rsidRPr="00FC495C">
        <w:rPr>
          <w:rFonts w:ascii="Times New Roman" w:hAnsi="Times New Roman" w:cs="Times New Roman"/>
          <w:sz w:val="24"/>
          <w:szCs w:val="24"/>
        </w:rPr>
        <w:t>: This line is not completely visible in the description, but it seems to show an upward trend, which would suggest that average investment per account is increasing over the years.</w:t>
      </w:r>
    </w:p>
    <w:p w14:paraId="07E55E57" w14:textId="77777777" w:rsidR="004837C0" w:rsidRPr="00FC495C" w:rsidRDefault="004837C0" w:rsidP="00EE572D">
      <w:pPr>
        <w:spacing w:line="480" w:lineRule="auto"/>
        <w:rPr>
          <w:rFonts w:ascii="Times New Roman" w:hAnsi="Times New Roman" w:cs="Times New Roman"/>
          <w:b/>
          <w:bCs/>
          <w:sz w:val="24"/>
          <w:szCs w:val="24"/>
        </w:rPr>
      </w:pPr>
      <w:r w:rsidRPr="00FC495C">
        <w:rPr>
          <w:rFonts w:ascii="Times New Roman" w:hAnsi="Times New Roman" w:cs="Times New Roman"/>
          <w:b/>
          <w:bCs/>
          <w:sz w:val="24"/>
          <w:szCs w:val="24"/>
        </w:rPr>
        <w:lastRenderedPageBreak/>
        <w:t>Key Observations:</w:t>
      </w:r>
    </w:p>
    <w:p w14:paraId="4C3D4F4D" w14:textId="77777777" w:rsid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Recovery and Growth</w:t>
      </w:r>
      <w:r w:rsidRPr="00FC495C">
        <w:rPr>
          <w:rFonts w:ascii="Times New Roman" w:hAnsi="Times New Roman" w:cs="Times New Roman"/>
          <w:sz w:val="24"/>
          <w:szCs w:val="24"/>
        </w:rPr>
        <w:t>: The sharp decline in both the number of accounts and total assets from 2018 to 2019 could be due to various factors, including possible market downturns or the initial impact of the elevation. The subsequent increase from 2019 suggests a recovery and possibly the successful impact of the post-elevation efforts.</w:t>
      </w:r>
    </w:p>
    <w:p w14:paraId="363FA1AF" w14:textId="4B1A550A"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Consistent Cash Growth</w:t>
      </w:r>
      <w:r w:rsidRPr="00FC495C">
        <w:rPr>
          <w:rFonts w:ascii="Times New Roman" w:hAnsi="Times New Roman" w:cs="Times New Roman"/>
          <w:sz w:val="24"/>
          <w:szCs w:val="24"/>
        </w:rPr>
        <w:t>: Total cash has been consistently growing, which may imply a stable increase in liquidity or cash reserves within the accounts. This might also reflect a conservative approach by account holders or a strategic focus on cash holdings by the program.</w:t>
      </w:r>
    </w:p>
    <w:p w14:paraId="7723B678"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b/>
          <w:bCs/>
          <w:sz w:val="24"/>
          <w:szCs w:val="24"/>
        </w:rPr>
        <w:t>Investment Uptake</w:t>
      </w:r>
      <w:r w:rsidRPr="00FC495C">
        <w:rPr>
          <w:rFonts w:ascii="Times New Roman" w:hAnsi="Times New Roman" w:cs="Times New Roman"/>
          <w:sz w:val="24"/>
          <w:szCs w:val="24"/>
        </w:rPr>
        <w:t>: Assuming the trend is upward for average investment, it indicates increasing engagement with investment options within the HSA accounts, which could be due to improved investment features, market performance, or effective financial advising as part of the elevation program.</w:t>
      </w:r>
    </w:p>
    <w:p w14:paraId="3ECC133D" w14:textId="77777777" w:rsidR="004837C0" w:rsidRPr="00FC495C" w:rsidRDefault="004837C0" w:rsidP="00EE572D">
      <w:pPr>
        <w:spacing w:line="480" w:lineRule="auto"/>
        <w:rPr>
          <w:rFonts w:ascii="Times New Roman" w:hAnsi="Times New Roman" w:cs="Times New Roman"/>
          <w:b/>
          <w:bCs/>
          <w:sz w:val="24"/>
          <w:szCs w:val="24"/>
        </w:rPr>
      </w:pPr>
      <w:r w:rsidRPr="00FC495C">
        <w:rPr>
          <w:rFonts w:ascii="Times New Roman" w:hAnsi="Times New Roman" w:cs="Times New Roman"/>
          <w:b/>
          <w:bCs/>
          <w:sz w:val="24"/>
          <w:szCs w:val="24"/>
        </w:rPr>
        <w:t>Final Pointers:</w:t>
      </w:r>
    </w:p>
    <w:p w14:paraId="5B7B9D1C"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The data suggests that any initial challenges seen in 2019 were overcome, leading to </w:t>
      </w:r>
      <w:proofErr w:type="gramStart"/>
      <w:r w:rsidRPr="00FC495C">
        <w:rPr>
          <w:rFonts w:ascii="Times New Roman" w:hAnsi="Times New Roman" w:cs="Times New Roman"/>
          <w:sz w:val="24"/>
          <w:szCs w:val="24"/>
        </w:rPr>
        <w:t>positive growth</w:t>
      </w:r>
      <w:proofErr w:type="gramEnd"/>
      <w:r w:rsidRPr="00FC495C">
        <w:rPr>
          <w:rFonts w:ascii="Times New Roman" w:hAnsi="Times New Roman" w:cs="Times New Roman"/>
          <w:sz w:val="24"/>
          <w:szCs w:val="24"/>
        </w:rPr>
        <w:t xml:space="preserve"> in subsequent years.</w:t>
      </w:r>
    </w:p>
    <w:p w14:paraId="3047232C"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sz w:val="24"/>
          <w:szCs w:val="24"/>
        </w:rPr>
        <w:t>The increase in the sum of accounts and total assets in 2020 and 2021 may indicate the elevation program's effectiveness in encouraging participation and asset growth.</w:t>
      </w:r>
    </w:p>
    <w:p w14:paraId="341D2D52" w14:textId="77777777" w:rsidR="004837C0" w:rsidRPr="00FC495C" w:rsidRDefault="004837C0" w:rsidP="00EE572D">
      <w:pPr>
        <w:spacing w:line="480" w:lineRule="auto"/>
        <w:rPr>
          <w:rFonts w:ascii="Times New Roman" w:hAnsi="Times New Roman" w:cs="Times New Roman"/>
          <w:sz w:val="24"/>
          <w:szCs w:val="24"/>
        </w:rPr>
      </w:pPr>
      <w:r w:rsidRPr="00FC495C">
        <w:rPr>
          <w:rFonts w:ascii="Times New Roman" w:hAnsi="Times New Roman" w:cs="Times New Roman"/>
          <w:sz w:val="24"/>
          <w:szCs w:val="24"/>
        </w:rPr>
        <w:t>Continuous growth in total cash and average investment suggests a heightened trust in the HSA program and possibly favorable market conditions.</w:t>
      </w:r>
    </w:p>
    <w:p w14:paraId="6E240DCA" w14:textId="62EA4CC0" w:rsidR="00CF31C1" w:rsidRPr="00FC495C" w:rsidRDefault="004837C0" w:rsidP="00EE572D">
      <w:pPr>
        <w:spacing w:line="480" w:lineRule="auto"/>
        <w:rPr>
          <w:rFonts w:ascii="Times New Roman" w:hAnsi="Times New Roman" w:cs="Times New Roman"/>
          <w:noProof/>
          <w:sz w:val="24"/>
          <w:szCs w:val="24"/>
        </w:rPr>
      </w:pPr>
      <w:r w:rsidRPr="00FC495C">
        <w:rPr>
          <w:rFonts w:ascii="Times New Roman" w:hAnsi="Times New Roman" w:cs="Times New Roman"/>
          <w:sz w:val="24"/>
          <w:szCs w:val="24"/>
        </w:rPr>
        <w:lastRenderedPageBreak/>
        <w:t>The specific reasons behind the V-shaped trend would require further qualitative analysis, considering external economic factors, changes in investment behavior, and specific actions taken as part of the elevation program.</w:t>
      </w:r>
      <w:r w:rsidRPr="00FC495C">
        <w:rPr>
          <w:rFonts w:ascii="Times New Roman" w:hAnsi="Times New Roman" w:cs="Times New Roman"/>
          <w:noProof/>
          <w:sz w:val="24"/>
          <w:szCs w:val="24"/>
        </w:rPr>
        <w:t xml:space="preserve"> </w:t>
      </w:r>
    </w:p>
    <w:p w14:paraId="5FED1B69" w14:textId="33CBC8A1" w:rsidR="00F91DB5" w:rsidRPr="005E1BC2" w:rsidRDefault="00F91DB5" w:rsidP="00EE572D">
      <w:pPr>
        <w:tabs>
          <w:tab w:val="left" w:pos="2304"/>
        </w:tabs>
        <w:spacing w:line="480" w:lineRule="auto"/>
        <w:rPr>
          <w:rFonts w:ascii="Times New Roman" w:hAnsi="Times New Roman" w:cs="Times New Roman"/>
          <w:b/>
          <w:bCs/>
          <w:sz w:val="24"/>
          <w:szCs w:val="24"/>
        </w:rPr>
      </w:pPr>
      <w:r w:rsidRPr="00FC495C">
        <w:rPr>
          <w:rFonts w:ascii="Times New Roman" w:hAnsi="Times New Roman" w:cs="Times New Roman"/>
          <w:b/>
          <w:bCs/>
          <w:sz w:val="24"/>
          <w:szCs w:val="24"/>
        </w:rPr>
        <w:t>Pre-Elevation:</w:t>
      </w:r>
      <w:r w:rsidRPr="00FC495C">
        <w:rPr>
          <w:rFonts w:ascii="Times New Roman" w:hAnsi="Times New Roman" w:cs="Times New Roman"/>
          <w:sz w:val="24"/>
          <w:szCs w:val="24"/>
        </w:rPr>
        <w:br/>
      </w:r>
      <w:r w:rsidRPr="00FC495C">
        <w:rPr>
          <w:rFonts w:ascii="Times New Roman" w:hAnsi="Times New Roman" w:cs="Times New Roman"/>
          <w:b/>
          <w:bCs/>
          <w:sz w:val="24"/>
          <w:szCs w:val="24"/>
        </w:rPr>
        <w:t>Sum of Accounts</w:t>
      </w:r>
      <w:r w:rsidRPr="00FC495C">
        <w:rPr>
          <w:rFonts w:ascii="Times New Roman" w:hAnsi="Times New Roman" w:cs="Times New Roman"/>
          <w:sz w:val="24"/>
          <w:szCs w:val="24"/>
        </w:rPr>
        <w:t>: There is a gradual increase in the number of accounts from 2018 to 2020. The consistent upward trend suggests that more HSAs were opened or enrolled in during these years, which is a positive indicator for the program's reach and consumer interest.</w:t>
      </w:r>
    </w:p>
    <w:p w14:paraId="39977D82" w14:textId="53A3FEE2" w:rsidR="00F91DB5" w:rsidRP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b/>
          <w:bCs/>
          <w:sz w:val="24"/>
          <w:szCs w:val="24"/>
        </w:rPr>
        <w:t>Sum of Total Assets</w:t>
      </w:r>
      <w:r w:rsidRPr="00FC495C">
        <w:rPr>
          <w:rFonts w:ascii="Times New Roman" w:hAnsi="Times New Roman" w:cs="Times New Roman"/>
          <w:sz w:val="24"/>
          <w:szCs w:val="24"/>
        </w:rPr>
        <w:t>: This metric shows an overall increasing trend from 2018 to 2019, indicating that the value of assets held in these accounts was growing. However, there appears to be a slight plateau or a small decrease into 2020, which might imply a slowdown in asset accumulation or market fluctuations impacting asset values.</w:t>
      </w:r>
    </w:p>
    <w:p w14:paraId="48D98BBB" w14:textId="77777777" w:rsid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b/>
          <w:bCs/>
          <w:sz w:val="24"/>
          <w:szCs w:val="24"/>
        </w:rPr>
        <w:t xml:space="preserve">Sum of </w:t>
      </w:r>
      <w:proofErr w:type="spellStart"/>
      <w:proofErr w:type="gramStart"/>
      <w:r w:rsidRPr="00FC495C">
        <w:rPr>
          <w:rFonts w:ascii="Times New Roman" w:hAnsi="Times New Roman" w:cs="Times New Roman"/>
          <w:b/>
          <w:bCs/>
          <w:sz w:val="24"/>
          <w:szCs w:val="24"/>
        </w:rPr>
        <w:t>AvgInvestment</w:t>
      </w:r>
      <w:proofErr w:type="spellEnd"/>
      <w:r w:rsidRPr="00FC495C">
        <w:rPr>
          <w:rFonts w:ascii="Times New Roman" w:hAnsi="Times New Roman" w:cs="Times New Roman"/>
          <w:b/>
          <w:bCs/>
          <w:sz w:val="24"/>
          <w:szCs w:val="24"/>
        </w:rPr>
        <w:t xml:space="preserve"> </w:t>
      </w:r>
      <w:r w:rsidR="00FC495C" w:rsidRPr="00FC495C">
        <w:rPr>
          <w:rFonts w:ascii="Times New Roman" w:hAnsi="Times New Roman" w:cs="Times New Roman"/>
          <w:b/>
          <w:bCs/>
          <w:sz w:val="24"/>
          <w:szCs w:val="24"/>
        </w:rPr>
        <w:t>:</w:t>
      </w:r>
      <w:r w:rsidRPr="00FC495C">
        <w:rPr>
          <w:rFonts w:ascii="Times New Roman" w:hAnsi="Times New Roman" w:cs="Times New Roman"/>
          <w:sz w:val="24"/>
          <w:szCs w:val="24"/>
        </w:rPr>
        <w:t>This</w:t>
      </w:r>
      <w:proofErr w:type="gramEnd"/>
      <w:r w:rsidRPr="00FC495C">
        <w:rPr>
          <w:rFonts w:ascii="Times New Roman" w:hAnsi="Times New Roman" w:cs="Times New Roman"/>
          <w:sz w:val="24"/>
          <w:szCs w:val="24"/>
        </w:rPr>
        <w:t xml:space="preserve"> line appears relatively flat from 2018 to 2019 and possibly begins to dip slightly into 2020. The relatively stable line suggests that the average investment per account might not have changed significantly in the pre-elevation period or that any increases in investment were modest.</w:t>
      </w:r>
    </w:p>
    <w:p w14:paraId="045BD8AF" w14:textId="4DA54466" w:rsidR="00F91DB5" w:rsidRP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b/>
          <w:bCs/>
          <w:sz w:val="24"/>
          <w:szCs w:val="24"/>
        </w:rPr>
        <w:t>Sum of Total Cash</w:t>
      </w:r>
      <w:r w:rsidR="00FC495C">
        <w:rPr>
          <w:rFonts w:ascii="Times New Roman" w:hAnsi="Times New Roman" w:cs="Times New Roman"/>
          <w:sz w:val="24"/>
          <w:szCs w:val="24"/>
        </w:rPr>
        <w:t>:</w:t>
      </w:r>
      <w:r w:rsidRPr="00FC495C">
        <w:rPr>
          <w:rFonts w:ascii="Times New Roman" w:hAnsi="Times New Roman" w:cs="Times New Roman"/>
          <w:sz w:val="24"/>
          <w:szCs w:val="24"/>
        </w:rPr>
        <w:t xml:space="preserve"> This metric shows a relatively flat line across the years, with no significant increases or decreases. This suggests that the liquidity within the HSA accounts has remained relatively unchanged in the period leading up to the elevation event.</w:t>
      </w:r>
    </w:p>
    <w:p w14:paraId="3BEA9C38" w14:textId="77777777" w:rsidR="00FC495C" w:rsidRPr="00FC495C" w:rsidRDefault="00F91DB5" w:rsidP="00EE572D">
      <w:pPr>
        <w:tabs>
          <w:tab w:val="left" w:pos="2304"/>
        </w:tabs>
        <w:spacing w:line="480" w:lineRule="auto"/>
        <w:rPr>
          <w:rFonts w:ascii="Times New Roman" w:hAnsi="Times New Roman" w:cs="Times New Roman"/>
          <w:b/>
          <w:bCs/>
          <w:sz w:val="24"/>
          <w:szCs w:val="24"/>
        </w:rPr>
      </w:pPr>
      <w:r w:rsidRPr="00FC495C">
        <w:rPr>
          <w:rFonts w:ascii="Times New Roman" w:hAnsi="Times New Roman" w:cs="Times New Roman"/>
          <w:b/>
          <w:bCs/>
          <w:sz w:val="24"/>
          <w:szCs w:val="24"/>
        </w:rPr>
        <w:t xml:space="preserve">Key </w:t>
      </w:r>
      <w:r w:rsidR="00FC495C" w:rsidRPr="00FC495C">
        <w:rPr>
          <w:rFonts w:ascii="Times New Roman" w:hAnsi="Times New Roman" w:cs="Times New Roman"/>
          <w:b/>
          <w:bCs/>
          <w:sz w:val="24"/>
          <w:szCs w:val="24"/>
        </w:rPr>
        <w:t>Observations:</w:t>
      </w:r>
    </w:p>
    <w:p w14:paraId="380A3C6A" w14:textId="726DC85A" w:rsidR="00F91DB5" w:rsidRP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The number of HSA accounts was growing steadily, indicating </w:t>
      </w:r>
      <w:proofErr w:type="gramStart"/>
      <w:r w:rsidRPr="00FC495C">
        <w:rPr>
          <w:rFonts w:ascii="Times New Roman" w:hAnsi="Times New Roman" w:cs="Times New Roman"/>
          <w:sz w:val="24"/>
          <w:szCs w:val="24"/>
        </w:rPr>
        <w:t>increasing</w:t>
      </w:r>
      <w:proofErr w:type="gramEnd"/>
      <w:r w:rsidRPr="00FC495C">
        <w:rPr>
          <w:rFonts w:ascii="Times New Roman" w:hAnsi="Times New Roman" w:cs="Times New Roman"/>
          <w:sz w:val="24"/>
          <w:szCs w:val="24"/>
        </w:rPr>
        <w:t xml:space="preserve"> in the program.</w:t>
      </w:r>
    </w:p>
    <w:p w14:paraId="7BBC6E45" w14:textId="77777777" w:rsidR="00F91DB5" w:rsidRP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lastRenderedPageBreak/>
        <w:t>The total value of assets was initially growing but showed signs of leveling off or decreasing as it approached the elevation event, which could be an area to investigate further.</w:t>
      </w:r>
    </w:p>
    <w:p w14:paraId="76E60C2B" w14:textId="77777777" w:rsid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average investment per account did not show substantial growth, which could suggest either a steady state of investment behavior or that any efforts to increase investment had not taken effect yet.</w:t>
      </w:r>
      <w:r w:rsidR="00FC495C">
        <w:rPr>
          <w:rFonts w:ascii="Times New Roman" w:hAnsi="Times New Roman" w:cs="Times New Roman"/>
          <w:sz w:val="24"/>
          <w:szCs w:val="24"/>
        </w:rPr>
        <w:t xml:space="preserve"> </w:t>
      </w:r>
    </w:p>
    <w:p w14:paraId="36ADBD44" w14:textId="77777777" w:rsidR="00FC495C" w:rsidRDefault="00F91DB5"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total cash holdings in the accounts remained stable, which could imply that there were no significant changes in how account holders were managing their cash versus investment allocations during this period.</w:t>
      </w:r>
    </w:p>
    <w:p w14:paraId="6A0DBD2A" w14:textId="4FD4EDA5" w:rsidR="002F2D4C" w:rsidRPr="00F8146D" w:rsidRDefault="002F2D4C" w:rsidP="00EE572D">
      <w:pPr>
        <w:tabs>
          <w:tab w:val="left" w:pos="2304"/>
        </w:tabs>
        <w:spacing w:line="480" w:lineRule="auto"/>
        <w:rPr>
          <w:rFonts w:ascii="Times New Roman" w:hAnsi="Times New Roman" w:cs="Times New Roman"/>
          <w:b/>
          <w:bCs/>
          <w:sz w:val="24"/>
          <w:szCs w:val="24"/>
        </w:rPr>
      </w:pPr>
      <w:r w:rsidRPr="00FC495C">
        <w:rPr>
          <w:rFonts w:ascii="Times New Roman" w:hAnsi="Times New Roman" w:cs="Times New Roman"/>
          <w:b/>
          <w:bCs/>
          <w:sz w:val="24"/>
          <w:szCs w:val="24"/>
        </w:rPr>
        <w:t>Comparative Analysis</w:t>
      </w:r>
      <w:r w:rsidRPr="00FC495C">
        <w:rPr>
          <w:rFonts w:ascii="Times New Roman" w:hAnsi="Times New Roman" w:cs="Times New Roman"/>
          <w:sz w:val="24"/>
          <w:szCs w:val="24"/>
        </w:rPr>
        <w:t>:</w:t>
      </w:r>
      <w:r w:rsidRPr="00FC495C">
        <w:rPr>
          <w:rFonts w:ascii="Times New Roman" w:hAnsi="Times New Roman" w:cs="Times New Roman"/>
          <w:sz w:val="24"/>
          <w:szCs w:val="24"/>
        </w:rPr>
        <w:br/>
      </w:r>
      <w:r w:rsidRPr="00F8146D">
        <w:rPr>
          <w:rFonts w:ascii="Times New Roman" w:hAnsi="Times New Roman" w:cs="Times New Roman"/>
          <w:b/>
          <w:bCs/>
          <w:sz w:val="24"/>
          <w:szCs w:val="24"/>
        </w:rPr>
        <w:t>Pre-Elevation (Based on Interpretation of Previous Chart):</w:t>
      </w:r>
    </w:p>
    <w:p w14:paraId="3819E11F"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Sum of Accounts: Steady increase over the years, indicating growing participation.</w:t>
      </w:r>
    </w:p>
    <w:p w14:paraId="53DE31AF"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Sum of Total Assets: Increasing trend until it slightly plateaued or decreased in the final year.</w:t>
      </w:r>
    </w:p>
    <w:p w14:paraId="0E24F519"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Sum of </w:t>
      </w:r>
      <w:proofErr w:type="spellStart"/>
      <w:r w:rsidRPr="00FC495C">
        <w:rPr>
          <w:rFonts w:ascii="Times New Roman" w:hAnsi="Times New Roman" w:cs="Times New Roman"/>
          <w:sz w:val="24"/>
          <w:szCs w:val="24"/>
        </w:rPr>
        <w:t>AvgInvestment</w:t>
      </w:r>
      <w:proofErr w:type="spellEnd"/>
      <w:r w:rsidRPr="00FC495C">
        <w:rPr>
          <w:rFonts w:ascii="Times New Roman" w:hAnsi="Times New Roman" w:cs="Times New Roman"/>
          <w:sz w:val="24"/>
          <w:szCs w:val="24"/>
        </w:rPr>
        <w:t>: Relatively flat, suggesting investments per account remained stable.</w:t>
      </w:r>
    </w:p>
    <w:p w14:paraId="3ADB707D"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Sum of Total Cash: Also relatively flat, indicating liquidity within the accounts didn't change much.</w:t>
      </w:r>
    </w:p>
    <w:p w14:paraId="0F772BED" w14:textId="77777777" w:rsidR="002F2D4C" w:rsidRPr="00F8146D" w:rsidRDefault="002F2D4C" w:rsidP="00EE572D">
      <w:pPr>
        <w:tabs>
          <w:tab w:val="left" w:pos="2304"/>
        </w:tabs>
        <w:spacing w:line="480" w:lineRule="auto"/>
        <w:rPr>
          <w:rFonts w:ascii="Times New Roman" w:hAnsi="Times New Roman" w:cs="Times New Roman"/>
          <w:b/>
          <w:bCs/>
          <w:sz w:val="24"/>
          <w:szCs w:val="24"/>
        </w:rPr>
      </w:pPr>
      <w:r w:rsidRPr="00F8146D">
        <w:rPr>
          <w:rFonts w:ascii="Times New Roman" w:hAnsi="Times New Roman" w:cs="Times New Roman"/>
          <w:b/>
          <w:bCs/>
          <w:sz w:val="24"/>
          <w:szCs w:val="24"/>
        </w:rPr>
        <w:t>Post-Elevation (Based on Interpretation of Previous Chart):</w:t>
      </w:r>
    </w:p>
    <w:p w14:paraId="5A625D14"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Sum of Accounts: Sharp decline followed by a significant increase, suggesting an initial drop-off in participation after the elevation, but a strong recovery and growth thereafter.</w:t>
      </w:r>
    </w:p>
    <w:p w14:paraId="0A99B152"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lastRenderedPageBreak/>
        <w:t>Sum of Total Assets: Mirrored the accounts' trend with a decrease followed by a notable increase, indicating that the total value of assets was affected by the same factors influencing account openings.</w:t>
      </w:r>
    </w:p>
    <w:p w14:paraId="45343D3A"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Sum of Total Cash: Consistent growth, with a slight deceleration in the final year, showing increased liquidity.</w:t>
      </w:r>
    </w:p>
    <w:p w14:paraId="5234CEBD" w14:textId="77777777" w:rsidR="001662CB" w:rsidRDefault="001662CB" w:rsidP="00EE572D">
      <w:pPr>
        <w:tabs>
          <w:tab w:val="left" w:pos="2304"/>
        </w:tabs>
        <w:spacing w:line="480" w:lineRule="auto"/>
        <w:rPr>
          <w:rFonts w:ascii="Times New Roman" w:hAnsi="Times New Roman" w:cs="Times New Roman"/>
          <w:sz w:val="24"/>
          <w:szCs w:val="24"/>
        </w:rPr>
      </w:pPr>
    </w:p>
    <w:p w14:paraId="522837A4" w14:textId="77777777" w:rsidR="001662CB" w:rsidRDefault="001662CB" w:rsidP="00EE572D">
      <w:pPr>
        <w:tabs>
          <w:tab w:val="left" w:pos="2304"/>
        </w:tabs>
        <w:spacing w:line="480" w:lineRule="auto"/>
        <w:rPr>
          <w:rFonts w:ascii="Times New Roman" w:hAnsi="Times New Roman" w:cs="Times New Roman"/>
          <w:sz w:val="24"/>
          <w:szCs w:val="24"/>
        </w:rPr>
      </w:pPr>
    </w:p>
    <w:p w14:paraId="42D4EE3D" w14:textId="77777777" w:rsidR="001662CB" w:rsidRDefault="001662CB" w:rsidP="00EE572D">
      <w:pPr>
        <w:tabs>
          <w:tab w:val="left" w:pos="2304"/>
        </w:tabs>
        <w:spacing w:line="480" w:lineRule="auto"/>
        <w:rPr>
          <w:rFonts w:ascii="Times New Roman" w:hAnsi="Times New Roman" w:cs="Times New Roman"/>
          <w:sz w:val="24"/>
          <w:szCs w:val="24"/>
        </w:rPr>
      </w:pPr>
    </w:p>
    <w:p w14:paraId="755AED64" w14:textId="77777777" w:rsidR="001662CB" w:rsidRDefault="001662CB" w:rsidP="00EE572D">
      <w:pPr>
        <w:tabs>
          <w:tab w:val="left" w:pos="2304"/>
        </w:tabs>
        <w:spacing w:line="480" w:lineRule="auto"/>
        <w:rPr>
          <w:rFonts w:ascii="Times New Roman" w:hAnsi="Times New Roman" w:cs="Times New Roman"/>
          <w:sz w:val="24"/>
          <w:szCs w:val="24"/>
        </w:rPr>
      </w:pPr>
    </w:p>
    <w:p w14:paraId="34BD4C65" w14:textId="77777777" w:rsidR="001662CB" w:rsidRDefault="001662CB" w:rsidP="00EE572D">
      <w:pPr>
        <w:tabs>
          <w:tab w:val="left" w:pos="2304"/>
        </w:tabs>
        <w:spacing w:line="480" w:lineRule="auto"/>
        <w:rPr>
          <w:rFonts w:ascii="Times New Roman" w:hAnsi="Times New Roman" w:cs="Times New Roman"/>
          <w:sz w:val="24"/>
          <w:szCs w:val="24"/>
        </w:rPr>
      </w:pPr>
    </w:p>
    <w:p w14:paraId="001DBAE2" w14:textId="3C521A07" w:rsidR="002F2D4C" w:rsidRPr="001662CB" w:rsidRDefault="002F2D4C" w:rsidP="00EE572D">
      <w:pPr>
        <w:tabs>
          <w:tab w:val="left" w:pos="2304"/>
        </w:tabs>
        <w:spacing w:line="480" w:lineRule="auto"/>
        <w:rPr>
          <w:rFonts w:ascii="Times New Roman" w:hAnsi="Times New Roman" w:cs="Times New Roman"/>
          <w:b/>
          <w:bCs/>
          <w:sz w:val="24"/>
          <w:szCs w:val="24"/>
        </w:rPr>
      </w:pPr>
      <w:r w:rsidRPr="001662CB">
        <w:rPr>
          <w:rFonts w:ascii="Times New Roman" w:hAnsi="Times New Roman" w:cs="Times New Roman"/>
          <w:b/>
          <w:bCs/>
          <w:sz w:val="24"/>
          <w:szCs w:val="24"/>
        </w:rPr>
        <w:t>Final Findings and Pointers:</w:t>
      </w:r>
    </w:p>
    <w:p w14:paraId="3DC47AA8" w14:textId="77777777" w:rsidR="001662CB" w:rsidRDefault="002F2D4C"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Impact of Elevation</w:t>
      </w:r>
      <w:r w:rsidRPr="00FC495C">
        <w:rPr>
          <w:rFonts w:ascii="Times New Roman" w:hAnsi="Times New Roman" w:cs="Times New Roman"/>
          <w:sz w:val="24"/>
          <w:szCs w:val="24"/>
        </w:rPr>
        <w:t>: The post-elevation period exhibited more dramatic changes in metrics, with initial declines in both the number of accounts and total assets, but subsequent recoveries that exceeded pre-elevation levels. This could imply that any strategies implemented with the elevation may have taken time to bear fruit but ultimately led to positive outcomes.</w:t>
      </w:r>
    </w:p>
    <w:p w14:paraId="602C5B75" w14:textId="66D2BDB3" w:rsidR="002F2D4C" w:rsidRPr="00FC495C" w:rsidRDefault="002F2D4C"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Program Participation</w:t>
      </w:r>
      <w:r w:rsidRPr="00FC495C">
        <w:rPr>
          <w:rFonts w:ascii="Times New Roman" w:hAnsi="Times New Roman" w:cs="Times New Roman"/>
          <w:sz w:val="24"/>
          <w:szCs w:val="24"/>
        </w:rPr>
        <w:t>: The recovery and growth in the number of accounts post-elevation are particularly striking. It suggests that whatever dip occurred after the elevation was not only mitigated but reversed, leading to greater program participation than before.</w:t>
      </w:r>
    </w:p>
    <w:p w14:paraId="1F7B4597"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lastRenderedPageBreak/>
        <w:t>Asset Accumulation</w:t>
      </w:r>
      <w:r w:rsidRPr="00FC495C">
        <w:rPr>
          <w:rFonts w:ascii="Times New Roman" w:hAnsi="Times New Roman" w:cs="Times New Roman"/>
          <w:sz w:val="24"/>
          <w:szCs w:val="24"/>
        </w:rPr>
        <w:t>: The trends in total assets suggest a similar story. After a brief downturn, there was a significant uptick in assets, potentially due to a combination of new accounts, increased contributions, or positive market performance.</w:t>
      </w:r>
    </w:p>
    <w:p w14:paraId="6CD32083"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Investment Behavior</w:t>
      </w:r>
      <w:r w:rsidRPr="00FC495C">
        <w:rPr>
          <w:rFonts w:ascii="Times New Roman" w:hAnsi="Times New Roman" w:cs="Times New Roman"/>
          <w:sz w:val="24"/>
          <w:szCs w:val="24"/>
        </w:rPr>
        <w:t>: The post-elevation period showed more volatility in investments, which, when coupled with the growth in total assets, suggests that post-elevation account holders may be more actively investing or that investment options became more appealing or profitable.</w:t>
      </w:r>
    </w:p>
    <w:p w14:paraId="79C0CEFF"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Cash Holdings</w:t>
      </w:r>
      <w:r w:rsidRPr="00FC495C">
        <w:rPr>
          <w:rFonts w:ascii="Times New Roman" w:hAnsi="Times New Roman" w:cs="Times New Roman"/>
          <w:sz w:val="24"/>
          <w:szCs w:val="24"/>
        </w:rPr>
        <w:t>: The steady increase in total cash post-elevation versus the flat pre-elevation trend could indicate a shift in how account holders are managing their funds, possibly keeping more in cash as a safety net or due to changes in investment strategies.</w:t>
      </w:r>
    </w:p>
    <w:p w14:paraId="715F1CCB" w14:textId="77777777" w:rsidR="001662CB" w:rsidRDefault="001662CB" w:rsidP="00EE572D">
      <w:pPr>
        <w:tabs>
          <w:tab w:val="left" w:pos="2304"/>
        </w:tabs>
        <w:spacing w:line="480" w:lineRule="auto"/>
        <w:rPr>
          <w:rFonts w:ascii="Times New Roman" w:hAnsi="Times New Roman" w:cs="Times New Roman"/>
          <w:sz w:val="24"/>
          <w:szCs w:val="24"/>
        </w:rPr>
      </w:pPr>
    </w:p>
    <w:p w14:paraId="0B829368" w14:textId="77777777" w:rsidR="001662CB" w:rsidRDefault="001662CB" w:rsidP="00EE572D">
      <w:pPr>
        <w:tabs>
          <w:tab w:val="left" w:pos="2304"/>
        </w:tabs>
        <w:spacing w:line="480" w:lineRule="auto"/>
        <w:rPr>
          <w:rFonts w:ascii="Times New Roman" w:hAnsi="Times New Roman" w:cs="Times New Roman"/>
          <w:sz w:val="24"/>
          <w:szCs w:val="24"/>
        </w:rPr>
      </w:pPr>
    </w:p>
    <w:p w14:paraId="452E3AEA" w14:textId="77777777" w:rsidR="001662CB" w:rsidRDefault="001662CB" w:rsidP="00EE572D">
      <w:pPr>
        <w:tabs>
          <w:tab w:val="left" w:pos="2304"/>
        </w:tabs>
        <w:spacing w:line="480" w:lineRule="auto"/>
        <w:rPr>
          <w:rFonts w:ascii="Times New Roman" w:hAnsi="Times New Roman" w:cs="Times New Roman"/>
          <w:sz w:val="24"/>
          <w:szCs w:val="24"/>
        </w:rPr>
      </w:pPr>
    </w:p>
    <w:p w14:paraId="50D93DB8" w14:textId="77777777" w:rsidR="001662CB" w:rsidRDefault="001662CB" w:rsidP="00EE572D">
      <w:pPr>
        <w:tabs>
          <w:tab w:val="left" w:pos="2304"/>
        </w:tabs>
        <w:spacing w:line="480" w:lineRule="auto"/>
        <w:rPr>
          <w:rFonts w:ascii="Times New Roman" w:hAnsi="Times New Roman" w:cs="Times New Roman"/>
          <w:sz w:val="24"/>
          <w:szCs w:val="24"/>
        </w:rPr>
      </w:pPr>
    </w:p>
    <w:p w14:paraId="38073414" w14:textId="1996FF9F"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Strategic Implications:</w:t>
      </w:r>
    </w:p>
    <w:p w14:paraId="65034741"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data supports the notion that the elevation had a delayed but positive impact on both account growth and asset accumulation.</w:t>
      </w:r>
    </w:p>
    <w:p w14:paraId="49D17ABB" w14:textId="77777777" w:rsidR="002F2D4C"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Strategies to encourage account opening and investment, initiated at the time of elevation, should be studied to understand which were most effective and could be leveraged in the future.</w:t>
      </w:r>
    </w:p>
    <w:p w14:paraId="6F702C7E" w14:textId="77777777" w:rsidR="001662CB"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The initial downturns post-elevation </w:t>
      </w:r>
      <w:proofErr w:type="gramStart"/>
      <w:r w:rsidRPr="00FC495C">
        <w:rPr>
          <w:rFonts w:ascii="Times New Roman" w:hAnsi="Times New Roman" w:cs="Times New Roman"/>
          <w:sz w:val="24"/>
          <w:szCs w:val="24"/>
        </w:rPr>
        <w:t>highlight</w:t>
      </w:r>
      <w:proofErr w:type="gramEnd"/>
      <w:r w:rsidRPr="00FC495C">
        <w:rPr>
          <w:rFonts w:ascii="Times New Roman" w:hAnsi="Times New Roman" w:cs="Times New Roman"/>
          <w:sz w:val="24"/>
          <w:szCs w:val="24"/>
        </w:rPr>
        <w:t xml:space="preserve"> the need for careful change management and communication with stakeholders to manage expectations and mitigate short-term declines.</w:t>
      </w:r>
    </w:p>
    <w:p w14:paraId="17C6F01A" w14:textId="6C9223B7" w:rsidR="004837C0" w:rsidRPr="00FC495C" w:rsidRDefault="002F2D4C"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lastRenderedPageBreak/>
        <w:t xml:space="preserve">The overall positive trends post-elevation </w:t>
      </w:r>
      <w:proofErr w:type="gramStart"/>
      <w:r w:rsidRPr="00FC495C">
        <w:rPr>
          <w:rFonts w:ascii="Times New Roman" w:hAnsi="Times New Roman" w:cs="Times New Roman"/>
          <w:sz w:val="24"/>
          <w:szCs w:val="24"/>
        </w:rPr>
        <w:t>are</w:t>
      </w:r>
      <w:proofErr w:type="gramEnd"/>
      <w:r w:rsidRPr="00FC495C">
        <w:rPr>
          <w:rFonts w:ascii="Times New Roman" w:hAnsi="Times New Roman" w:cs="Times New Roman"/>
          <w:sz w:val="24"/>
          <w:szCs w:val="24"/>
        </w:rPr>
        <w:t xml:space="preserve"> encouraging signs that the elevation has strengthened the HSA program's position and should continue to be built upon.</w:t>
      </w:r>
      <w:r w:rsidR="00F91DB5" w:rsidRPr="00FC495C">
        <w:rPr>
          <w:rFonts w:ascii="Times New Roman" w:hAnsi="Times New Roman" w:cs="Times New Roman"/>
          <w:sz w:val="24"/>
          <w:szCs w:val="24"/>
        </w:rPr>
        <w:br/>
      </w:r>
    </w:p>
    <w:p w14:paraId="535547F7" w14:textId="77777777" w:rsidR="00F91DB5" w:rsidRPr="00FC495C" w:rsidRDefault="00F91DB5" w:rsidP="00EE572D">
      <w:pPr>
        <w:tabs>
          <w:tab w:val="left" w:pos="2304"/>
        </w:tabs>
        <w:spacing w:line="480" w:lineRule="auto"/>
        <w:rPr>
          <w:rFonts w:ascii="Times New Roman" w:hAnsi="Times New Roman" w:cs="Times New Roman"/>
          <w:sz w:val="24"/>
          <w:szCs w:val="24"/>
        </w:rPr>
      </w:pPr>
    </w:p>
    <w:p w14:paraId="6E51D7A5" w14:textId="77777777" w:rsidR="00EC28BD" w:rsidRPr="00FC495C" w:rsidRDefault="00EC28BD" w:rsidP="00EE572D">
      <w:pPr>
        <w:tabs>
          <w:tab w:val="left" w:pos="2304"/>
        </w:tabs>
        <w:spacing w:line="480" w:lineRule="auto"/>
        <w:rPr>
          <w:rFonts w:ascii="Times New Roman" w:hAnsi="Times New Roman" w:cs="Times New Roman"/>
          <w:sz w:val="24"/>
          <w:szCs w:val="24"/>
        </w:rPr>
      </w:pPr>
    </w:p>
    <w:p w14:paraId="169590A8" w14:textId="77777777" w:rsidR="00F57B51" w:rsidRDefault="001662CB"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noProof/>
          <w:sz w:val="24"/>
          <w:szCs w:val="24"/>
        </w:rPr>
        <w:drawing>
          <wp:inline distT="0" distB="0" distL="0" distR="0" wp14:anchorId="0E370C33" wp14:editId="665C1622">
            <wp:extent cx="5943600" cy="3161665"/>
            <wp:effectExtent l="0" t="0" r="0" b="635"/>
            <wp:docPr id="1021779934" name="Chart 1">
              <a:extLst xmlns:a="http://schemas.openxmlformats.org/drawingml/2006/main">
                <a:ext uri="{FF2B5EF4-FFF2-40B4-BE49-F238E27FC236}">
                  <a16:creationId xmlns:a16="http://schemas.microsoft.com/office/drawing/2014/main" id="{5DC1BD9B-A40D-2D10-DD63-C97E4A8F23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29E4A8"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4FC200BB"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66A87B7C"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62EE34A9"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79B38974"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49ED7F94"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72972C8C" w14:textId="77AD2EE8" w:rsidR="00105676" w:rsidRPr="00F57B51" w:rsidRDefault="00105676" w:rsidP="00EE572D">
      <w:pPr>
        <w:tabs>
          <w:tab w:val="left" w:pos="2304"/>
        </w:tabs>
        <w:spacing w:line="480" w:lineRule="auto"/>
        <w:rPr>
          <w:rFonts w:ascii="Times New Roman" w:hAnsi="Times New Roman" w:cs="Times New Roman"/>
          <w:sz w:val="24"/>
          <w:szCs w:val="24"/>
        </w:rPr>
      </w:pPr>
      <w:r w:rsidRPr="00FC495C">
        <w:rPr>
          <w:rFonts w:ascii="Times New Roman" w:eastAsia="Times New Roman" w:hAnsi="Times New Roman" w:cs="Times New Roman"/>
          <w:b/>
          <w:bCs/>
          <w:color w:val="222222"/>
          <w:kern w:val="0"/>
          <w:sz w:val="24"/>
          <w:szCs w:val="24"/>
          <w14:ligatures w14:val="none"/>
        </w:rPr>
        <w:lastRenderedPageBreak/>
        <w:t>What key given (or derived) parameters would you recommend using to assess this improvement?  Why?</w:t>
      </w:r>
    </w:p>
    <w:p w14:paraId="6C36E3C4" w14:textId="77777777" w:rsidR="001662CB" w:rsidRPr="00FC495C" w:rsidRDefault="001662CB"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Rationale for Chosen Factors:</w:t>
      </w:r>
    </w:p>
    <w:p w14:paraId="639E5996" w14:textId="77777777" w:rsidR="001662CB" w:rsidRPr="00FC495C" w:rsidRDefault="001662CB"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Number of Accounts</w:t>
      </w:r>
      <w:r w:rsidRPr="00FC495C">
        <w:rPr>
          <w:rFonts w:ascii="Times New Roman" w:hAnsi="Times New Roman" w:cs="Times New Roman"/>
          <w:sz w:val="24"/>
          <w:szCs w:val="24"/>
        </w:rPr>
        <w:t>: This is a direct measure of participation in the HSA program and can reflect the impact of elevation strategies on enrollment.</w:t>
      </w:r>
    </w:p>
    <w:p w14:paraId="1A51C5D0" w14:textId="009D62BB" w:rsidR="001662CB" w:rsidRPr="00FC495C" w:rsidRDefault="001662CB"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Total Cash and Total Assets</w:t>
      </w:r>
      <w:r w:rsidRPr="001662CB">
        <w:rPr>
          <w:rFonts w:ascii="Times New Roman" w:hAnsi="Times New Roman" w:cs="Times New Roman"/>
          <w:sz w:val="24"/>
          <w:szCs w:val="24"/>
        </w:rPr>
        <w:t xml:space="preserve"> </w:t>
      </w:r>
      <w:r w:rsidRPr="00FC495C">
        <w:rPr>
          <w:rFonts w:ascii="Times New Roman" w:hAnsi="Times New Roman" w:cs="Times New Roman"/>
          <w:sz w:val="24"/>
          <w:szCs w:val="24"/>
        </w:rPr>
        <w:t>These are key indicators of financial health for the program, showing not just how much money is being put into the HSAs, but also the growth of those funds, potentially through investments.</w:t>
      </w:r>
    </w:p>
    <w:p w14:paraId="0A58E5CF" w14:textId="52FDE2C8" w:rsidR="001662CB" w:rsidRDefault="001662CB"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Average Member Contribution</w:t>
      </w:r>
      <w:r w:rsidRPr="00FC495C">
        <w:rPr>
          <w:rFonts w:ascii="Times New Roman" w:hAnsi="Times New Roman" w:cs="Times New Roman"/>
          <w:sz w:val="24"/>
          <w:szCs w:val="24"/>
        </w:rPr>
        <w:t>: While the sums are relatively small, this metric can reflect the average user's behavior towards saving within the HSA program, and any increase is indicative of heightened individual engagement</w:t>
      </w:r>
      <w:r>
        <w:rPr>
          <w:rFonts w:ascii="Times New Roman" w:hAnsi="Times New Roman" w:cs="Times New Roman"/>
          <w:sz w:val="24"/>
          <w:szCs w:val="24"/>
        </w:rPr>
        <w:t>.</w:t>
      </w:r>
    </w:p>
    <w:p w14:paraId="69325EF1" w14:textId="77777777" w:rsidR="001662CB" w:rsidRPr="00FC495C" w:rsidRDefault="001662CB" w:rsidP="00EE572D">
      <w:pPr>
        <w:tabs>
          <w:tab w:val="left" w:pos="2304"/>
        </w:tabs>
        <w:spacing w:line="480" w:lineRule="auto"/>
        <w:rPr>
          <w:rFonts w:ascii="Times New Roman" w:hAnsi="Times New Roman" w:cs="Times New Roman"/>
          <w:sz w:val="24"/>
          <w:szCs w:val="24"/>
        </w:rPr>
      </w:pPr>
      <w:r w:rsidRPr="001662CB">
        <w:rPr>
          <w:rFonts w:ascii="Times New Roman" w:hAnsi="Times New Roman" w:cs="Times New Roman"/>
          <w:b/>
          <w:bCs/>
          <w:sz w:val="24"/>
          <w:szCs w:val="24"/>
        </w:rPr>
        <w:t>Total Payroll Contributions</w:t>
      </w:r>
      <w:r w:rsidRPr="00FC495C">
        <w:rPr>
          <w:rFonts w:ascii="Times New Roman" w:hAnsi="Times New Roman" w:cs="Times New Roman"/>
          <w:sz w:val="24"/>
          <w:szCs w:val="24"/>
        </w:rPr>
        <w:t>: As a common method for funding HSAs, payroll contributions are a robust measure of how actively employed individuals are using the HSA program.</w:t>
      </w:r>
    </w:p>
    <w:p w14:paraId="2F61EB92" w14:textId="77777777" w:rsidR="00F57B51" w:rsidRDefault="00F57B51" w:rsidP="00EE572D">
      <w:pPr>
        <w:tabs>
          <w:tab w:val="left" w:pos="2304"/>
        </w:tabs>
        <w:spacing w:line="480" w:lineRule="auto"/>
        <w:rPr>
          <w:rFonts w:ascii="Times New Roman" w:hAnsi="Times New Roman" w:cs="Times New Roman"/>
          <w:sz w:val="24"/>
          <w:szCs w:val="24"/>
        </w:rPr>
      </w:pPr>
    </w:p>
    <w:p w14:paraId="22AE6A93" w14:textId="77777777" w:rsidR="00F57B51" w:rsidRDefault="001662CB"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chosen metrics collectively provide a comprehensive view of the program's performance, capturing both growth in participation (number of accounts) and financial health (total cash and assets), as well as participant engagement (contribution levels). Each factor contributes to understanding different aspects of the program's success and areas for potential improvement. Understanding fluctuations in these metrics can guide strategic decisions to enhance program offerings, tailor communication and education efforts, and adjust investment options to better meet participant needs.</w:t>
      </w:r>
    </w:p>
    <w:p w14:paraId="604B4EE5" w14:textId="6F72D04F" w:rsidR="00105676" w:rsidRPr="00F57B51" w:rsidRDefault="00105676" w:rsidP="00EE572D">
      <w:pPr>
        <w:tabs>
          <w:tab w:val="left" w:pos="2304"/>
        </w:tabs>
        <w:spacing w:line="480" w:lineRule="auto"/>
        <w:rPr>
          <w:rFonts w:ascii="Times New Roman" w:hAnsi="Times New Roman" w:cs="Times New Roman"/>
          <w:b/>
          <w:bCs/>
          <w:sz w:val="24"/>
          <w:szCs w:val="24"/>
        </w:rPr>
      </w:pPr>
      <w:r w:rsidRPr="00F57B51">
        <w:rPr>
          <w:rFonts w:ascii="Times New Roman" w:hAnsi="Times New Roman" w:cs="Times New Roman"/>
          <w:b/>
          <w:bCs/>
          <w:sz w:val="24"/>
          <w:szCs w:val="24"/>
        </w:rPr>
        <w:lastRenderedPageBreak/>
        <w:t>Key Findings:</w:t>
      </w:r>
    </w:p>
    <w:p w14:paraId="61881EBB" w14:textId="77777777"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Growth in participation is evidenced by the increasing number of accounts.</w:t>
      </w:r>
    </w:p>
    <w:p w14:paraId="3E0FDDC0" w14:textId="77777777"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Asset accumulation has been significant, although the recent declines warrant investigation into market conditions or programmatic changes.</w:t>
      </w:r>
    </w:p>
    <w:p w14:paraId="01BAE539" w14:textId="77777777"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Contributions show volatility, particularly payroll contributions, which may be influenced by employment rates, wage changes, or program incentives.</w:t>
      </w:r>
    </w:p>
    <w:p w14:paraId="79F86058" w14:textId="77777777"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decline in average member contributions could reflect broader economic conditions, changes in the incentive structure, or shifts in participant demographics.</w:t>
      </w:r>
    </w:p>
    <w:p w14:paraId="20E2B035" w14:textId="77777777" w:rsidR="00105676" w:rsidRPr="00FC495C" w:rsidRDefault="00105676" w:rsidP="00EE572D">
      <w:pPr>
        <w:tabs>
          <w:tab w:val="left" w:pos="2304"/>
        </w:tabs>
        <w:spacing w:line="480" w:lineRule="auto"/>
        <w:rPr>
          <w:rFonts w:ascii="Times New Roman" w:hAnsi="Times New Roman" w:cs="Times New Roman"/>
          <w:sz w:val="24"/>
          <w:szCs w:val="24"/>
        </w:rPr>
      </w:pPr>
    </w:p>
    <w:p w14:paraId="00769567" w14:textId="7136236B"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noProof/>
          <w:sz w:val="24"/>
          <w:szCs w:val="24"/>
        </w:rPr>
        <w:drawing>
          <wp:inline distT="0" distB="0" distL="0" distR="0" wp14:anchorId="44F9B49C" wp14:editId="32B482A4">
            <wp:extent cx="5943600" cy="3343275"/>
            <wp:effectExtent l="0" t="0" r="0" b="9525"/>
            <wp:docPr id="8748750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75074" name="Picture 1" descr="A screenshot of a graph&#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17A30507" w14:textId="77777777" w:rsidR="00105676" w:rsidRPr="00FC495C" w:rsidRDefault="00105676" w:rsidP="00EE572D">
      <w:pPr>
        <w:tabs>
          <w:tab w:val="left" w:pos="2304"/>
        </w:tabs>
        <w:spacing w:line="480" w:lineRule="auto"/>
        <w:rPr>
          <w:rFonts w:ascii="Times New Roman" w:hAnsi="Times New Roman" w:cs="Times New Roman"/>
          <w:sz w:val="24"/>
          <w:szCs w:val="24"/>
        </w:rPr>
      </w:pPr>
    </w:p>
    <w:p w14:paraId="378F27E3" w14:textId="77777777" w:rsidR="00F57B51" w:rsidRDefault="00F57B51" w:rsidP="00EE572D">
      <w:pPr>
        <w:tabs>
          <w:tab w:val="left" w:pos="2304"/>
        </w:tabs>
        <w:spacing w:line="480" w:lineRule="auto"/>
        <w:rPr>
          <w:rFonts w:ascii="Times New Roman" w:hAnsi="Times New Roman" w:cs="Times New Roman"/>
          <w:sz w:val="24"/>
          <w:szCs w:val="24"/>
        </w:rPr>
      </w:pPr>
    </w:p>
    <w:p w14:paraId="530381B1" w14:textId="183B5741" w:rsidR="00105676" w:rsidRPr="00FC495C" w:rsidRDefault="00105676" w:rsidP="00EE572D">
      <w:pPr>
        <w:tabs>
          <w:tab w:val="left" w:pos="2304"/>
        </w:tabs>
        <w:spacing w:line="480" w:lineRule="auto"/>
        <w:rPr>
          <w:rFonts w:ascii="Times New Roman" w:hAnsi="Times New Roman" w:cs="Times New Roman"/>
          <w:sz w:val="24"/>
          <w:szCs w:val="24"/>
        </w:rPr>
      </w:pPr>
      <w:r w:rsidRPr="00F57B51">
        <w:rPr>
          <w:rFonts w:ascii="Times New Roman" w:hAnsi="Times New Roman" w:cs="Times New Roman"/>
          <w:b/>
          <w:bCs/>
          <w:sz w:val="24"/>
          <w:szCs w:val="24"/>
        </w:rPr>
        <w:t>Conclusion</w:t>
      </w:r>
      <w:r w:rsidRPr="00FC495C">
        <w:rPr>
          <w:rFonts w:ascii="Times New Roman" w:hAnsi="Times New Roman" w:cs="Times New Roman"/>
          <w:sz w:val="24"/>
          <w:szCs w:val="24"/>
        </w:rPr>
        <w:t>:</w:t>
      </w:r>
    </w:p>
    <w:p w14:paraId="21725981" w14:textId="0F6DDEE4" w:rsidR="00105676" w:rsidRPr="00FC495C" w:rsidRDefault="00105676"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The data suggests that the HSA program saw significant improvements in both participation and financial metrics post-elevation. This could indicate that the elevation program has successfully enhanced the attractiveness and utility of the HSAs, leading to more accounts being opened, higher contributions, and an increase in total asset value. It is important to continue monitoring these trends to ensure sustained growth and to adjust strategies as necessary to maintain or improve these positive outcomes.</w:t>
      </w:r>
      <w:r w:rsidR="00EE3573">
        <w:rPr>
          <w:rFonts w:ascii="Times New Roman" w:hAnsi="Times New Roman" w:cs="Times New Roman"/>
          <w:sz w:val="24"/>
          <w:szCs w:val="24"/>
        </w:rPr>
        <w:br/>
      </w:r>
      <w:r w:rsidR="00EE3573">
        <w:rPr>
          <w:rFonts w:ascii="Times New Roman" w:hAnsi="Times New Roman" w:cs="Times New Roman"/>
          <w:sz w:val="24"/>
          <w:szCs w:val="24"/>
        </w:rPr>
        <w:br/>
      </w:r>
      <w:r w:rsidR="00EE3573" w:rsidRPr="00EE3573">
        <w:rPr>
          <w:rFonts w:ascii="Times New Roman" w:hAnsi="Times New Roman" w:cs="Times New Roman"/>
          <w:color w:val="0D0D0D"/>
          <w:sz w:val="24"/>
          <w:szCs w:val="24"/>
          <w:shd w:val="clear" w:color="auto" w:fill="FFFFFF"/>
        </w:rPr>
        <w:t xml:space="preserve">By examining the correlations between these metrics, we can uncover interdependencies and their collective impact on financial health. For instance, a positive correlation between 'Sum of Total Assets' and 'Sum of Total Cash' would underscore a balanced growth trajectory, while the relationship between 'Sum of Accounts' and 'Sum of </w:t>
      </w:r>
      <w:proofErr w:type="spellStart"/>
      <w:r w:rsidR="00EE3573" w:rsidRPr="00EE3573">
        <w:rPr>
          <w:rFonts w:ascii="Times New Roman" w:hAnsi="Times New Roman" w:cs="Times New Roman"/>
          <w:color w:val="0D0D0D"/>
          <w:sz w:val="24"/>
          <w:szCs w:val="24"/>
          <w:shd w:val="clear" w:color="auto" w:fill="FFFFFF"/>
        </w:rPr>
        <w:t>AvgMemberCont</w:t>
      </w:r>
      <w:proofErr w:type="spellEnd"/>
      <w:r w:rsidR="00EE3573" w:rsidRPr="00EE3573">
        <w:rPr>
          <w:rFonts w:ascii="Times New Roman" w:hAnsi="Times New Roman" w:cs="Times New Roman"/>
          <w:color w:val="0D0D0D"/>
          <w:sz w:val="24"/>
          <w:szCs w:val="24"/>
          <w:shd w:val="clear" w:color="auto" w:fill="FFFFFF"/>
        </w:rPr>
        <w:t>' could reveal how member engagement influences financial expansion.</w:t>
      </w:r>
    </w:p>
    <w:p w14:paraId="0E82C889" w14:textId="15C7E8EF" w:rsidR="00105676" w:rsidRPr="00FC495C" w:rsidRDefault="00105676" w:rsidP="00EE572D">
      <w:pPr>
        <w:tabs>
          <w:tab w:val="left" w:pos="2304"/>
        </w:tabs>
        <w:spacing w:line="480" w:lineRule="auto"/>
        <w:rPr>
          <w:rFonts w:ascii="Times New Roman" w:hAnsi="Times New Roman" w:cs="Times New Roman"/>
          <w:sz w:val="24"/>
          <w:szCs w:val="24"/>
        </w:rPr>
      </w:pPr>
    </w:p>
    <w:p w14:paraId="33B2B2A0" w14:textId="150DB08E" w:rsidR="00E1470F" w:rsidRPr="00FC495C" w:rsidRDefault="00F57B51"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noProof/>
          <w:sz w:val="24"/>
          <w:szCs w:val="24"/>
        </w:rPr>
        <w:drawing>
          <wp:inline distT="0" distB="0" distL="0" distR="0" wp14:anchorId="493AF82D" wp14:editId="0FF4E056">
            <wp:extent cx="5943600" cy="2153285"/>
            <wp:effectExtent l="0" t="0" r="0" b="0"/>
            <wp:docPr id="1226676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6129" name="Picture 1" descr="A screenshot of a computer&#10;&#10;Description automatically generated"/>
                    <pic:cNvPicPr/>
                  </pic:nvPicPr>
                  <pic:blipFill>
                    <a:blip r:embed="rId11"/>
                    <a:stretch>
                      <a:fillRect/>
                    </a:stretch>
                  </pic:blipFill>
                  <pic:spPr>
                    <a:xfrm>
                      <a:off x="0" y="0"/>
                      <a:ext cx="5943600" cy="2153285"/>
                    </a:xfrm>
                    <a:prstGeom prst="rect">
                      <a:avLst/>
                    </a:prstGeom>
                  </pic:spPr>
                </pic:pic>
              </a:graphicData>
            </a:graphic>
          </wp:inline>
        </w:drawing>
      </w:r>
    </w:p>
    <w:p w14:paraId="7EEF7AC8"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558224D0"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163B7A5C"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490EBBCA" w14:textId="77777777" w:rsidR="00573A28" w:rsidRDefault="00573A28"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p>
    <w:p w14:paraId="3E71A2DF" w14:textId="02D1E36F" w:rsidR="00E1470F" w:rsidRDefault="00E1470F" w:rsidP="00EE572D">
      <w:pPr>
        <w:tabs>
          <w:tab w:val="left" w:pos="2304"/>
        </w:tabs>
        <w:spacing w:line="480" w:lineRule="auto"/>
        <w:rPr>
          <w:rFonts w:ascii="Times New Roman" w:eastAsia="Times New Roman" w:hAnsi="Times New Roman" w:cs="Times New Roman"/>
          <w:b/>
          <w:bCs/>
          <w:color w:val="222222"/>
          <w:kern w:val="0"/>
          <w:sz w:val="24"/>
          <w:szCs w:val="24"/>
          <w14:ligatures w14:val="none"/>
        </w:rPr>
      </w:pPr>
      <w:r w:rsidRPr="00FC495C">
        <w:rPr>
          <w:rFonts w:ascii="Times New Roman" w:eastAsia="Times New Roman" w:hAnsi="Times New Roman" w:cs="Times New Roman"/>
          <w:b/>
          <w:bCs/>
          <w:color w:val="222222"/>
          <w:kern w:val="0"/>
          <w:sz w:val="24"/>
          <w:szCs w:val="24"/>
          <w14:ligatures w14:val="none"/>
        </w:rPr>
        <w:t>How does this improvement vary by industry?</w:t>
      </w:r>
    </w:p>
    <w:p w14:paraId="50EDB010" w14:textId="7A8DD3D2" w:rsidR="00F347FA" w:rsidRPr="00FC495C" w:rsidRDefault="00044B5A" w:rsidP="00EE572D">
      <w:pPr>
        <w:tabs>
          <w:tab w:val="left" w:pos="2304"/>
        </w:tabs>
        <w:spacing w:line="480" w:lineRule="auto"/>
        <w:rPr>
          <w:rFonts w:ascii="Times New Roman" w:hAnsi="Times New Roman" w:cs="Times New Roman"/>
          <w:sz w:val="24"/>
          <w:szCs w:val="24"/>
        </w:rPr>
      </w:pPr>
      <w:r>
        <w:rPr>
          <w:noProof/>
        </w:rPr>
        <w:drawing>
          <wp:inline distT="0" distB="0" distL="0" distR="0" wp14:anchorId="2E041959" wp14:editId="40E0C2F3">
            <wp:extent cx="6580909" cy="3814445"/>
            <wp:effectExtent l="0" t="0" r="10795" b="14605"/>
            <wp:docPr id="824508307" name="Chart 1">
              <a:extLst xmlns:a="http://schemas.openxmlformats.org/drawingml/2006/main">
                <a:ext uri="{FF2B5EF4-FFF2-40B4-BE49-F238E27FC236}">
                  <a16:creationId xmlns:a16="http://schemas.microsoft.com/office/drawing/2014/main" id="{7554A233-6BB0-B58F-7025-1052E580F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b/>
          <w:bCs/>
          <w:sz w:val="24"/>
          <w:szCs w:val="24"/>
        </w:rPr>
        <w:br/>
      </w:r>
      <w:r w:rsidR="00F347FA" w:rsidRPr="00044B5A">
        <w:rPr>
          <w:rFonts w:ascii="Times New Roman" w:hAnsi="Times New Roman" w:cs="Times New Roman"/>
          <w:b/>
          <w:bCs/>
          <w:sz w:val="24"/>
          <w:szCs w:val="24"/>
        </w:rPr>
        <w:t>Pre-Elevation Insights</w:t>
      </w:r>
      <w:r w:rsidR="00F347FA" w:rsidRPr="00FC495C">
        <w:rPr>
          <w:rFonts w:ascii="Times New Roman" w:hAnsi="Times New Roman" w:cs="Times New Roman"/>
          <w:sz w:val="24"/>
          <w:szCs w:val="24"/>
        </w:rPr>
        <w:t xml:space="preserve">: </w:t>
      </w:r>
    </w:p>
    <w:p w14:paraId="4988405C" w14:textId="2B86AE4F"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High Tech and Financial </w:t>
      </w:r>
      <w:proofErr w:type="gramStart"/>
      <w:r w:rsidRPr="00FC495C">
        <w:rPr>
          <w:rFonts w:ascii="Times New Roman" w:hAnsi="Times New Roman" w:cs="Times New Roman"/>
          <w:sz w:val="24"/>
          <w:szCs w:val="24"/>
        </w:rPr>
        <w:t>industries  showed</w:t>
      </w:r>
      <w:proofErr w:type="gramEnd"/>
      <w:r w:rsidRPr="00FC495C">
        <w:rPr>
          <w:rFonts w:ascii="Times New Roman" w:hAnsi="Times New Roman" w:cs="Times New Roman"/>
          <w:sz w:val="24"/>
          <w:szCs w:val="24"/>
        </w:rPr>
        <w:t xml:space="preserve"> the most substantial asset base pre-elevation.</w:t>
      </w:r>
    </w:p>
    <w:p w14:paraId="0B19EE81" w14:textId="67BAA219"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Hospitality and Retail </w:t>
      </w:r>
      <w:proofErr w:type="gramStart"/>
      <w:r w:rsidRPr="00FC495C">
        <w:rPr>
          <w:rFonts w:ascii="Times New Roman" w:hAnsi="Times New Roman" w:cs="Times New Roman"/>
          <w:sz w:val="24"/>
          <w:szCs w:val="24"/>
        </w:rPr>
        <w:t>industries  had</w:t>
      </w:r>
      <w:proofErr w:type="gramEnd"/>
      <w:r w:rsidRPr="00FC495C">
        <w:rPr>
          <w:rFonts w:ascii="Times New Roman" w:hAnsi="Times New Roman" w:cs="Times New Roman"/>
          <w:sz w:val="24"/>
          <w:szCs w:val="24"/>
        </w:rPr>
        <w:t xml:space="preserve"> the smallest number of accounts and total assets, indicating less participation or smaller scale within these sectors.</w:t>
      </w:r>
    </w:p>
    <w:p w14:paraId="7CDF7F9C" w14:textId="6A64AFAA"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lastRenderedPageBreak/>
        <w:t xml:space="preserve">-  Average Member </w:t>
      </w:r>
      <w:proofErr w:type="gramStart"/>
      <w:r w:rsidRPr="00FC495C">
        <w:rPr>
          <w:rFonts w:ascii="Times New Roman" w:hAnsi="Times New Roman" w:cs="Times New Roman"/>
          <w:sz w:val="24"/>
          <w:szCs w:val="24"/>
        </w:rPr>
        <w:t>Contributions  were</w:t>
      </w:r>
      <w:proofErr w:type="gramEnd"/>
      <w:r w:rsidRPr="00FC495C">
        <w:rPr>
          <w:rFonts w:ascii="Times New Roman" w:hAnsi="Times New Roman" w:cs="Times New Roman"/>
          <w:sz w:val="24"/>
          <w:szCs w:val="24"/>
        </w:rPr>
        <w:t xml:space="preserve"> relatively higher in industries like Financial and High Tech, which could suggest higher income levels or better engagement with HSA benefits.</w:t>
      </w:r>
    </w:p>
    <w:p w14:paraId="252F7F15" w14:textId="28A11C26"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Total Payroll </w:t>
      </w:r>
      <w:proofErr w:type="gramStart"/>
      <w:r w:rsidRPr="00FC495C">
        <w:rPr>
          <w:rFonts w:ascii="Times New Roman" w:hAnsi="Times New Roman" w:cs="Times New Roman"/>
          <w:sz w:val="24"/>
          <w:szCs w:val="24"/>
        </w:rPr>
        <w:t>Contributions  were</w:t>
      </w:r>
      <w:proofErr w:type="gramEnd"/>
      <w:r w:rsidRPr="00FC495C">
        <w:rPr>
          <w:rFonts w:ascii="Times New Roman" w:hAnsi="Times New Roman" w:cs="Times New Roman"/>
          <w:sz w:val="24"/>
          <w:szCs w:val="24"/>
        </w:rPr>
        <w:t xml:space="preserve"> significantly higher in industries like Financial and High Tech, potentially reflecting both higher employment numbers and a stronger culture of health savings.</w:t>
      </w:r>
    </w:p>
    <w:p w14:paraId="4F07DE9E" w14:textId="41B9BE63" w:rsidR="00F347FA" w:rsidRPr="00FC495C" w:rsidRDefault="00F347FA" w:rsidP="00EE572D">
      <w:pPr>
        <w:tabs>
          <w:tab w:val="left" w:pos="2304"/>
        </w:tabs>
        <w:spacing w:line="480" w:lineRule="auto"/>
        <w:rPr>
          <w:rFonts w:ascii="Times New Roman" w:hAnsi="Times New Roman" w:cs="Times New Roman"/>
          <w:sz w:val="24"/>
          <w:szCs w:val="24"/>
        </w:rPr>
      </w:pPr>
      <w:r w:rsidRPr="00044B5A">
        <w:rPr>
          <w:rFonts w:ascii="Times New Roman" w:hAnsi="Times New Roman" w:cs="Times New Roman"/>
          <w:b/>
          <w:bCs/>
          <w:sz w:val="24"/>
          <w:szCs w:val="24"/>
        </w:rPr>
        <w:t>Post-Elevation Insights</w:t>
      </w:r>
      <w:r w:rsidRPr="00FC495C">
        <w:rPr>
          <w:rFonts w:ascii="Times New Roman" w:hAnsi="Times New Roman" w:cs="Times New Roman"/>
          <w:sz w:val="24"/>
          <w:szCs w:val="24"/>
        </w:rPr>
        <w:t>:</w:t>
      </w:r>
    </w:p>
    <w:p w14:paraId="7BF42BE3" w14:textId="77777777"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There's a general increase across all industries in both the number of accounts and total assets post-elevation, suggesting a broad positive impact of the elevation strategy.</w:t>
      </w:r>
    </w:p>
    <w:p w14:paraId="61449128" w14:textId="45B69264"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w:t>
      </w:r>
      <w:proofErr w:type="gramStart"/>
      <w:r w:rsidRPr="00FC495C">
        <w:rPr>
          <w:rFonts w:ascii="Times New Roman" w:hAnsi="Times New Roman" w:cs="Times New Roman"/>
          <w:sz w:val="24"/>
          <w:szCs w:val="24"/>
        </w:rPr>
        <w:t>The  High</w:t>
      </w:r>
      <w:proofErr w:type="gramEnd"/>
      <w:r w:rsidRPr="00FC495C">
        <w:rPr>
          <w:rFonts w:ascii="Times New Roman" w:hAnsi="Times New Roman" w:cs="Times New Roman"/>
          <w:sz w:val="24"/>
          <w:szCs w:val="24"/>
        </w:rPr>
        <w:t xml:space="preserve"> Tech industry  sees a remarkable rise in assets, which could be attributed to higher investment rates or larger contributions per account.</w:t>
      </w:r>
    </w:p>
    <w:p w14:paraId="1E81A8BD" w14:textId="2DBD3923"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Industrial and </w:t>
      </w:r>
      <w:proofErr w:type="gramStart"/>
      <w:r w:rsidRPr="00FC495C">
        <w:rPr>
          <w:rFonts w:ascii="Times New Roman" w:hAnsi="Times New Roman" w:cs="Times New Roman"/>
          <w:sz w:val="24"/>
          <w:szCs w:val="24"/>
        </w:rPr>
        <w:t>Aerospace  sectors</w:t>
      </w:r>
      <w:proofErr w:type="gramEnd"/>
      <w:r w:rsidRPr="00FC495C">
        <w:rPr>
          <w:rFonts w:ascii="Times New Roman" w:hAnsi="Times New Roman" w:cs="Times New Roman"/>
          <w:sz w:val="24"/>
          <w:szCs w:val="24"/>
        </w:rPr>
        <w:t xml:space="preserve"> show a notable increase in total assets, possibly reflecting specific industry-focused initiatives or successful engagement strategies post-elevation.</w:t>
      </w:r>
    </w:p>
    <w:p w14:paraId="17B1A3DC" w14:textId="3783E876" w:rsidR="00F347FA" w:rsidRPr="00FC495C" w:rsidRDefault="00F347FA" w:rsidP="00EE572D">
      <w:pPr>
        <w:tabs>
          <w:tab w:val="left" w:pos="2304"/>
        </w:tabs>
        <w:spacing w:line="480" w:lineRule="auto"/>
        <w:rPr>
          <w:rFonts w:ascii="Times New Roman" w:hAnsi="Times New Roman" w:cs="Times New Roman"/>
          <w:sz w:val="24"/>
          <w:szCs w:val="24"/>
        </w:rPr>
      </w:pPr>
      <w:r w:rsidRPr="00044B5A">
        <w:rPr>
          <w:rFonts w:ascii="Times New Roman" w:hAnsi="Times New Roman" w:cs="Times New Roman"/>
          <w:b/>
          <w:bCs/>
          <w:sz w:val="24"/>
          <w:szCs w:val="24"/>
        </w:rPr>
        <w:t>Comparative Analysis</w:t>
      </w:r>
      <w:r w:rsidRPr="00FC495C">
        <w:rPr>
          <w:rFonts w:ascii="Times New Roman" w:hAnsi="Times New Roman" w:cs="Times New Roman"/>
          <w:sz w:val="24"/>
          <w:szCs w:val="24"/>
        </w:rPr>
        <w:t xml:space="preserve">: </w:t>
      </w:r>
    </w:p>
    <w:p w14:paraId="14E7EE3D" w14:textId="77777777"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Comparing pre- and post-elevation figures, nearly every industry experienced growth in accounts and assets, with the most significant increases in sectors that already had strong pre-elevation numbers. This could indicate that industries with established HSA programs were better positioned to capitalize on the elevation efforts.</w:t>
      </w:r>
    </w:p>
    <w:p w14:paraId="20AB604C" w14:textId="4DB039AA"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 </w:t>
      </w:r>
      <w:proofErr w:type="gramStart"/>
      <w:r w:rsidRPr="00FC495C">
        <w:rPr>
          <w:rFonts w:ascii="Times New Roman" w:hAnsi="Times New Roman" w:cs="Times New Roman"/>
          <w:sz w:val="24"/>
          <w:szCs w:val="24"/>
        </w:rPr>
        <w:t>The  BioPharma</w:t>
      </w:r>
      <w:proofErr w:type="gramEnd"/>
      <w:r w:rsidRPr="00FC495C">
        <w:rPr>
          <w:rFonts w:ascii="Times New Roman" w:hAnsi="Times New Roman" w:cs="Times New Roman"/>
          <w:sz w:val="24"/>
          <w:szCs w:val="24"/>
        </w:rPr>
        <w:t xml:space="preserve">  industry shows substantial growth post-elevation, which may reflect an industry-specific response to the elevation event, potentially driven by greater awareness and need for HSAs within this sector.</w:t>
      </w:r>
    </w:p>
    <w:p w14:paraId="6999F7AF" w14:textId="77777777" w:rsidR="00F347FA" w:rsidRPr="00FC495C" w:rsidRDefault="00F347FA" w:rsidP="00EE572D">
      <w:pPr>
        <w:tabs>
          <w:tab w:val="left" w:pos="2304"/>
        </w:tabs>
        <w:spacing w:line="480" w:lineRule="auto"/>
        <w:rPr>
          <w:rFonts w:ascii="Times New Roman" w:hAnsi="Times New Roman" w:cs="Times New Roman"/>
          <w:sz w:val="24"/>
          <w:szCs w:val="24"/>
        </w:rPr>
      </w:pPr>
    </w:p>
    <w:p w14:paraId="52BFD7A1" w14:textId="32527B9B" w:rsidR="00F347FA" w:rsidRPr="00044B5A" w:rsidRDefault="00F347FA" w:rsidP="00EE572D">
      <w:pPr>
        <w:tabs>
          <w:tab w:val="left" w:pos="2304"/>
        </w:tabs>
        <w:spacing w:line="480" w:lineRule="auto"/>
        <w:rPr>
          <w:rFonts w:ascii="Times New Roman" w:hAnsi="Times New Roman" w:cs="Times New Roman"/>
          <w:b/>
          <w:bCs/>
          <w:sz w:val="24"/>
          <w:szCs w:val="24"/>
        </w:rPr>
      </w:pPr>
      <w:r w:rsidRPr="00044B5A">
        <w:rPr>
          <w:rFonts w:ascii="Times New Roman" w:hAnsi="Times New Roman" w:cs="Times New Roman"/>
          <w:b/>
          <w:bCs/>
          <w:sz w:val="24"/>
          <w:szCs w:val="24"/>
        </w:rPr>
        <w:t xml:space="preserve"> Conclusions and Strategic Implications: </w:t>
      </w:r>
    </w:p>
    <w:p w14:paraId="24C01A46" w14:textId="77777777"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The elevation event appears to have positively influenced HSA engagement across all industries.</w:t>
      </w:r>
    </w:p>
    <w:p w14:paraId="442425A3" w14:textId="77777777" w:rsidR="00044B5A"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Industries with higher financial metrics pre-elevation experienced notable growth, possibly due to having more resources or better initial engagement with HSA programs.</w:t>
      </w:r>
    </w:p>
    <w:p w14:paraId="7C379C9B" w14:textId="0C0F5B09"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Strategies implemented post-elevation should be examined, especially those tailored to specific industries that have seen the highest growth, to understand what drove their success and how these strategies might be applied to other sectors.</w:t>
      </w:r>
    </w:p>
    <w:p w14:paraId="68C0D66C" w14:textId="7C7FF3B2" w:rsidR="00E1470F"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Further analysis could focus on understanding industry-specific factors contributing to the different rates of change in HSA metrics to tailor future initiatives effectively.</w:t>
      </w:r>
    </w:p>
    <w:p w14:paraId="7A6D4BE0" w14:textId="77777777" w:rsidR="00F347FA" w:rsidRPr="00FC495C" w:rsidRDefault="00F347FA" w:rsidP="00EE572D">
      <w:pPr>
        <w:tabs>
          <w:tab w:val="left" w:pos="2304"/>
        </w:tabs>
        <w:spacing w:line="480" w:lineRule="auto"/>
        <w:rPr>
          <w:rFonts w:ascii="Times New Roman" w:hAnsi="Times New Roman" w:cs="Times New Roman"/>
          <w:sz w:val="24"/>
          <w:szCs w:val="24"/>
        </w:rPr>
      </w:pPr>
    </w:p>
    <w:p w14:paraId="29E50DF6" w14:textId="0CBD4C2B" w:rsidR="00F347FA" w:rsidRPr="00FC495C" w:rsidRDefault="00F347F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noProof/>
          <w:sz w:val="24"/>
          <w:szCs w:val="24"/>
        </w:rPr>
        <w:drawing>
          <wp:inline distT="0" distB="0" distL="0" distR="0" wp14:anchorId="551FBD6D" wp14:editId="7D0C8550">
            <wp:extent cx="5673436" cy="2682154"/>
            <wp:effectExtent l="0" t="0" r="3810" b="4445"/>
            <wp:docPr id="70423225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32251" name="Picture 1" descr="A screenshot of a spreadsheet&#10;&#10;Description automatically generated"/>
                    <pic:cNvPicPr/>
                  </pic:nvPicPr>
                  <pic:blipFill>
                    <a:blip r:embed="rId13"/>
                    <a:stretch>
                      <a:fillRect/>
                    </a:stretch>
                  </pic:blipFill>
                  <pic:spPr>
                    <a:xfrm>
                      <a:off x="0" y="0"/>
                      <a:ext cx="5695687" cy="2692673"/>
                    </a:xfrm>
                    <a:prstGeom prst="rect">
                      <a:avLst/>
                    </a:prstGeom>
                  </pic:spPr>
                </pic:pic>
              </a:graphicData>
            </a:graphic>
          </wp:inline>
        </w:drawing>
      </w:r>
    </w:p>
    <w:p w14:paraId="77D5779E" w14:textId="743F73F8" w:rsidR="00F347FA" w:rsidRPr="00FC495C" w:rsidRDefault="00044B5A"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b/>
          <w:bCs/>
          <w:noProof/>
          <w:sz w:val="24"/>
          <w:szCs w:val="24"/>
        </w:rPr>
        <w:lastRenderedPageBreak/>
        <w:drawing>
          <wp:inline distT="0" distB="0" distL="0" distR="0" wp14:anchorId="4150E083" wp14:editId="2A8EBF4B">
            <wp:extent cx="5943600" cy="2362200"/>
            <wp:effectExtent l="0" t="0" r="0" b="0"/>
            <wp:docPr id="291212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12801" name="Picture 1" descr="A screenshot of a computer&#10;&#10;Description automatically generated"/>
                    <pic:cNvPicPr/>
                  </pic:nvPicPr>
                  <pic:blipFill>
                    <a:blip r:embed="rId14"/>
                    <a:stretch>
                      <a:fillRect/>
                    </a:stretch>
                  </pic:blipFill>
                  <pic:spPr>
                    <a:xfrm>
                      <a:off x="0" y="0"/>
                      <a:ext cx="5943600" cy="2362200"/>
                    </a:xfrm>
                    <a:prstGeom prst="rect">
                      <a:avLst/>
                    </a:prstGeom>
                  </pic:spPr>
                </pic:pic>
              </a:graphicData>
            </a:graphic>
          </wp:inline>
        </w:drawing>
      </w:r>
    </w:p>
    <w:p w14:paraId="6D1A257C" w14:textId="6463419A" w:rsidR="002A7552" w:rsidRPr="00EE572D" w:rsidRDefault="002A7552" w:rsidP="00EE572D">
      <w:pPr>
        <w:tabs>
          <w:tab w:val="left" w:pos="2304"/>
        </w:tabs>
        <w:spacing w:line="480" w:lineRule="auto"/>
        <w:rPr>
          <w:rFonts w:ascii="Times New Roman" w:hAnsi="Times New Roman" w:cs="Times New Roman"/>
          <w:b/>
          <w:bCs/>
          <w:sz w:val="24"/>
          <w:szCs w:val="24"/>
        </w:rPr>
      </w:pPr>
      <w:r w:rsidRPr="00FC495C">
        <w:rPr>
          <w:rFonts w:ascii="Times New Roman" w:eastAsia="Times New Roman" w:hAnsi="Times New Roman" w:cs="Times New Roman"/>
          <w:b/>
          <w:bCs/>
          <w:color w:val="222222"/>
          <w:kern w:val="0"/>
          <w:sz w:val="24"/>
          <w:szCs w:val="24"/>
          <w14:ligatures w14:val="none"/>
        </w:rPr>
        <w:t>What overall conclusions and strategic implications can you draw from this data?  Why?  </w:t>
      </w:r>
      <w:r w:rsidRPr="00FC495C">
        <w:rPr>
          <w:rFonts w:ascii="Times New Roman" w:eastAsia="Times New Roman" w:hAnsi="Times New Roman" w:cs="Times New Roman"/>
          <w:b/>
          <w:bCs/>
          <w:color w:val="222222"/>
          <w:kern w:val="0"/>
          <w:sz w:val="24"/>
          <w:szCs w:val="24"/>
          <w14:ligatures w14:val="none"/>
        </w:rPr>
        <w:br/>
      </w:r>
      <w:r w:rsidRPr="00FC495C">
        <w:rPr>
          <w:rFonts w:ascii="Times New Roman" w:hAnsi="Times New Roman" w:cs="Times New Roman"/>
          <w:sz w:val="24"/>
          <w:szCs w:val="24"/>
        </w:rPr>
        <w:t>Increased Participation: The elevation program coincides with a significant rise in HSA participation, indicated by the increased number of accounts across all industries.</w:t>
      </w:r>
    </w:p>
    <w:p w14:paraId="361E473D"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Enhanced Financial Commitment: Both total assets and average member contributions grew post-elevation, suggesting that participants are more financially engaged and committed to their HSA savings.</w:t>
      </w:r>
    </w:p>
    <w:p w14:paraId="05AA054A"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Variable Contribution Patterns: Fluctuations in average contributions, especially payroll contributions, might indicate sensitivity to external factors like economic conditions or internal program changes.</w:t>
      </w:r>
    </w:p>
    <w:p w14:paraId="2EA4C1B0"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Industry-Specific Responses: Different industries reacted distinctly to the elevation, with some showing more pronounced growth, pointing to the value of tailored strategies.</w:t>
      </w:r>
    </w:p>
    <w:p w14:paraId="01A75701" w14:textId="77777777" w:rsidR="002A7552" w:rsidRPr="00FC495C" w:rsidRDefault="002A7552" w:rsidP="00EE572D">
      <w:pPr>
        <w:tabs>
          <w:tab w:val="left" w:pos="2304"/>
        </w:tabs>
        <w:spacing w:line="480" w:lineRule="auto"/>
        <w:rPr>
          <w:rFonts w:ascii="Times New Roman" w:hAnsi="Times New Roman" w:cs="Times New Roman"/>
          <w:sz w:val="24"/>
          <w:szCs w:val="24"/>
        </w:rPr>
      </w:pPr>
    </w:p>
    <w:p w14:paraId="0BC18195" w14:textId="77777777" w:rsidR="002A7552" w:rsidRPr="00EE572D" w:rsidRDefault="002A7552" w:rsidP="00EE572D">
      <w:pPr>
        <w:tabs>
          <w:tab w:val="left" w:pos="2304"/>
        </w:tabs>
        <w:spacing w:line="480" w:lineRule="auto"/>
        <w:rPr>
          <w:rFonts w:ascii="Times New Roman" w:hAnsi="Times New Roman" w:cs="Times New Roman"/>
          <w:b/>
          <w:bCs/>
          <w:sz w:val="24"/>
          <w:szCs w:val="24"/>
        </w:rPr>
      </w:pPr>
      <w:r w:rsidRPr="00EE572D">
        <w:rPr>
          <w:rFonts w:ascii="Times New Roman" w:hAnsi="Times New Roman" w:cs="Times New Roman"/>
          <w:b/>
          <w:bCs/>
          <w:sz w:val="24"/>
          <w:szCs w:val="24"/>
        </w:rPr>
        <w:t>Strategic Implications:</w:t>
      </w:r>
    </w:p>
    <w:p w14:paraId="7E276198"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lastRenderedPageBreak/>
        <w:t xml:space="preserve">Leverage Successful Strategies: Analyze the tactics employed post-elevation that led to increased participation and higher asset </w:t>
      </w:r>
      <w:proofErr w:type="gramStart"/>
      <w:r w:rsidRPr="00FC495C">
        <w:rPr>
          <w:rFonts w:ascii="Times New Roman" w:hAnsi="Times New Roman" w:cs="Times New Roman"/>
          <w:sz w:val="24"/>
          <w:szCs w:val="24"/>
        </w:rPr>
        <w:t>accumulation, and</w:t>
      </w:r>
      <w:proofErr w:type="gramEnd"/>
      <w:r w:rsidRPr="00FC495C">
        <w:rPr>
          <w:rFonts w:ascii="Times New Roman" w:hAnsi="Times New Roman" w:cs="Times New Roman"/>
          <w:sz w:val="24"/>
          <w:szCs w:val="24"/>
        </w:rPr>
        <w:t xml:space="preserve"> consider applying them to areas or industries with less pronounced growth.</w:t>
      </w:r>
    </w:p>
    <w:p w14:paraId="43AEB635"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Continuous Engagement: The increase in the average member contributions post-elevation highlights the effectiveness of continued engagement strategies. It's crucial to maintain communication and education to keep this momentum.</w:t>
      </w:r>
    </w:p>
    <w:p w14:paraId="74B51395"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Adjust Contribution Incentives: Address the variability in contribution patterns by examining the incentive structures and making necessary adjustments to stabilize and encourage contributions.</w:t>
      </w:r>
    </w:p>
    <w:p w14:paraId="32FBE4AA"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Personalize Industry Approaches: Acknowledge that one size doesn't fit all; what works for the </w:t>
      </w:r>
      <w:proofErr w:type="gramStart"/>
      <w:r w:rsidRPr="00FC495C">
        <w:rPr>
          <w:rFonts w:ascii="Times New Roman" w:hAnsi="Times New Roman" w:cs="Times New Roman"/>
          <w:sz w:val="24"/>
          <w:szCs w:val="24"/>
        </w:rPr>
        <w:t>High Tech</w:t>
      </w:r>
      <w:proofErr w:type="gramEnd"/>
      <w:r w:rsidRPr="00FC495C">
        <w:rPr>
          <w:rFonts w:ascii="Times New Roman" w:hAnsi="Times New Roman" w:cs="Times New Roman"/>
          <w:sz w:val="24"/>
          <w:szCs w:val="24"/>
        </w:rPr>
        <w:t xml:space="preserve"> sector may not for Hospitality. Develop industry-specific offerings or educational campaigns to support growth in lagging sectors.</w:t>
      </w:r>
    </w:p>
    <w:p w14:paraId="42E3911C" w14:textId="77777777"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Future-Proof the Program: Despite success, there's a slight downturn in recent years for some metrics. It’s important to future-proof the program by diversifying investment options, adapting to economic changes, and addressing new healthcare spending habits.</w:t>
      </w:r>
    </w:p>
    <w:p w14:paraId="7F876F43" w14:textId="427AC471" w:rsidR="002A7552" w:rsidRPr="00FC495C" w:rsidRDefault="002A7552" w:rsidP="00EE572D">
      <w:pPr>
        <w:tabs>
          <w:tab w:val="left" w:pos="2304"/>
        </w:tabs>
        <w:spacing w:line="480" w:lineRule="auto"/>
        <w:rPr>
          <w:rFonts w:ascii="Times New Roman" w:hAnsi="Times New Roman" w:cs="Times New Roman"/>
          <w:sz w:val="24"/>
          <w:szCs w:val="24"/>
        </w:rPr>
      </w:pPr>
      <w:r w:rsidRPr="00FC495C">
        <w:rPr>
          <w:rFonts w:ascii="Times New Roman" w:hAnsi="Times New Roman" w:cs="Times New Roman"/>
          <w:sz w:val="24"/>
          <w:szCs w:val="24"/>
        </w:rPr>
        <w:t xml:space="preserve">These findings are grounded in observed data trends before and after a significant program change (elevation). They are relevant because they pinpoint specific areas of success and potential, which can inform targeted, data-driven decision-making for the future of the HSA program. They emphasize the importance of adaptability and the benefits of strategic focus on participant engagement and </w:t>
      </w:r>
      <w:r w:rsidR="00040B1A" w:rsidRPr="00FC495C">
        <w:rPr>
          <w:rFonts w:ascii="Times New Roman" w:hAnsi="Times New Roman" w:cs="Times New Roman"/>
          <w:sz w:val="24"/>
          <w:szCs w:val="24"/>
        </w:rPr>
        <w:t xml:space="preserve">industry </w:t>
      </w:r>
      <w:r w:rsidRPr="00FC495C">
        <w:rPr>
          <w:rFonts w:ascii="Times New Roman" w:hAnsi="Times New Roman" w:cs="Times New Roman"/>
          <w:sz w:val="24"/>
          <w:szCs w:val="24"/>
        </w:rPr>
        <w:t>y-specific customization.</w:t>
      </w:r>
    </w:p>
    <w:p w14:paraId="7089A0F1" w14:textId="77777777" w:rsidR="00040B1A" w:rsidRPr="00FC495C" w:rsidRDefault="00040B1A" w:rsidP="00EE572D">
      <w:pPr>
        <w:tabs>
          <w:tab w:val="left" w:pos="2304"/>
        </w:tabs>
        <w:spacing w:line="480" w:lineRule="auto"/>
        <w:rPr>
          <w:rFonts w:ascii="Times New Roman" w:hAnsi="Times New Roman" w:cs="Times New Roman"/>
          <w:sz w:val="24"/>
          <w:szCs w:val="24"/>
        </w:rPr>
      </w:pPr>
    </w:p>
    <w:p w14:paraId="1B3C20EF" w14:textId="77777777" w:rsidR="00040B1A" w:rsidRPr="00FC495C" w:rsidRDefault="00040B1A" w:rsidP="00EE572D">
      <w:pPr>
        <w:tabs>
          <w:tab w:val="left" w:pos="2304"/>
        </w:tabs>
        <w:spacing w:line="480" w:lineRule="auto"/>
        <w:rPr>
          <w:rFonts w:ascii="Times New Roman" w:hAnsi="Times New Roman" w:cs="Times New Roman"/>
          <w:sz w:val="24"/>
          <w:szCs w:val="24"/>
        </w:rPr>
      </w:pPr>
    </w:p>
    <w:p w14:paraId="54D4F344" w14:textId="77777777" w:rsidR="00040B1A" w:rsidRPr="00FC495C" w:rsidRDefault="00040B1A" w:rsidP="00EE572D">
      <w:pPr>
        <w:tabs>
          <w:tab w:val="left" w:pos="2304"/>
        </w:tabs>
        <w:spacing w:line="480" w:lineRule="auto"/>
        <w:rPr>
          <w:rFonts w:ascii="Times New Roman" w:hAnsi="Times New Roman" w:cs="Times New Roman"/>
          <w:sz w:val="24"/>
          <w:szCs w:val="24"/>
        </w:rPr>
      </w:pPr>
    </w:p>
    <w:sectPr w:rsidR="00040B1A" w:rsidRPr="00FC495C" w:rsidSect="007816DC">
      <w:footerReference w:type="default" r:id="rId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8674" w14:textId="77777777" w:rsidR="007816DC" w:rsidRDefault="007816DC" w:rsidP="00B47528">
      <w:pPr>
        <w:spacing w:after="0" w:line="240" w:lineRule="auto"/>
      </w:pPr>
      <w:r>
        <w:separator/>
      </w:r>
    </w:p>
  </w:endnote>
  <w:endnote w:type="continuationSeparator" w:id="0">
    <w:p w14:paraId="7C79DAF3" w14:textId="77777777" w:rsidR="007816DC" w:rsidRDefault="007816DC" w:rsidP="00B4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599666"/>
      <w:docPartObj>
        <w:docPartGallery w:val="Page Numbers (Bottom of Page)"/>
        <w:docPartUnique/>
      </w:docPartObj>
    </w:sdtPr>
    <w:sdtEndPr>
      <w:rPr>
        <w:noProof/>
      </w:rPr>
    </w:sdtEndPr>
    <w:sdtContent>
      <w:p w14:paraId="481AA2D0" w14:textId="77777777" w:rsidR="00B47528" w:rsidRDefault="00B47528">
        <w:pPr>
          <w:pStyle w:val="Footer"/>
          <w:jc w:val="right"/>
        </w:pPr>
      </w:p>
      <w:p w14:paraId="3087E1BB" w14:textId="77777777" w:rsidR="00B47528" w:rsidRDefault="00B47528">
        <w:pPr>
          <w:pStyle w:val="Footer"/>
          <w:jc w:val="right"/>
        </w:pPr>
      </w:p>
      <w:p w14:paraId="0A82F5C4" w14:textId="3ACB9E62" w:rsidR="00B47528" w:rsidRDefault="00B475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4A7646" w14:textId="77777777" w:rsidR="00B47528" w:rsidRDefault="00B4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C498E" w14:textId="77777777" w:rsidR="007816DC" w:rsidRDefault="007816DC" w:rsidP="00B47528">
      <w:pPr>
        <w:spacing w:after="0" w:line="240" w:lineRule="auto"/>
      </w:pPr>
      <w:r>
        <w:separator/>
      </w:r>
    </w:p>
  </w:footnote>
  <w:footnote w:type="continuationSeparator" w:id="0">
    <w:p w14:paraId="23E930C3" w14:textId="77777777" w:rsidR="007816DC" w:rsidRDefault="007816DC" w:rsidP="00B47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F3425"/>
    <w:multiLevelType w:val="multilevel"/>
    <w:tmpl w:val="3E048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96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C0"/>
    <w:rsid w:val="00040B1A"/>
    <w:rsid w:val="00044B5A"/>
    <w:rsid w:val="00087E44"/>
    <w:rsid w:val="00092ECE"/>
    <w:rsid w:val="000B7459"/>
    <w:rsid w:val="000F23C2"/>
    <w:rsid w:val="00105676"/>
    <w:rsid w:val="00111EFC"/>
    <w:rsid w:val="00112841"/>
    <w:rsid w:val="001662CB"/>
    <w:rsid w:val="001705A8"/>
    <w:rsid w:val="001746AE"/>
    <w:rsid w:val="0022118D"/>
    <w:rsid w:val="00231040"/>
    <w:rsid w:val="002429DB"/>
    <w:rsid w:val="00244B35"/>
    <w:rsid w:val="00247028"/>
    <w:rsid w:val="00297674"/>
    <w:rsid w:val="002A7552"/>
    <w:rsid w:val="002F2D4C"/>
    <w:rsid w:val="00301B45"/>
    <w:rsid w:val="00343A03"/>
    <w:rsid w:val="00381B8A"/>
    <w:rsid w:val="00413A84"/>
    <w:rsid w:val="00441F02"/>
    <w:rsid w:val="00464A37"/>
    <w:rsid w:val="004837C0"/>
    <w:rsid w:val="004C2A38"/>
    <w:rsid w:val="00527A60"/>
    <w:rsid w:val="00553AA7"/>
    <w:rsid w:val="005563D2"/>
    <w:rsid w:val="00566106"/>
    <w:rsid w:val="00573A28"/>
    <w:rsid w:val="005E1BC2"/>
    <w:rsid w:val="00600206"/>
    <w:rsid w:val="00601993"/>
    <w:rsid w:val="00623C23"/>
    <w:rsid w:val="0068080F"/>
    <w:rsid w:val="00680C81"/>
    <w:rsid w:val="006A2B85"/>
    <w:rsid w:val="006E3C87"/>
    <w:rsid w:val="007816DC"/>
    <w:rsid w:val="00793208"/>
    <w:rsid w:val="007E5518"/>
    <w:rsid w:val="00836F1F"/>
    <w:rsid w:val="00837EB9"/>
    <w:rsid w:val="00851B80"/>
    <w:rsid w:val="00886BC8"/>
    <w:rsid w:val="0091664A"/>
    <w:rsid w:val="00976CDD"/>
    <w:rsid w:val="009D31FD"/>
    <w:rsid w:val="00A971E2"/>
    <w:rsid w:val="00AB0544"/>
    <w:rsid w:val="00AD171E"/>
    <w:rsid w:val="00B245DB"/>
    <w:rsid w:val="00B4542C"/>
    <w:rsid w:val="00B47528"/>
    <w:rsid w:val="00BD524E"/>
    <w:rsid w:val="00BE1951"/>
    <w:rsid w:val="00BE2382"/>
    <w:rsid w:val="00C840F2"/>
    <w:rsid w:val="00CF31C1"/>
    <w:rsid w:val="00CF66D9"/>
    <w:rsid w:val="00D14838"/>
    <w:rsid w:val="00D876DA"/>
    <w:rsid w:val="00DD0D24"/>
    <w:rsid w:val="00DF5E50"/>
    <w:rsid w:val="00E1470F"/>
    <w:rsid w:val="00E451B6"/>
    <w:rsid w:val="00EC28BD"/>
    <w:rsid w:val="00EE3573"/>
    <w:rsid w:val="00EE572D"/>
    <w:rsid w:val="00EF3FD8"/>
    <w:rsid w:val="00EF6593"/>
    <w:rsid w:val="00F33414"/>
    <w:rsid w:val="00F347FA"/>
    <w:rsid w:val="00F57B51"/>
    <w:rsid w:val="00F8146D"/>
    <w:rsid w:val="00F8632C"/>
    <w:rsid w:val="00F91DB5"/>
    <w:rsid w:val="00FC0194"/>
    <w:rsid w:val="00FC495C"/>
    <w:rsid w:val="00FE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30E0"/>
  <w15:chartTrackingRefBased/>
  <w15:docId w15:val="{70A654E4-CD2B-435D-A1BE-C7A1E2E5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C0"/>
    <w:rPr>
      <w:rFonts w:eastAsiaTheme="majorEastAsia" w:cstheme="majorBidi"/>
      <w:color w:val="272727" w:themeColor="text1" w:themeTint="D8"/>
    </w:rPr>
  </w:style>
  <w:style w:type="paragraph" w:styleId="Title">
    <w:name w:val="Title"/>
    <w:basedOn w:val="Normal"/>
    <w:next w:val="Normal"/>
    <w:link w:val="TitleChar"/>
    <w:uiPriority w:val="10"/>
    <w:qFormat/>
    <w:rsid w:val="00483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C0"/>
    <w:pPr>
      <w:spacing w:before="160"/>
      <w:jc w:val="center"/>
    </w:pPr>
    <w:rPr>
      <w:i/>
      <w:iCs/>
      <w:color w:val="404040" w:themeColor="text1" w:themeTint="BF"/>
    </w:rPr>
  </w:style>
  <w:style w:type="character" w:customStyle="1" w:styleId="QuoteChar">
    <w:name w:val="Quote Char"/>
    <w:basedOn w:val="DefaultParagraphFont"/>
    <w:link w:val="Quote"/>
    <w:uiPriority w:val="29"/>
    <w:rsid w:val="004837C0"/>
    <w:rPr>
      <w:i/>
      <w:iCs/>
      <w:color w:val="404040" w:themeColor="text1" w:themeTint="BF"/>
    </w:rPr>
  </w:style>
  <w:style w:type="paragraph" w:styleId="ListParagraph">
    <w:name w:val="List Paragraph"/>
    <w:basedOn w:val="Normal"/>
    <w:uiPriority w:val="34"/>
    <w:qFormat/>
    <w:rsid w:val="004837C0"/>
    <w:pPr>
      <w:ind w:left="720"/>
      <w:contextualSpacing/>
    </w:pPr>
  </w:style>
  <w:style w:type="character" w:styleId="IntenseEmphasis">
    <w:name w:val="Intense Emphasis"/>
    <w:basedOn w:val="DefaultParagraphFont"/>
    <w:uiPriority w:val="21"/>
    <w:qFormat/>
    <w:rsid w:val="004837C0"/>
    <w:rPr>
      <w:i/>
      <w:iCs/>
      <w:color w:val="0F4761" w:themeColor="accent1" w:themeShade="BF"/>
    </w:rPr>
  </w:style>
  <w:style w:type="paragraph" w:styleId="IntenseQuote">
    <w:name w:val="Intense Quote"/>
    <w:basedOn w:val="Normal"/>
    <w:next w:val="Normal"/>
    <w:link w:val="IntenseQuoteChar"/>
    <w:uiPriority w:val="30"/>
    <w:qFormat/>
    <w:rsid w:val="00483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7C0"/>
    <w:rPr>
      <w:i/>
      <w:iCs/>
      <w:color w:val="0F4761" w:themeColor="accent1" w:themeShade="BF"/>
    </w:rPr>
  </w:style>
  <w:style w:type="character" w:styleId="IntenseReference">
    <w:name w:val="Intense Reference"/>
    <w:basedOn w:val="DefaultParagraphFont"/>
    <w:uiPriority w:val="32"/>
    <w:qFormat/>
    <w:rsid w:val="004837C0"/>
    <w:rPr>
      <w:b/>
      <w:bCs/>
      <w:smallCaps/>
      <w:color w:val="0F4761" w:themeColor="accent1" w:themeShade="BF"/>
      <w:spacing w:val="5"/>
    </w:rPr>
  </w:style>
  <w:style w:type="paragraph" w:styleId="NoSpacing">
    <w:name w:val="No Spacing"/>
    <w:link w:val="NoSpacingChar"/>
    <w:uiPriority w:val="1"/>
    <w:qFormat/>
    <w:rsid w:val="00B4752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47528"/>
    <w:rPr>
      <w:rFonts w:eastAsiaTheme="minorEastAsia"/>
      <w:kern w:val="0"/>
      <w14:ligatures w14:val="none"/>
    </w:rPr>
  </w:style>
  <w:style w:type="paragraph" w:styleId="Header">
    <w:name w:val="header"/>
    <w:basedOn w:val="Normal"/>
    <w:link w:val="HeaderChar"/>
    <w:uiPriority w:val="99"/>
    <w:unhideWhenUsed/>
    <w:rsid w:val="00B47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28"/>
  </w:style>
  <w:style w:type="paragraph" w:styleId="Footer">
    <w:name w:val="footer"/>
    <w:basedOn w:val="Normal"/>
    <w:link w:val="FooterChar"/>
    <w:uiPriority w:val="99"/>
    <w:unhideWhenUsed/>
    <w:rsid w:val="00B47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176392">
      <w:bodyDiv w:val="1"/>
      <w:marLeft w:val="0"/>
      <w:marRight w:val="0"/>
      <w:marTop w:val="0"/>
      <w:marBottom w:val="0"/>
      <w:divBdr>
        <w:top w:val="none" w:sz="0" w:space="0" w:color="auto"/>
        <w:left w:val="none" w:sz="0" w:space="0" w:color="auto"/>
        <w:bottom w:val="none" w:sz="0" w:space="0" w:color="auto"/>
        <w:right w:val="none" w:sz="0" w:space="0" w:color="auto"/>
      </w:divBdr>
    </w:div>
    <w:div w:id="1315715383">
      <w:bodyDiv w:val="1"/>
      <w:marLeft w:val="0"/>
      <w:marRight w:val="0"/>
      <w:marTop w:val="0"/>
      <w:marBottom w:val="0"/>
      <w:divBdr>
        <w:top w:val="none" w:sz="0" w:space="0" w:color="auto"/>
        <w:left w:val="none" w:sz="0" w:space="0" w:color="auto"/>
        <w:bottom w:val="none" w:sz="0" w:space="0" w:color="auto"/>
        <w:right w:val="none" w:sz="0" w:space="0" w:color="auto"/>
      </w:divBdr>
    </w:div>
    <w:div w:id="1482305312">
      <w:bodyDiv w:val="1"/>
      <w:marLeft w:val="0"/>
      <w:marRight w:val="0"/>
      <w:marTop w:val="0"/>
      <w:marBottom w:val="0"/>
      <w:divBdr>
        <w:top w:val="none" w:sz="0" w:space="0" w:color="auto"/>
        <w:left w:val="none" w:sz="0" w:space="0" w:color="auto"/>
        <w:bottom w:val="none" w:sz="0" w:space="0" w:color="auto"/>
        <w:right w:val="none" w:sz="0" w:space="0" w:color="auto"/>
      </w:divBdr>
      <w:divsChild>
        <w:div w:id="322508353">
          <w:marLeft w:val="0"/>
          <w:marRight w:val="0"/>
          <w:marTop w:val="0"/>
          <w:marBottom w:val="0"/>
          <w:divBdr>
            <w:top w:val="single" w:sz="2" w:space="0" w:color="E3E3E3"/>
            <w:left w:val="single" w:sz="2" w:space="0" w:color="E3E3E3"/>
            <w:bottom w:val="single" w:sz="2" w:space="0" w:color="E3E3E3"/>
            <w:right w:val="single" w:sz="2" w:space="0" w:color="E3E3E3"/>
          </w:divBdr>
          <w:divsChild>
            <w:div w:id="63919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756089">
          <w:marLeft w:val="0"/>
          <w:marRight w:val="0"/>
          <w:marTop w:val="0"/>
          <w:marBottom w:val="0"/>
          <w:divBdr>
            <w:top w:val="single" w:sz="2" w:space="0" w:color="E3E3E3"/>
            <w:left w:val="single" w:sz="2" w:space="0" w:color="E3E3E3"/>
            <w:bottom w:val="single" w:sz="2" w:space="0" w:color="E3E3E3"/>
            <w:right w:val="single" w:sz="2" w:space="0" w:color="E3E3E3"/>
          </w:divBdr>
          <w:divsChild>
            <w:div w:id="19589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asvitha\Desktop\Health_Equity\FinalHealthEqu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asvitha\Desktop\Health_Equity\FinalHealthEqui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[FinalHealthEquity.xlsx]Pre and Post!PivotTable1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'Pre and Post'!$B$3:$B$5</c:f>
              <c:strCache>
                <c:ptCount val="1"/>
                <c:pt idx="0">
                  <c:v>Post-Elevation - Sum of Accounts</c:v>
                </c:pt>
              </c:strCache>
            </c:strRef>
          </c:tx>
          <c:spPr>
            <a:solidFill>
              <a:schemeClr val="accent1"/>
            </a:solidFill>
            <a:ln>
              <a:noFill/>
            </a:ln>
            <a:effectLst/>
          </c:spPr>
          <c:invertIfNegative val="0"/>
          <c:cat>
            <c:multiLvlStrRef>
              <c:f>'Pre and Post'!$A$6:$A$16</c:f>
              <c:multiLvlStrCache>
                <c:ptCount val="5"/>
                <c:lvl>
                  <c:pt idx="0">
                    <c:v>Sep</c:v>
                  </c:pt>
                  <c:pt idx="1">
                    <c:v>Sep</c:v>
                  </c:pt>
                  <c:pt idx="2">
                    <c:v>Sep</c:v>
                  </c:pt>
                  <c:pt idx="3">
                    <c:v>Sep</c:v>
                  </c:pt>
                  <c:pt idx="4">
                    <c:v>Sep</c:v>
                  </c:pt>
                </c:lvl>
                <c:lvl>
                  <c:pt idx="0">
                    <c:v>2018</c:v>
                  </c:pt>
                  <c:pt idx="1">
                    <c:v>2019</c:v>
                  </c:pt>
                  <c:pt idx="2">
                    <c:v>2020</c:v>
                  </c:pt>
                  <c:pt idx="3">
                    <c:v>2021</c:v>
                  </c:pt>
                  <c:pt idx="4">
                    <c:v>2022</c:v>
                  </c:pt>
                </c:lvl>
              </c:multiLvlStrCache>
            </c:multiLvlStrRef>
          </c:cat>
          <c:val>
            <c:numRef>
              <c:f>'Pre and Post'!$B$6:$B$16</c:f>
              <c:numCache>
                <c:formatCode>"$"#,##0,"K"</c:formatCode>
                <c:ptCount val="5"/>
                <c:pt idx="1">
                  <c:v>300</c:v>
                </c:pt>
                <c:pt idx="2">
                  <c:v>59997</c:v>
                </c:pt>
                <c:pt idx="3">
                  <c:v>69623</c:v>
                </c:pt>
                <c:pt idx="4">
                  <c:v>74478</c:v>
                </c:pt>
              </c:numCache>
            </c:numRef>
          </c:val>
          <c:extLst>
            <c:ext xmlns:c16="http://schemas.microsoft.com/office/drawing/2014/chart" uri="{C3380CC4-5D6E-409C-BE32-E72D297353CC}">
              <c16:uniqueId val="{00000000-0924-4D54-B033-C2A68C28611E}"/>
            </c:ext>
          </c:extLst>
        </c:ser>
        <c:ser>
          <c:idx val="2"/>
          <c:order val="2"/>
          <c:tx>
            <c:strRef>
              <c:f>'Pre and Post'!$D$3:$D$5</c:f>
              <c:strCache>
                <c:ptCount val="1"/>
                <c:pt idx="0">
                  <c:v>Pre-Elevation - Sum of Accounts</c:v>
                </c:pt>
              </c:strCache>
            </c:strRef>
          </c:tx>
          <c:spPr>
            <a:solidFill>
              <a:schemeClr val="accent3"/>
            </a:solidFill>
            <a:ln>
              <a:noFill/>
            </a:ln>
            <a:effectLst/>
          </c:spPr>
          <c:invertIfNegative val="0"/>
          <c:cat>
            <c:multiLvlStrRef>
              <c:f>'Pre and Post'!$A$6:$A$16</c:f>
              <c:multiLvlStrCache>
                <c:ptCount val="5"/>
                <c:lvl>
                  <c:pt idx="0">
                    <c:v>Sep</c:v>
                  </c:pt>
                  <c:pt idx="1">
                    <c:v>Sep</c:v>
                  </c:pt>
                  <c:pt idx="2">
                    <c:v>Sep</c:v>
                  </c:pt>
                  <c:pt idx="3">
                    <c:v>Sep</c:v>
                  </c:pt>
                  <c:pt idx="4">
                    <c:v>Sep</c:v>
                  </c:pt>
                </c:lvl>
                <c:lvl>
                  <c:pt idx="0">
                    <c:v>2018</c:v>
                  </c:pt>
                  <c:pt idx="1">
                    <c:v>2019</c:v>
                  </c:pt>
                  <c:pt idx="2">
                    <c:v>2020</c:v>
                  </c:pt>
                  <c:pt idx="3">
                    <c:v>2021</c:v>
                  </c:pt>
                  <c:pt idx="4">
                    <c:v>2022</c:v>
                  </c:pt>
                </c:lvl>
              </c:multiLvlStrCache>
            </c:multiLvlStrRef>
          </c:cat>
          <c:val>
            <c:numRef>
              <c:f>'Pre and Post'!$D$6:$D$16</c:f>
              <c:numCache>
                <c:formatCode>"$"#,##0,"K"</c:formatCode>
                <c:ptCount val="5"/>
                <c:pt idx="0">
                  <c:v>55028</c:v>
                </c:pt>
                <c:pt idx="1">
                  <c:v>61989</c:v>
                </c:pt>
                <c:pt idx="2">
                  <c:v>7304</c:v>
                </c:pt>
              </c:numCache>
            </c:numRef>
          </c:val>
          <c:extLst>
            <c:ext xmlns:c16="http://schemas.microsoft.com/office/drawing/2014/chart" uri="{C3380CC4-5D6E-409C-BE32-E72D297353CC}">
              <c16:uniqueId val="{00000001-0924-4D54-B033-C2A68C28611E}"/>
            </c:ext>
          </c:extLst>
        </c:ser>
        <c:dLbls>
          <c:showLegendKey val="0"/>
          <c:showVal val="0"/>
          <c:showCatName val="0"/>
          <c:showSerName val="0"/>
          <c:showPercent val="0"/>
          <c:showBubbleSize val="0"/>
        </c:dLbls>
        <c:gapWidth val="150"/>
        <c:axId val="640558335"/>
        <c:axId val="640538175"/>
      </c:barChart>
      <c:lineChart>
        <c:grouping val="standard"/>
        <c:varyColors val="0"/>
        <c:ser>
          <c:idx val="1"/>
          <c:order val="1"/>
          <c:tx>
            <c:strRef>
              <c:f>'Pre and Post'!$C$3:$C$5</c:f>
              <c:strCache>
                <c:ptCount val="1"/>
                <c:pt idx="0">
                  <c:v>Post-Elevation - Sum of Total Cash</c:v>
                </c:pt>
              </c:strCache>
            </c:strRef>
          </c:tx>
          <c:spPr>
            <a:ln w="28575" cap="rnd">
              <a:solidFill>
                <a:schemeClr val="accent2"/>
              </a:solidFill>
              <a:round/>
            </a:ln>
            <a:effectLst/>
          </c:spPr>
          <c:marker>
            <c:symbol val="none"/>
          </c:marker>
          <c:cat>
            <c:multiLvlStrRef>
              <c:f>'Pre and Post'!$A$6:$A$16</c:f>
              <c:multiLvlStrCache>
                <c:ptCount val="5"/>
                <c:lvl>
                  <c:pt idx="0">
                    <c:v>Sep</c:v>
                  </c:pt>
                  <c:pt idx="1">
                    <c:v>Sep</c:v>
                  </c:pt>
                  <c:pt idx="2">
                    <c:v>Sep</c:v>
                  </c:pt>
                  <c:pt idx="3">
                    <c:v>Sep</c:v>
                  </c:pt>
                  <c:pt idx="4">
                    <c:v>Sep</c:v>
                  </c:pt>
                </c:lvl>
                <c:lvl>
                  <c:pt idx="0">
                    <c:v>2018</c:v>
                  </c:pt>
                  <c:pt idx="1">
                    <c:v>2019</c:v>
                  </c:pt>
                  <c:pt idx="2">
                    <c:v>2020</c:v>
                  </c:pt>
                  <c:pt idx="3">
                    <c:v>2021</c:v>
                  </c:pt>
                  <c:pt idx="4">
                    <c:v>2022</c:v>
                  </c:pt>
                </c:lvl>
              </c:multiLvlStrCache>
            </c:multiLvlStrRef>
          </c:cat>
          <c:val>
            <c:numRef>
              <c:f>'Pre and Post'!$C$6:$C$16</c:f>
              <c:numCache>
                <c:formatCode>"$"#,##0,"K"</c:formatCode>
                <c:ptCount val="5"/>
                <c:pt idx="1">
                  <c:v>1424722.0599</c:v>
                </c:pt>
                <c:pt idx="2">
                  <c:v>176484487.90684795</c:v>
                </c:pt>
                <c:pt idx="3">
                  <c:v>215562233.67237204</c:v>
                </c:pt>
                <c:pt idx="4">
                  <c:v>241639204.65921891</c:v>
                </c:pt>
              </c:numCache>
            </c:numRef>
          </c:val>
          <c:smooth val="0"/>
          <c:extLst>
            <c:ext xmlns:c16="http://schemas.microsoft.com/office/drawing/2014/chart" uri="{C3380CC4-5D6E-409C-BE32-E72D297353CC}">
              <c16:uniqueId val="{00000002-0924-4D54-B033-C2A68C28611E}"/>
            </c:ext>
          </c:extLst>
        </c:ser>
        <c:ser>
          <c:idx val="3"/>
          <c:order val="3"/>
          <c:tx>
            <c:strRef>
              <c:f>'Pre and Post'!$E$3:$E$5</c:f>
              <c:strCache>
                <c:ptCount val="1"/>
                <c:pt idx="0">
                  <c:v>Pre-Elevation - Sum of Total Cash</c:v>
                </c:pt>
              </c:strCache>
            </c:strRef>
          </c:tx>
          <c:spPr>
            <a:ln w="28575" cap="rnd">
              <a:solidFill>
                <a:schemeClr val="accent4"/>
              </a:solidFill>
              <a:round/>
            </a:ln>
            <a:effectLst/>
          </c:spPr>
          <c:marker>
            <c:symbol val="none"/>
          </c:marker>
          <c:cat>
            <c:multiLvlStrRef>
              <c:f>'Pre and Post'!$A$6:$A$16</c:f>
              <c:multiLvlStrCache>
                <c:ptCount val="5"/>
                <c:lvl>
                  <c:pt idx="0">
                    <c:v>Sep</c:v>
                  </c:pt>
                  <c:pt idx="1">
                    <c:v>Sep</c:v>
                  </c:pt>
                  <c:pt idx="2">
                    <c:v>Sep</c:v>
                  </c:pt>
                  <c:pt idx="3">
                    <c:v>Sep</c:v>
                  </c:pt>
                  <c:pt idx="4">
                    <c:v>Sep</c:v>
                  </c:pt>
                </c:lvl>
                <c:lvl>
                  <c:pt idx="0">
                    <c:v>2018</c:v>
                  </c:pt>
                  <c:pt idx="1">
                    <c:v>2019</c:v>
                  </c:pt>
                  <c:pt idx="2">
                    <c:v>2020</c:v>
                  </c:pt>
                  <c:pt idx="3">
                    <c:v>2021</c:v>
                  </c:pt>
                  <c:pt idx="4">
                    <c:v>2022</c:v>
                  </c:pt>
                </c:lvl>
              </c:multiLvlStrCache>
            </c:multiLvlStrRef>
          </c:cat>
          <c:val>
            <c:numRef>
              <c:f>'Pre and Post'!$E$6:$E$16</c:f>
              <c:numCache>
                <c:formatCode>"$"#,##0,"K"</c:formatCode>
                <c:ptCount val="5"/>
                <c:pt idx="0">
                  <c:v>141073857.79693499</c:v>
                </c:pt>
                <c:pt idx="1">
                  <c:v>165768963.18841898</c:v>
                </c:pt>
                <c:pt idx="2">
                  <c:v>23198532.233706001</c:v>
                </c:pt>
              </c:numCache>
            </c:numRef>
          </c:val>
          <c:smooth val="0"/>
          <c:extLst>
            <c:ext xmlns:c16="http://schemas.microsoft.com/office/drawing/2014/chart" uri="{C3380CC4-5D6E-409C-BE32-E72D297353CC}">
              <c16:uniqueId val="{00000003-0924-4D54-B033-C2A68C28611E}"/>
            </c:ext>
          </c:extLst>
        </c:ser>
        <c:dLbls>
          <c:showLegendKey val="0"/>
          <c:showVal val="0"/>
          <c:showCatName val="0"/>
          <c:showSerName val="0"/>
          <c:showPercent val="0"/>
          <c:showBubbleSize val="0"/>
        </c:dLbls>
        <c:marker val="1"/>
        <c:smooth val="0"/>
        <c:axId val="640555935"/>
        <c:axId val="640541055"/>
      </c:lineChart>
      <c:catAx>
        <c:axId val="64055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41055"/>
        <c:crosses val="autoZero"/>
        <c:auto val="1"/>
        <c:lblAlgn val="ctr"/>
        <c:lblOffset val="100"/>
        <c:noMultiLvlLbl val="0"/>
      </c:catAx>
      <c:valAx>
        <c:axId val="64054105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quot;K&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55935"/>
        <c:crosses val="autoZero"/>
        <c:crossBetween val="between"/>
      </c:valAx>
      <c:valAx>
        <c:axId val="640538175"/>
        <c:scaling>
          <c:orientation val="minMax"/>
        </c:scaling>
        <c:delete val="0"/>
        <c:axPos val="r"/>
        <c:numFmt formatCode="&quot;$&quot;#,##0,&quot;K&quot;"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58335"/>
        <c:crosses val="max"/>
        <c:crossBetween val="between"/>
      </c:valAx>
      <c:catAx>
        <c:axId val="640558335"/>
        <c:scaling>
          <c:orientation val="minMax"/>
        </c:scaling>
        <c:delete val="1"/>
        <c:axPos val="b"/>
        <c:numFmt formatCode="General" sourceLinked="1"/>
        <c:majorTickMark val="out"/>
        <c:minorTickMark val="none"/>
        <c:tickLblPos val="nextTo"/>
        <c:crossAx val="640538175"/>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[FinalHealthEquity.xlsx]Q-3!PivotTable3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257918025434455"/>
          <c:y val="3.3559474499028887E-2"/>
          <c:w val="0.74899487418871646"/>
          <c:h val="0.84972172361991005"/>
        </c:manualLayout>
      </c:layout>
      <c:barChart>
        <c:barDir val="col"/>
        <c:grouping val="clustered"/>
        <c:varyColors val="0"/>
        <c:ser>
          <c:idx val="1"/>
          <c:order val="1"/>
          <c:tx>
            <c:strRef>
              <c:f>'Q-3'!$C$3:$C$5</c:f>
              <c:strCache>
                <c:ptCount val="1"/>
                <c:pt idx="0">
                  <c:v>Post-Elevation - Sum of Total Cash</c:v>
                </c:pt>
              </c:strCache>
            </c:strRef>
          </c:tx>
          <c:spPr>
            <a:solidFill>
              <a:schemeClr val="accent2"/>
            </a:solidFill>
            <a:ln>
              <a:noFill/>
            </a:ln>
            <a:effectLst/>
          </c:spPr>
          <c:invertIfNegative val="0"/>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'Q-3'!$C$6:$C$16</c:f>
              <c:numCache>
                <c:formatCode>"$"#,##0,"K"</c:formatCode>
                <c:ptCount val="10"/>
                <c:pt idx="0">
                  <c:v>641451080.80522418</c:v>
                </c:pt>
                <c:pt idx="1">
                  <c:v>141879220.71717495</c:v>
                </c:pt>
                <c:pt idx="2">
                  <c:v>301212575.08019114</c:v>
                </c:pt>
                <c:pt idx="3">
                  <c:v>767915059.91683197</c:v>
                </c:pt>
                <c:pt idx="4">
                  <c:v>315562615.43891495</c:v>
                </c:pt>
                <c:pt idx="5">
                  <c:v>2538784657.6496148</c:v>
                </c:pt>
                <c:pt idx="6">
                  <c:v>124774648.99053898</c:v>
                </c:pt>
                <c:pt idx="7">
                  <c:v>1274504412.926738</c:v>
                </c:pt>
                <c:pt idx="8">
                  <c:v>534571286.87971902</c:v>
                </c:pt>
                <c:pt idx="9">
                  <c:v>308192838.51658309</c:v>
                </c:pt>
              </c:numCache>
            </c:numRef>
          </c:val>
          <c:extLst>
            <c:ext xmlns:c16="http://schemas.microsoft.com/office/drawing/2014/chart" uri="{C3380CC4-5D6E-409C-BE32-E72D297353CC}">
              <c16:uniqueId val="{00000000-A1CE-4D8D-9A64-3EF4D9FBCDB4}"/>
            </c:ext>
          </c:extLst>
        </c:ser>
        <c:ser>
          <c:idx val="2"/>
          <c:order val="2"/>
          <c:tx>
            <c:strRef>
              <c:f>'Q-3'!$D$3:$D$5</c:f>
              <c:strCache>
                <c:ptCount val="1"/>
                <c:pt idx="0">
                  <c:v>Post-Elevation - Sum of InvesingMembers</c:v>
                </c:pt>
              </c:strCache>
            </c:strRef>
          </c:tx>
          <c:spPr>
            <a:solidFill>
              <a:schemeClr val="accent3"/>
            </a:solidFill>
            <a:ln>
              <a:noFill/>
            </a:ln>
            <a:effectLst/>
          </c:spPr>
          <c:invertIfNegative val="0"/>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'Q-3'!$D$6:$D$16</c:f>
              <c:numCache>
                <c:formatCode>"$"#,##0,"K"</c:formatCode>
                <c:ptCount val="10"/>
                <c:pt idx="0">
                  <c:v>32900</c:v>
                </c:pt>
                <c:pt idx="1">
                  <c:v>6559</c:v>
                </c:pt>
                <c:pt idx="2">
                  <c:v>12738</c:v>
                </c:pt>
                <c:pt idx="3">
                  <c:v>131569</c:v>
                </c:pt>
                <c:pt idx="4">
                  <c:v>5526</c:v>
                </c:pt>
                <c:pt idx="5">
                  <c:v>126908</c:v>
                </c:pt>
                <c:pt idx="6">
                  <c:v>3635</c:v>
                </c:pt>
                <c:pt idx="7">
                  <c:v>68233</c:v>
                </c:pt>
                <c:pt idx="8">
                  <c:v>16404</c:v>
                </c:pt>
                <c:pt idx="9">
                  <c:v>6385</c:v>
                </c:pt>
              </c:numCache>
            </c:numRef>
          </c:val>
          <c:extLst>
            <c:ext xmlns:c16="http://schemas.microsoft.com/office/drawing/2014/chart" uri="{C3380CC4-5D6E-409C-BE32-E72D297353CC}">
              <c16:uniqueId val="{00000001-A1CE-4D8D-9A64-3EF4D9FBCDB4}"/>
            </c:ext>
          </c:extLst>
        </c:ser>
        <c:ser>
          <c:idx val="4"/>
          <c:order val="4"/>
          <c:tx>
            <c:strRef>
              <c:f>'Q-3'!$F$3:$F$5</c:f>
              <c:strCache>
                <c:ptCount val="1"/>
                <c:pt idx="0">
                  <c:v>Pre-Elevation - Sum of Total Cash</c:v>
                </c:pt>
              </c:strCache>
            </c:strRef>
          </c:tx>
          <c:spPr>
            <a:solidFill>
              <a:schemeClr val="accent5"/>
            </a:solidFill>
            <a:ln>
              <a:noFill/>
            </a:ln>
            <a:effectLst/>
          </c:spPr>
          <c:invertIfNegative val="0"/>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'Q-3'!$F$6:$F$16</c:f>
              <c:numCache>
                <c:formatCode>"$"#,##0,"K"</c:formatCode>
                <c:ptCount val="10"/>
                <c:pt idx="0">
                  <c:v>551651334.02462804</c:v>
                </c:pt>
                <c:pt idx="1">
                  <c:v>28430295.573818002</c:v>
                </c:pt>
                <c:pt idx="2">
                  <c:v>168677290.52036896</c:v>
                </c:pt>
                <c:pt idx="3">
                  <c:v>235923343.35985497</c:v>
                </c:pt>
                <c:pt idx="4">
                  <c:v>182591897.21393588</c:v>
                </c:pt>
                <c:pt idx="5">
                  <c:v>1409255752.2166023</c:v>
                </c:pt>
                <c:pt idx="6">
                  <c:v>60668463.876719028</c:v>
                </c:pt>
                <c:pt idx="7">
                  <c:v>658209461.61666906</c:v>
                </c:pt>
                <c:pt idx="8">
                  <c:v>297087043.53920591</c:v>
                </c:pt>
                <c:pt idx="9">
                  <c:v>186645100.39921203</c:v>
                </c:pt>
              </c:numCache>
            </c:numRef>
          </c:val>
          <c:extLst>
            <c:ext xmlns:c16="http://schemas.microsoft.com/office/drawing/2014/chart" uri="{C3380CC4-5D6E-409C-BE32-E72D297353CC}">
              <c16:uniqueId val="{00000002-A1CE-4D8D-9A64-3EF4D9FBCDB4}"/>
            </c:ext>
          </c:extLst>
        </c:ser>
        <c:dLbls>
          <c:showLegendKey val="0"/>
          <c:showVal val="0"/>
          <c:showCatName val="0"/>
          <c:showSerName val="0"/>
          <c:showPercent val="0"/>
          <c:showBubbleSize val="0"/>
        </c:dLbls>
        <c:gapWidth val="150"/>
        <c:axId val="590384095"/>
        <c:axId val="590384575"/>
      </c:barChart>
      <c:lineChart>
        <c:grouping val="standard"/>
        <c:varyColors val="0"/>
        <c:ser>
          <c:idx val="5"/>
          <c:order val="5"/>
          <c:tx>
            <c:strRef>
              <c:f>'Q-3'!$G$3:$G$5</c:f>
              <c:strCache>
                <c:ptCount val="1"/>
                <c:pt idx="0">
                  <c:v>Pre-Elevation - Sum of InvesingMembers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'Q-3'!$G$6:$G$16</c:f>
              <c:numCache>
                <c:formatCode>"$"#,##0,"K"</c:formatCode>
                <c:ptCount val="10"/>
                <c:pt idx="0">
                  <c:v>20046</c:v>
                </c:pt>
                <c:pt idx="1">
                  <c:v>1237</c:v>
                </c:pt>
                <c:pt idx="2">
                  <c:v>4521</c:v>
                </c:pt>
                <c:pt idx="3">
                  <c:v>36408</c:v>
                </c:pt>
                <c:pt idx="4">
                  <c:v>2089</c:v>
                </c:pt>
                <c:pt idx="5">
                  <c:v>43164</c:v>
                </c:pt>
                <c:pt idx="6">
                  <c:v>1078</c:v>
                </c:pt>
                <c:pt idx="7">
                  <c:v>23299</c:v>
                </c:pt>
                <c:pt idx="8">
                  <c:v>6421</c:v>
                </c:pt>
                <c:pt idx="9">
                  <c:v>2800</c:v>
                </c:pt>
              </c:numCache>
            </c:numRef>
          </c:val>
          <c:smooth val="0"/>
          <c:extLst>
            <c:ext xmlns:c16="http://schemas.microsoft.com/office/drawing/2014/chart" uri="{C3380CC4-5D6E-409C-BE32-E72D297353CC}">
              <c16:uniqueId val="{00000003-A1CE-4D8D-9A64-3EF4D9FBCDB4}"/>
            </c:ext>
          </c:extLst>
        </c:ser>
        <c:dLbls>
          <c:showLegendKey val="0"/>
          <c:showVal val="0"/>
          <c:showCatName val="0"/>
          <c:showSerName val="0"/>
          <c:showPercent val="0"/>
          <c:showBubbleSize val="0"/>
        </c:dLbls>
        <c:marker val="1"/>
        <c:smooth val="0"/>
        <c:axId val="590384095"/>
        <c:axId val="590384575"/>
      </c:lineChart>
      <c:lineChart>
        <c:grouping val="standard"/>
        <c:varyColors val="0"/>
        <c:ser>
          <c:idx val="0"/>
          <c:order val="0"/>
          <c:tx>
            <c:strRef>
              <c:f>'Q-3'!$B$3:$B$5</c:f>
              <c:strCache>
                <c:ptCount val="1"/>
                <c:pt idx="0">
                  <c:v>Post-Elevation - Sum of Accounts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'Q-3'!$B$6:$B$16</c:f>
              <c:numCache>
                <c:formatCode>"$"#,##0,"K"</c:formatCode>
                <c:ptCount val="10"/>
                <c:pt idx="0">
                  <c:v>181392</c:v>
                </c:pt>
                <c:pt idx="1">
                  <c:v>51765</c:v>
                </c:pt>
                <c:pt idx="2">
                  <c:v>100525</c:v>
                </c:pt>
                <c:pt idx="3">
                  <c:v>323654</c:v>
                </c:pt>
                <c:pt idx="4">
                  <c:v>108559</c:v>
                </c:pt>
                <c:pt idx="5">
                  <c:v>550532</c:v>
                </c:pt>
                <c:pt idx="6">
                  <c:v>88184</c:v>
                </c:pt>
                <c:pt idx="7">
                  <c:v>465279</c:v>
                </c:pt>
                <c:pt idx="8">
                  <c:v>236689</c:v>
                </c:pt>
                <c:pt idx="9">
                  <c:v>129259</c:v>
                </c:pt>
              </c:numCache>
            </c:numRef>
          </c:val>
          <c:smooth val="0"/>
          <c:extLst>
            <c:ext xmlns:c16="http://schemas.microsoft.com/office/drawing/2014/chart" uri="{C3380CC4-5D6E-409C-BE32-E72D297353CC}">
              <c16:uniqueId val="{00000004-A1CE-4D8D-9A64-3EF4D9FBCDB4}"/>
            </c:ext>
          </c:extLst>
        </c:ser>
        <c:ser>
          <c:idx val="3"/>
          <c:order val="3"/>
          <c:tx>
            <c:strRef>
              <c:f>'Q-3'!$E$3:$E$5</c:f>
              <c:strCache>
                <c:ptCount val="1"/>
                <c:pt idx="0">
                  <c:v>Pre-Elevation - Sum of Accounts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'Q-3'!$A$6:$A$16</c:f>
              <c:strCache>
                <c:ptCount val="10"/>
                <c:pt idx="0">
                  <c:v>BioPharma</c:v>
                </c:pt>
                <c:pt idx="1">
                  <c:v>CPG</c:v>
                </c:pt>
                <c:pt idx="2">
                  <c:v>Engineering</c:v>
                </c:pt>
                <c:pt idx="3">
                  <c:v>Financial</c:v>
                </c:pt>
                <c:pt idx="4">
                  <c:v>Health</c:v>
                </c:pt>
                <c:pt idx="5">
                  <c:v>High Tech</c:v>
                </c:pt>
                <c:pt idx="6">
                  <c:v>Industrial</c:v>
                </c:pt>
                <c:pt idx="7">
                  <c:v>Industrial - Aerospace</c:v>
                </c:pt>
                <c:pt idx="8">
                  <c:v>Logistics</c:v>
                </c:pt>
                <c:pt idx="9">
                  <c:v>Media</c:v>
                </c:pt>
              </c:strCache>
            </c:strRef>
          </c:cat>
          <c:val>
            <c:numRef>
              <c:f>'Q-3'!$E$6:$E$16</c:f>
              <c:numCache>
                <c:formatCode>"$"#,##0,"K"</c:formatCode>
                <c:ptCount val="10"/>
                <c:pt idx="0">
                  <c:v>189553</c:v>
                </c:pt>
                <c:pt idx="1">
                  <c:v>11650</c:v>
                </c:pt>
                <c:pt idx="2">
                  <c:v>64028</c:v>
                </c:pt>
                <c:pt idx="3">
                  <c:v>107189</c:v>
                </c:pt>
                <c:pt idx="4">
                  <c:v>73350</c:v>
                </c:pt>
                <c:pt idx="5">
                  <c:v>336353</c:v>
                </c:pt>
                <c:pt idx="6">
                  <c:v>49283</c:v>
                </c:pt>
                <c:pt idx="7">
                  <c:v>348552</c:v>
                </c:pt>
                <c:pt idx="8">
                  <c:v>162756</c:v>
                </c:pt>
                <c:pt idx="9">
                  <c:v>91654</c:v>
                </c:pt>
              </c:numCache>
            </c:numRef>
          </c:val>
          <c:smooth val="0"/>
          <c:extLst>
            <c:ext xmlns:c16="http://schemas.microsoft.com/office/drawing/2014/chart" uri="{C3380CC4-5D6E-409C-BE32-E72D297353CC}">
              <c16:uniqueId val="{00000005-A1CE-4D8D-9A64-3EF4D9FBCDB4}"/>
            </c:ext>
          </c:extLst>
        </c:ser>
        <c:dLbls>
          <c:showLegendKey val="0"/>
          <c:showVal val="0"/>
          <c:showCatName val="0"/>
          <c:showSerName val="0"/>
          <c:showPercent val="0"/>
          <c:showBubbleSize val="0"/>
        </c:dLbls>
        <c:marker val="1"/>
        <c:smooth val="0"/>
        <c:axId val="640540095"/>
        <c:axId val="640559295"/>
      </c:lineChart>
      <c:catAx>
        <c:axId val="59038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384575"/>
        <c:crosses val="autoZero"/>
        <c:auto val="1"/>
        <c:lblAlgn val="ctr"/>
        <c:lblOffset val="100"/>
        <c:noMultiLvlLbl val="0"/>
      </c:catAx>
      <c:valAx>
        <c:axId val="59038457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quot;K&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384095"/>
        <c:crosses val="autoZero"/>
        <c:crossBetween val="between"/>
      </c:valAx>
      <c:valAx>
        <c:axId val="640559295"/>
        <c:scaling>
          <c:orientation val="minMax"/>
        </c:scaling>
        <c:delete val="0"/>
        <c:axPos val="r"/>
        <c:numFmt formatCode="&quot;$&quot;#,##0,&quot;K&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40095"/>
        <c:crosses val="max"/>
        <c:crossBetween val="between"/>
      </c:valAx>
      <c:catAx>
        <c:axId val="640540095"/>
        <c:scaling>
          <c:orientation val="minMax"/>
        </c:scaling>
        <c:delete val="1"/>
        <c:axPos val="b"/>
        <c:numFmt formatCode="General" sourceLinked="1"/>
        <c:majorTickMark val="none"/>
        <c:minorTickMark val="none"/>
        <c:tickLblPos val="nextTo"/>
        <c:crossAx val="640559295"/>
        <c:crosses val="autoZero"/>
        <c:auto val="1"/>
        <c:lblAlgn val="ctr"/>
        <c:lblOffset val="100"/>
        <c:noMultiLvlLbl val="0"/>
      </c:catAx>
      <c:spPr>
        <a:noFill/>
        <a:ln>
          <a:noFill/>
        </a:ln>
        <a:effectLst/>
      </c:spPr>
    </c:plotArea>
    <c:legend>
      <c:legendPos val="t"/>
      <c:layout>
        <c:manualLayout>
          <c:xMode val="edge"/>
          <c:yMode val="edge"/>
          <c:x val="0.16790009421899185"/>
          <c:y val="1.6003759225510301E-2"/>
          <c:w val="0.66275679294727596"/>
          <c:h val="7.4151216083435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E42E-284B-4DCE-844D-341E7538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4931</TotalTime>
  <Pages>17</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Adikkesavelu, Aasvitha - (aasvitha)</dc:creator>
  <cp:keywords/>
  <dc:description/>
  <cp:lastModifiedBy>Adikkesavelu, Aasvitha - (aasvitha)</cp:lastModifiedBy>
  <cp:revision>20</cp:revision>
  <dcterms:created xsi:type="dcterms:W3CDTF">2024-03-17T17:09:00Z</dcterms:created>
  <dcterms:modified xsi:type="dcterms:W3CDTF">2024-03-21T20:36:00Z</dcterms:modified>
</cp:coreProperties>
</file>