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137" w:val="clear"/>
        <w:spacing w:after="0" w:before="200"/>
        <w:ind w:left="400" w:right="400"/>
      </w:pPr>
      <w:r>
        <w:rPr>
          <w:rFonts w:ascii="Calibri" w:cs="Calibri" w:eastAsia="Calibri" w:hAnsi="Calibri"/>
          <w:b/>
          <w:bCs/>
          <w:color w:val="FFFFFF"/>
          <w:sz w:val="56"/>
          <w:szCs w:val="56"/>
        </w:rPr>
        <w:t xml:space="preserve">Motor de Identificação e Estimativa de Faturamento</w:t>
      </w:r>
    </w:p>
    <w:p>
      <w:pPr>
        <w:shd w:fill="0D2137" w:val="clear"/>
        <w:spacing w:after="0" w:before="0"/>
        <w:ind w:left="400" w:right="400"/>
      </w:pPr>
      <w:r>
        <w:rPr>
          <w:rFonts w:ascii="Calibri" w:cs="Calibri" w:eastAsia="Calibri" w:hAnsi="Calibri"/>
          <w:color w:val="9FB8C8"/>
          <w:sz w:val="26"/>
          <w:szCs w:val="26"/>
        </w:rPr>
        <w:t xml:space="preserve">Cruzamento de bases públicas + Compartilha RFB</w:t>
      </w:r>
    </w:p>
    <w:p>
      <w:pPr>
        <w:shd w:fill="1B4F72" w:val="clear"/>
        <w:spacing w:after="280" w:before="0"/>
        <w:ind w:left="400" w:right="400"/>
      </w:pPr>
      <w:r>
        <w:rPr>
          <w:rFonts w:ascii="Calibri" w:cs="Calibri" w:eastAsia="Calibri" w:hAnsi="Calibri"/>
          <w:i/>
          <w:iCs/>
          <w:color w:val="FFFFFF"/>
          <w:sz w:val="18"/>
          <w:szCs w:val="18"/>
        </w:rPr>
        <w:t xml:space="preserve">Metodologia consolidada · Versão 3.1 · MVP RJ/SP</w:t>
      </w:r>
    </w:p>
    <w:p>
      <w:pPr>
        <w:spacing w:after="0" w:before="220"/>
      </w:pPr>
    </w:p>
    <w:p>
      <w:pPr>
        <w:spacing w:after="60" w:before="0"/>
      </w:pPr>
      <w:r>
        <w:rPr>
          <w:rFonts w:ascii="Calibri" w:cs="Calibri" w:eastAsia="Calibri" w:hAnsi="Calibri"/>
          <w:b/>
          <w:bCs/>
          <w:color w:val="00A86B"/>
          <w:spacing w:val="80"/>
          <w:sz w:val="18"/>
          <w:szCs w:val="18"/>
        </w:rPr>
        <w:t xml:space="preserve">1. O PROBLEMA QUE RESOLVEMOS</w:t>
      </w:r>
    </w:p>
    <w:p>
      <w:pPr>
        <w:pBdr>
          <w:bottom w:val="single" w:color="00A86B" w:sz="4" w:space="1"/>
        </w:pBdr>
        <w:spacing w:after="80" w:before="80"/>
      </w:pPr>
    </w:p>
    <w:p>
      <w:pPr>
        <w:spacing w:after="0" w:before="60"/>
      </w:pPr>
    </w:p>
    <w:p>
      <w:pPr>
        <w:spacing w:after="100" w:before="60" w:line="320"/>
        <w:jc w:val="both"/>
      </w:pPr>
      <w:r>
        <w:rPr>
          <w:rFonts w:ascii="Calibri" w:cs="Calibri" w:eastAsia="Calibri" w:hAnsi="Calibri"/>
          <w:color w:val="1C1C1C"/>
          <w:sz w:val="22"/>
          <w:szCs w:val="22"/>
        </w:rPr>
        <w:t xml:space="preserve">Empresas Ltda. de médio porte no Brasil não declaram faturamento publicamente. A Receita Federal protege esse dado por sigilo fiscal (art. 198 do CTN). Bureaus pagos como Serasa entregam apenas faixas opacas, com metodologia não publicável. Para o caso de uso M&amp;A — em que o comprador precisa decidir se gasta semanas de due diligence em um alvo — isso não basta.</w:t>
      </w:r>
    </w:p>
    <w:p>
      <w:pPr>
        <w:spacing w:after="100" w:before="60" w:line="320"/>
        <w:jc w:val="both"/>
      </w:pPr>
      <w:r>
        <w:rPr>
          <w:rFonts w:ascii="Calibri" w:cs="Calibri" w:eastAsia="Calibri" w:hAnsi="Calibri"/>
          <w:color w:val="1C1C1C"/>
          <w:sz w:val="22"/>
          <w:szCs w:val="22"/>
        </w:rPr>
        <w:t xml:space="preserve">A solução é um motor de estimativa de faturamento construído sobre fontes públicas brasileiras, com metodologia auditável e intervalo de confiança explícito, complementado por uma camada opcional de verificação ativa via Compartilha RFB no funil de outreach.</w:t>
      </w:r>
    </w:p>
    <w:p>
      <w:pPr>
        <w:pBdr>
          <w:left w:val="single" w:color="00A86B" w:sz="24" w:space="0"/>
        </w:pBdr>
        <w:shd w:fill="EBF5FB" w:val="clear"/>
        <w:spacing w:after="140" w:before="120"/>
        <w:ind w:left="300" w:right="300"/>
      </w:pPr>
      <w:r>
        <w:rPr>
          <w:rFonts w:ascii="Calibri" w:cs="Calibri" w:eastAsia="Calibri" w:hAnsi="Calibri"/>
          <w:b/>
          <w:bCs/>
          <w:color w:val="00A86B"/>
          <w:spacing w:val="60"/>
          <w:sz w:val="18"/>
          <w:szCs w:val="18"/>
        </w:rPr>
        <w:t xml:space="preserve">ESCOPO DO MVP  </w:t>
      </w:r>
      <w:r>
        <w:rPr>
          <w:rFonts w:ascii="Calibri" w:cs="Calibri" w:eastAsia="Calibri" w:hAnsi="Calibri"/>
          <w:color w:val="1C1C1C"/>
          <w:sz w:val="21"/>
          <w:szCs w:val="21"/>
        </w:rPr>
        <w:t xml:space="preserve">Empresas Ltda. de R$4,8M a R$60M de faturamento anual, sediadas em RJ ou SP. A restrição geográfica é estratégica: RJ e SP são as únicas capitais onde a RAIS Estabelecimentos expõe bairro como variável adicional, e concentram a maioria dos search funds e boutiques M&amp;A do Brasil.</w:t>
      </w:r>
    </w:p>
    <w:p>
      <w:pPr>
        <w:spacing w:after="0" w:before="220"/>
      </w:pPr>
    </w:p>
    <w:p>
      <w:pPr>
        <w:spacing w:after="60" w:before="0"/>
      </w:pPr>
      <w:r>
        <w:rPr>
          <w:rFonts w:ascii="Calibri" w:cs="Calibri" w:eastAsia="Calibri" w:hAnsi="Calibri"/>
          <w:b/>
          <w:bCs/>
          <w:color w:val="00A86B"/>
          <w:spacing w:val="80"/>
          <w:sz w:val="18"/>
          <w:szCs w:val="18"/>
        </w:rPr>
        <w:t xml:space="preserve">2. BASES DE DADOS QUE USAMOS</w:t>
      </w:r>
    </w:p>
    <w:p>
      <w:pPr>
        <w:pBdr>
          <w:bottom w:val="single" w:color="00A86B" w:sz="4" w:space="1"/>
        </w:pBdr>
        <w:spacing w:after="80" w:before="80"/>
      </w:pPr>
    </w:p>
    <w:p>
      <w:pPr>
        <w:spacing w:after="0" w:before="60"/>
      </w:pPr>
    </w:p>
    <w:p>
      <w:pPr>
        <w:spacing w:after="100" w:before="60" w:line="320"/>
        <w:jc w:val="both"/>
      </w:pPr>
      <w:r>
        <w:rPr>
          <w:rFonts w:ascii="Calibri" w:cs="Calibri" w:eastAsia="Calibri" w:hAnsi="Calibri"/>
          <w:color w:val="1C1C1C"/>
          <w:sz w:val="22"/>
          <w:szCs w:val="22"/>
        </w:rPr>
        <w:t xml:space="preserve">O motor consome cinco bases públicas e gratuitas. A última delas — Compartilha RFB — é uma camada de consentimento ativada apenas no funil ativo. O CAGED foi descartado da arquitetura: o Match RAIS já entrega o headcount necessário, e a defasagem de até 12 meses é aceitável para triagem M&amp;A.</w:t>
      </w:r>
    </w:p>
    <w:p>
      <w:pPr>
        <w:pStyle w:val="Heading2"/>
        <w:spacing w:after="80" w:before="200"/>
      </w:pPr>
      <w:r>
        <w:rPr>
          <w:rFonts w:ascii="Calibri" w:cs="Calibri" w:eastAsia="Calibri" w:hAnsi="Calibri"/>
          <w:b/>
          <w:bCs/>
          <w:color w:val="1B4F72"/>
          <w:sz w:val="26"/>
          <w:szCs w:val="26"/>
        </w:rPr>
        <w:t xml:space="preserve">2.1 Inventário das fontes</w:t>
      </w:r>
    </w:p>
    <w:tbl>
      <w:tblPr>
        <w:tblW w:type="dxa" w:w="9332"/>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400"/>
        <w:gridCol w:w="2432"/>
      </w:tblGrid>
      <w:tr>
        <w:trPr>
          <w:tblHeader/>
        </w:trPr>
        <w:tc>
          <w:tcPr>
            <w:tcW w:type="dxa" w:w="3000"/>
            <w:tcBorders>
              <w:top w:val="single" w:color="BDC3C7" w:sz="1"/>
              <w:left w:val="single" w:color="BDC3C7" w:sz="1"/>
              <w:bottom w:val="single" w:color="BDC3C7" w:sz="1"/>
              <w:right w:val="single" w:color="BDC3C7" w:sz="1"/>
            </w:tcBorders>
            <w:shd w:fill="0D2137" w:val="clear"/>
            <w:tcMar>
              <w:top w:type="dxa" w:w="120"/>
              <w:left w:type="dxa" w:w="150"/>
              <w:bottom w:type="dxa" w:w="120"/>
              <w:right w:type="dxa" w:w="150"/>
            </w:tcMar>
            <w:vAlign w:val="center"/>
          </w:tcPr>
          <w:p>
            <w:pPr>
              <w:jc w:val="left"/>
            </w:pPr>
            <w:r>
              <w:rPr>
                <w:rFonts w:ascii="Calibri" w:cs="Calibri" w:eastAsia="Calibri" w:hAnsi="Calibri"/>
                <w:b/>
                <w:bCs/>
                <w:color w:val="FFFFFF"/>
                <w:sz w:val="20"/>
                <w:szCs w:val="20"/>
              </w:rPr>
              <w:t xml:space="preserve">Base</w:t>
            </w:r>
          </w:p>
        </w:tc>
        <w:tc>
          <w:tcPr>
            <w:tcW w:type="dxa" w:w="1500"/>
            <w:tcBorders>
              <w:top w:val="single" w:color="BDC3C7" w:sz="1"/>
              <w:left w:val="single" w:color="BDC3C7" w:sz="1"/>
              <w:bottom w:val="single" w:color="BDC3C7" w:sz="1"/>
              <w:right w:val="single" w:color="BDC3C7" w:sz="1"/>
            </w:tcBorders>
            <w:shd w:fill="0D2137" w:val="clear"/>
            <w:tcMar>
              <w:top w:type="dxa" w:w="120"/>
              <w:left w:type="dxa" w:w="150"/>
              <w:bottom w:type="dxa" w:w="120"/>
              <w:right w:type="dxa" w:w="150"/>
            </w:tcMar>
            <w:vAlign w:val="center"/>
          </w:tcPr>
          <w:p>
            <w:pPr>
              <w:jc w:val="left"/>
            </w:pPr>
            <w:r>
              <w:rPr>
                <w:rFonts w:ascii="Calibri" w:cs="Calibri" w:eastAsia="Calibri" w:hAnsi="Calibri"/>
                <w:b/>
                <w:bCs/>
                <w:color w:val="FFFFFF"/>
                <w:sz w:val="20"/>
                <w:szCs w:val="20"/>
              </w:rPr>
              <w:t xml:space="preserve">Atualização</w:t>
            </w:r>
          </w:p>
        </w:tc>
        <w:tc>
          <w:tcPr>
            <w:tcW w:type="dxa" w:w="2400"/>
            <w:tcBorders>
              <w:top w:val="single" w:color="BDC3C7" w:sz="1"/>
              <w:left w:val="single" w:color="BDC3C7" w:sz="1"/>
              <w:bottom w:val="single" w:color="BDC3C7" w:sz="1"/>
              <w:right w:val="single" w:color="BDC3C7" w:sz="1"/>
            </w:tcBorders>
            <w:shd w:fill="0D2137" w:val="clear"/>
            <w:tcMar>
              <w:top w:type="dxa" w:w="120"/>
              <w:left w:type="dxa" w:w="150"/>
              <w:bottom w:type="dxa" w:w="120"/>
              <w:right w:type="dxa" w:w="150"/>
            </w:tcMar>
            <w:vAlign w:val="center"/>
          </w:tcPr>
          <w:p>
            <w:pPr>
              <w:jc w:val="left"/>
            </w:pPr>
            <w:r>
              <w:rPr>
                <w:rFonts w:ascii="Calibri" w:cs="Calibri" w:eastAsia="Calibri" w:hAnsi="Calibri"/>
                <w:b/>
                <w:bCs/>
                <w:color w:val="FFFFFF"/>
                <w:sz w:val="20"/>
                <w:szCs w:val="20"/>
              </w:rPr>
              <w:t xml:space="preserve">CNPJ</w:t>
            </w:r>
          </w:p>
        </w:tc>
        <w:tc>
          <w:tcPr>
            <w:tcW w:type="dxa" w:w="2432"/>
            <w:tcBorders>
              <w:top w:val="single" w:color="BDC3C7" w:sz="1"/>
              <w:left w:val="single" w:color="BDC3C7" w:sz="1"/>
              <w:bottom w:val="single" w:color="BDC3C7" w:sz="1"/>
              <w:right w:val="single" w:color="BDC3C7" w:sz="1"/>
            </w:tcBorders>
            <w:shd w:fill="0D2137" w:val="clear"/>
            <w:tcMar>
              <w:top w:type="dxa" w:w="120"/>
              <w:left w:type="dxa" w:w="150"/>
              <w:bottom w:type="dxa" w:w="120"/>
              <w:right w:type="dxa" w:w="150"/>
            </w:tcMar>
            <w:vAlign w:val="center"/>
          </w:tcPr>
          <w:p>
            <w:pPr>
              <w:jc w:val="left"/>
            </w:pPr>
            <w:r>
              <w:rPr>
                <w:rFonts w:ascii="Calibri" w:cs="Calibri" w:eastAsia="Calibri" w:hAnsi="Calibri"/>
                <w:b/>
                <w:bCs/>
                <w:color w:val="FFFFFF"/>
                <w:sz w:val="20"/>
                <w:szCs w:val="20"/>
              </w:rPr>
              <w:t xml:space="preserve">Papel</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Receita Federal — Cadastro CNPJ</w:t>
            </w:r>
          </w:p>
        </w:tc>
        <w:tc>
          <w:tcPr>
            <w:tcW w:type="dxa" w:w="15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Mensal</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Identificada</w:t>
            </w:r>
          </w:p>
        </w:tc>
        <w:tc>
          <w:tcPr>
            <w:tcW w:type="dxa" w:w="2432"/>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Universo + chave de match</w:t>
            </w:r>
          </w:p>
        </w:tc>
      </w:tr>
      <w:tr>
        <w:tc>
          <w:tcPr>
            <w:tcW w:type="dxa" w:w="30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Simples Nacional — Portal</w:t>
            </w:r>
          </w:p>
        </w:tc>
        <w:tc>
          <w:tcPr>
            <w:tcW w:type="dxa" w:w="15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Tempo real</w:t>
            </w:r>
          </w:p>
        </w:tc>
        <w:tc>
          <w:tcPr>
            <w:tcW w:type="dxa" w:w="24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Identificada</w:t>
            </w:r>
          </w:p>
        </w:tc>
        <w:tc>
          <w:tcPr>
            <w:tcW w:type="dxa" w:w="2432"/>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Filtro de teto + exclusão</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RAIS pública — Estabelecimentos</w:t>
            </w:r>
          </w:p>
        </w:tc>
        <w:tc>
          <w:tcPr>
            <w:tcW w:type="dxa" w:w="15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Anual</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Anonimizada</w:t>
            </w:r>
          </w:p>
        </w:tc>
        <w:tc>
          <w:tcPr>
            <w:tcW w:type="dxa" w:w="2432"/>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Headcount via match composto</w:t>
            </w:r>
          </w:p>
        </w:tc>
      </w:tr>
      <w:tr>
        <w:tc>
          <w:tcPr>
            <w:tcW w:type="dxa" w:w="30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RAIS pública — Vínculos</w:t>
            </w:r>
          </w:p>
        </w:tc>
        <w:tc>
          <w:tcPr>
            <w:tcW w:type="dxa" w:w="15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Anual</w:t>
            </w:r>
          </w:p>
        </w:tc>
        <w:tc>
          <w:tcPr>
            <w:tcW w:type="dxa" w:w="24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Anonimizada</w:t>
            </w:r>
          </w:p>
        </w:tc>
        <w:tc>
          <w:tcPr>
            <w:tcW w:type="dxa" w:w="2432"/>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Benchmark salarial por CNAE × município</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Compartilha RFB (e-CAC)</w:t>
            </w:r>
          </w:p>
        </w:tc>
        <w:tc>
          <w:tcPr>
            <w:tcW w:type="dxa" w:w="15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Sob demanda</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Identificada (consentimento)</w:t>
            </w:r>
          </w:p>
        </w:tc>
        <w:tc>
          <w:tcPr>
            <w:tcW w:type="dxa" w:w="2432"/>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Verificação no funil ativo</w:t>
            </w:r>
          </w:p>
        </w:tc>
      </w:tr>
    </w:tbl>
    <w:p>
      <w:pPr>
        <w:pBdr>
          <w:left w:val="single" w:color="B7791F" w:sz="24" w:space="0"/>
        </w:pBdr>
        <w:shd w:fill="FEF3C7" w:val="clear"/>
        <w:spacing w:after="140" w:before="120"/>
        <w:ind w:left="300" w:right="300"/>
      </w:pPr>
      <w:r>
        <w:rPr>
          <w:rFonts w:ascii="Calibri" w:cs="Calibri" w:eastAsia="Calibri" w:hAnsi="Calibri"/>
          <w:b/>
          <w:bCs/>
          <w:color w:val="B7791F"/>
          <w:spacing w:val="60"/>
          <w:sz w:val="18"/>
          <w:szCs w:val="18"/>
        </w:rPr>
        <w:t xml:space="preserve">LIMITES ESTRUTURAIS DAS DUAS TABELAS RAIS  </w:t>
      </w:r>
      <w:r>
        <w:rPr>
          <w:rFonts w:ascii="Calibri" w:cs="Calibri" w:eastAsia="Calibri" w:hAnsi="Calibri"/>
          <w:color w:val="1C1C1C"/>
          <w:sz w:val="21"/>
          <w:szCs w:val="21"/>
        </w:rPr>
        <w:t xml:space="preserve">A RAIS Estabelecimentos e a RAIS Vínculos são publicadas como tabelas independentes pelo MTE. Não existe identificador comum entre elas que permita ligar uma linha da Vínculos a um estabelecimento específico da Estabelecimentos. Isso significa: a Vínculos serve para construir agregados estatísticos por CNAE × município (benchmark setorial), não para enriquecer o perfil de um CNPJ específico identificado via Match. O CEP, bairro e identificação geográfica fina ficam só na Estabelecimentos.</w:t>
      </w:r>
    </w:p>
    <w:p>
      <w:pPr>
        <w:pStyle w:val="Heading2"/>
        <w:spacing w:after="80" w:before="200"/>
      </w:pPr>
      <w:r>
        <w:rPr>
          <w:rFonts w:ascii="Calibri" w:cs="Calibri" w:eastAsia="Calibri" w:hAnsi="Calibri"/>
          <w:b/>
          <w:bCs/>
          <w:color w:val="1B4F72"/>
          <w:sz w:val="26"/>
          <w:szCs w:val="26"/>
        </w:rPr>
        <w:t xml:space="preserve">2.2 Variáveis de cada base</w:t>
      </w:r>
    </w:p>
    <w:p>
      <w:pPr>
        <w:pStyle w:val="Heading3"/>
        <w:spacing w:after="60" w:before="160"/>
      </w:pPr>
      <w:r>
        <w:rPr>
          <w:rFonts w:ascii="Calibri" w:cs="Calibri" w:eastAsia="Calibri" w:hAnsi="Calibri"/>
          <w:b/>
          <w:bCs/>
          <w:color w:val="0D2137"/>
          <w:sz w:val="22"/>
          <w:szCs w:val="22"/>
        </w:rPr>
        <w:t xml:space="preserve">Receita Federal — tabela ESTABELECIMENTO</w:t>
      </w:r>
    </w:p>
    <w:p>
      <w:pPr>
        <w:pStyle w:val="ListParagraph"/>
        <w:numPr>
          <w:ilvl w:val="0"/>
          <w:numId w:val="2"/>
        </w:numPr>
        <w:spacing w:after="30" w:before="30" w:line="300"/>
      </w:pPr>
      <w:r>
        <w:rPr>
          <w:rFonts w:ascii="Calibri" w:cs="Calibri" w:eastAsia="Calibri" w:hAnsi="Calibri"/>
          <w:color w:val="1C1C1C"/>
          <w:sz w:val="22"/>
          <w:szCs w:val="22"/>
        </w:rPr>
        <w:t xml:space="preserve">cnpj_basico, cnpj_ordem, cnpj_dv (CNPJ completo de 14 dígitos)</w:t>
      </w:r>
    </w:p>
    <w:p>
      <w:pPr>
        <w:pStyle w:val="ListParagraph"/>
        <w:numPr>
          <w:ilvl w:val="0"/>
          <w:numId w:val="2"/>
        </w:numPr>
        <w:spacing w:after="30" w:before="30" w:line="300"/>
      </w:pPr>
      <w:r>
        <w:rPr>
          <w:rFonts w:ascii="Calibri" w:cs="Calibri" w:eastAsia="Calibri" w:hAnsi="Calibri"/>
          <w:color w:val="1C1C1C"/>
          <w:sz w:val="22"/>
          <w:szCs w:val="22"/>
        </w:rPr>
        <w:t xml:space="preserve">identificador_matriz_filial (1 = matriz, 2 = filial)</w:t>
      </w:r>
    </w:p>
    <w:p>
      <w:pPr>
        <w:pStyle w:val="ListParagraph"/>
        <w:numPr>
          <w:ilvl w:val="0"/>
          <w:numId w:val="2"/>
        </w:numPr>
        <w:spacing w:after="30" w:before="30" w:line="300"/>
      </w:pPr>
      <w:r>
        <w:rPr>
          <w:rFonts w:ascii="Calibri" w:cs="Calibri" w:eastAsia="Calibri" w:hAnsi="Calibri"/>
          <w:color w:val="1C1C1C"/>
          <w:sz w:val="22"/>
          <w:szCs w:val="22"/>
        </w:rPr>
        <w:t xml:space="preserve">nome_fantasia</w:t>
      </w:r>
    </w:p>
    <w:p>
      <w:pPr>
        <w:pStyle w:val="ListParagraph"/>
        <w:numPr>
          <w:ilvl w:val="0"/>
          <w:numId w:val="2"/>
        </w:numPr>
        <w:spacing w:after="30" w:before="30" w:line="300"/>
      </w:pPr>
      <w:r>
        <w:rPr>
          <w:rFonts w:ascii="Calibri" w:cs="Calibri" w:eastAsia="Calibri" w:hAnsi="Calibri"/>
          <w:color w:val="1C1C1C"/>
          <w:sz w:val="22"/>
          <w:szCs w:val="22"/>
        </w:rPr>
        <w:t xml:space="preserve">situacao_cadastral, data_situacao_cadastral, motivo_situacao_cadastral</w:t>
      </w:r>
    </w:p>
    <w:p>
      <w:pPr>
        <w:pStyle w:val="ListParagraph"/>
        <w:numPr>
          <w:ilvl w:val="0"/>
          <w:numId w:val="2"/>
        </w:numPr>
        <w:spacing w:after="30" w:before="30" w:line="300"/>
      </w:pPr>
      <w:r>
        <w:rPr>
          <w:rFonts w:ascii="Calibri" w:cs="Calibri" w:eastAsia="Calibri" w:hAnsi="Calibri"/>
          <w:color w:val="1C1C1C"/>
          <w:sz w:val="22"/>
          <w:szCs w:val="22"/>
        </w:rPr>
        <w:t xml:space="preserve">data_inicio_atividade</w:t>
      </w:r>
    </w:p>
    <w:p>
      <w:pPr>
        <w:pStyle w:val="ListParagraph"/>
        <w:numPr>
          <w:ilvl w:val="0"/>
          <w:numId w:val="2"/>
        </w:numPr>
        <w:spacing w:after="30" w:before="30" w:line="300"/>
      </w:pPr>
      <w:r>
        <w:rPr>
          <w:rFonts w:ascii="Calibri" w:cs="Calibri" w:eastAsia="Calibri" w:hAnsi="Calibri"/>
          <w:color w:val="1C1C1C"/>
          <w:sz w:val="22"/>
          <w:szCs w:val="22"/>
        </w:rPr>
        <w:t xml:space="preserve">cnae_fiscal_principal (subclasse 7 dígitos), cnae_fiscal_secundaria</w:t>
      </w:r>
    </w:p>
    <w:p>
      <w:pPr>
        <w:pStyle w:val="ListParagraph"/>
        <w:numPr>
          <w:ilvl w:val="0"/>
          <w:numId w:val="2"/>
        </w:numPr>
        <w:spacing w:after="30" w:before="30" w:line="300"/>
      </w:pPr>
      <w:r>
        <w:rPr>
          <w:rFonts w:ascii="Calibri" w:cs="Calibri" w:eastAsia="Calibri" w:hAnsi="Calibri"/>
          <w:color w:val="1C1C1C"/>
          <w:sz w:val="22"/>
          <w:szCs w:val="22"/>
        </w:rPr>
        <w:t xml:space="preserve">tipo_logradouro, logradouro, numero, complemento, bairro</w:t>
      </w:r>
    </w:p>
    <w:p>
      <w:pPr>
        <w:pStyle w:val="ListParagraph"/>
        <w:numPr>
          <w:ilvl w:val="0"/>
          <w:numId w:val="2"/>
        </w:numPr>
        <w:spacing w:after="30" w:before="30" w:line="300"/>
      </w:pPr>
      <w:r>
        <w:rPr>
          <w:rFonts w:ascii="Calibri" w:cs="Calibri" w:eastAsia="Calibri" w:hAnsi="Calibri"/>
          <w:color w:val="1C1C1C"/>
          <w:sz w:val="22"/>
          <w:szCs w:val="22"/>
        </w:rPr>
        <w:t xml:space="preserve">cep (8 dígitos exatos)</w:t>
      </w:r>
    </w:p>
    <w:p>
      <w:pPr>
        <w:pStyle w:val="ListParagraph"/>
        <w:numPr>
          <w:ilvl w:val="0"/>
          <w:numId w:val="2"/>
        </w:numPr>
        <w:spacing w:after="30" w:before="30" w:line="300"/>
      </w:pPr>
      <w:r>
        <w:rPr>
          <w:rFonts w:ascii="Calibri" w:cs="Calibri" w:eastAsia="Calibri" w:hAnsi="Calibri"/>
          <w:color w:val="1C1C1C"/>
          <w:sz w:val="22"/>
          <w:szCs w:val="22"/>
        </w:rPr>
        <w:t xml:space="preserve">uf, municipio (código IBGE)</w:t>
      </w:r>
    </w:p>
    <w:p>
      <w:pPr>
        <w:pStyle w:val="Heading3"/>
        <w:spacing w:after="60" w:before="160"/>
      </w:pPr>
      <w:r>
        <w:rPr>
          <w:rFonts w:ascii="Calibri" w:cs="Calibri" w:eastAsia="Calibri" w:hAnsi="Calibri"/>
          <w:b/>
          <w:bCs/>
          <w:color w:val="0D2137"/>
          <w:sz w:val="22"/>
          <w:szCs w:val="22"/>
        </w:rPr>
        <w:t xml:space="preserve">Receita Federal — tabela EMPRESA</w:t>
      </w:r>
    </w:p>
    <w:p>
      <w:pPr>
        <w:pStyle w:val="ListParagraph"/>
        <w:numPr>
          <w:ilvl w:val="0"/>
          <w:numId w:val="2"/>
        </w:numPr>
        <w:spacing w:after="30" w:before="30" w:line="300"/>
      </w:pPr>
      <w:r>
        <w:rPr>
          <w:rFonts w:ascii="Calibri" w:cs="Calibri" w:eastAsia="Calibri" w:hAnsi="Calibri"/>
          <w:color w:val="1C1C1C"/>
          <w:sz w:val="22"/>
          <w:szCs w:val="22"/>
        </w:rPr>
        <w:t xml:space="preserve">razao_social</w:t>
      </w:r>
    </w:p>
    <w:p>
      <w:pPr>
        <w:pStyle w:val="ListParagraph"/>
        <w:numPr>
          <w:ilvl w:val="0"/>
          <w:numId w:val="2"/>
        </w:numPr>
        <w:spacing w:after="30" w:before="30" w:line="300"/>
      </w:pPr>
      <w:r>
        <w:rPr>
          <w:rFonts w:ascii="Calibri" w:cs="Calibri" w:eastAsia="Calibri" w:hAnsi="Calibri"/>
          <w:color w:val="1C1C1C"/>
          <w:sz w:val="22"/>
          <w:szCs w:val="22"/>
        </w:rPr>
        <w:t xml:space="preserve">natureza_juridica (código)</w:t>
      </w:r>
    </w:p>
    <w:p>
      <w:pPr>
        <w:pStyle w:val="ListParagraph"/>
        <w:numPr>
          <w:ilvl w:val="0"/>
          <w:numId w:val="2"/>
        </w:numPr>
        <w:spacing w:after="30" w:before="30" w:line="300"/>
      </w:pPr>
      <w:r>
        <w:rPr>
          <w:rFonts w:ascii="Calibri" w:cs="Calibri" w:eastAsia="Calibri" w:hAnsi="Calibri"/>
          <w:color w:val="1C1C1C"/>
          <w:sz w:val="22"/>
          <w:szCs w:val="22"/>
        </w:rPr>
        <w:t xml:space="preserve">capital_social</w:t>
      </w:r>
    </w:p>
    <w:p>
      <w:pPr>
        <w:pStyle w:val="ListParagraph"/>
        <w:numPr>
          <w:ilvl w:val="0"/>
          <w:numId w:val="2"/>
        </w:numPr>
        <w:spacing w:after="30" w:before="30" w:line="300"/>
      </w:pPr>
      <w:r>
        <w:rPr>
          <w:rFonts w:ascii="Calibri" w:cs="Calibri" w:eastAsia="Calibri" w:hAnsi="Calibri"/>
          <w:color w:val="1C1C1C"/>
          <w:sz w:val="22"/>
          <w:szCs w:val="22"/>
        </w:rPr>
        <w:t xml:space="preserve">porte (01 não informado, 03 ME, 05 EPP, 00 Demais)</w:t>
      </w:r>
    </w:p>
    <w:p>
      <w:pPr>
        <w:pStyle w:val="Heading3"/>
        <w:spacing w:after="60" w:before="160"/>
      </w:pPr>
      <w:r>
        <w:rPr>
          <w:rFonts w:ascii="Calibri" w:cs="Calibri" w:eastAsia="Calibri" w:hAnsi="Calibri"/>
          <w:b/>
          <w:bCs/>
          <w:color w:val="0D2137"/>
          <w:sz w:val="22"/>
          <w:szCs w:val="22"/>
        </w:rPr>
        <w:t xml:space="preserve">Receita Federal — tabela SIMPLES</w:t>
      </w:r>
    </w:p>
    <w:p>
      <w:pPr>
        <w:pStyle w:val="ListParagraph"/>
        <w:numPr>
          <w:ilvl w:val="0"/>
          <w:numId w:val="2"/>
        </w:numPr>
        <w:spacing w:after="30" w:before="30" w:line="300"/>
      </w:pPr>
      <w:r>
        <w:rPr>
          <w:rFonts w:ascii="Calibri" w:cs="Calibri" w:eastAsia="Calibri" w:hAnsi="Calibri"/>
          <w:color w:val="1C1C1C"/>
          <w:sz w:val="22"/>
          <w:szCs w:val="22"/>
        </w:rPr>
        <w:t xml:space="preserve">opcao_simples (S/N), data_opcao_simples, data_exclusao_simples</w:t>
      </w:r>
    </w:p>
    <w:p>
      <w:pPr>
        <w:pStyle w:val="ListParagraph"/>
        <w:numPr>
          <w:ilvl w:val="0"/>
          <w:numId w:val="2"/>
        </w:numPr>
        <w:spacing w:after="30" w:before="30" w:line="300"/>
      </w:pPr>
      <w:r>
        <w:rPr>
          <w:rFonts w:ascii="Calibri" w:cs="Calibri" w:eastAsia="Calibri" w:hAnsi="Calibri"/>
          <w:color w:val="1C1C1C"/>
          <w:sz w:val="22"/>
          <w:szCs w:val="22"/>
        </w:rPr>
        <w:t xml:space="preserve">opcao_mei (S/N), data_opcao_mei, data_exclusao_mei</w:t>
      </w:r>
    </w:p>
    <w:p>
      <w:pPr>
        <w:pStyle w:val="Heading3"/>
        <w:spacing w:after="60" w:before="160"/>
      </w:pPr>
      <w:r>
        <w:rPr>
          <w:rFonts w:ascii="Calibri" w:cs="Calibri" w:eastAsia="Calibri" w:hAnsi="Calibri"/>
          <w:b/>
          <w:bCs/>
          <w:color w:val="0D2137"/>
          <w:sz w:val="22"/>
          <w:szCs w:val="22"/>
        </w:rPr>
        <w:t xml:space="preserve">RAIS pública — tabela ESTABELECIMENTOS</w:t>
      </w:r>
    </w:p>
    <w:p>
      <w:pPr>
        <w:spacing w:after="100" w:before="60" w:line="320"/>
        <w:jc w:val="left"/>
      </w:pPr>
      <w:r>
        <w:rPr>
          <w:rFonts w:ascii="Calibri" w:cs="Calibri" w:eastAsia="Calibri" w:hAnsi="Calibri"/>
          <w:color w:val="1C1C1C"/>
          <w:sz w:val="22"/>
          <w:szCs w:val="22"/>
        </w:rPr>
        <w:t xml:space="preserve">Uma linha por estabelecimento. ~3 milhões de linhas por ano-base. Usada no Match para identificar CNPJ.</w:t>
      </w:r>
    </w:p>
    <w:p>
      <w:pPr>
        <w:pStyle w:val="ListParagraph"/>
        <w:numPr>
          <w:ilvl w:val="0"/>
          <w:numId w:val="2"/>
        </w:numPr>
        <w:spacing w:after="30" w:before="30" w:line="300"/>
      </w:pPr>
      <w:r>
        <w:rPr>
          <w:rFonts w:ascii="Calibri" w:cs="Calibri" w:eastAsia="Calibri" w:hAnsi="Calibri"/>
          <w:color w:val="1C1C1C"/>
          <w:sz w:val="22"/>
          <w:szCs w:val="22"/>
        </w:rPr>
        <w:t xml:space="preserve">ano, sigla_uf, id_municipio</w:t>
      </w:r>
    </w:p>
    <w:p>
      <w:pPr>
        <w:pStyle w:val="ListParagraph"/>
        <w:numPr>
          <w:ilvl w:val="0"/>
          <w:numId w:val="2"/>
        </w:numPr>
        <w:spacing w:after="30" w:before="30" w:line="300"/>
      </w:pPr>
      <w:r>
        <w:rPr>
          <w:rFonts w:ascii="Calibri" w:cs="Calibri" w:eastAsia="Calibri" w:hAnsi="Calibri"/>
          <w:color w:val="1C1C1C"/>
          <w:sz w:val="22"/>
          <w:szCs w:val="22"/>
        </w:rPr>
        <w:t xml:space="preserve">cep</w:t>
      </w:r>
    </w:p>
    <w:p>
      <w:pPr>
        <w:pStyle w:val="ListParagraph"/>
        <w:numPr>
          <w:ilvl w:val="0"/>
          <w:numId w:val="2"/>
        </w:numPr>
        <w:spacing w:after="30" w:before="30" w:line="300"/>
      </w:pPr>
      <w:r>
        <w:rPr>
          <w:rFonts w:ascii="Calibri" w:cs="Calibri" w:eastAsia="Calibri" w:hAnsi="Calibri"/>
          <w:color w:val="1C1C1C"/>
          <w:sz w:val="22"/>
          <w:szCs w:val="22"/>
        </w:rPr>
        <w:t xml:space="preserve">bairros_sp, distritos_sp, bairros_fortaleza, bairros_rj, regioes_administrativas_df</w:t>
      </w:r>
    </w:p>
    <w:p>
      <w:pPr>
        <w:pStyle w:val="ListParagraph"/>
        <w:numPr>
          <w:ilvl w:val="0"/>
          <w:numId w:val="2"/>
        </w:numPr>
        <w:spacing w:after="30" w:before="30" w:line="300"/>
      </w:pPr>
      <w:r>
        <w:rPr>
          <w:rFonts w:ascii="Calibri" w:cs="Calibri" w:eastAsia="Calibri" w:hAnsi="Calibri"/>
          <w:color w:val="1C1C1C"/>
          <w:sz w:val="22"/>
          <w:szCs w:val="22"/>
        </w:rPr>
        <w:t xml:space="preserve">cnae_1, cnae_2, cnae_2_subclasse</w:t>
      </w:r>
    </w:p>
    <w:p>
      <w:pPr>
        <w:pStyle w:val="ListParagraph"/>
        <w:numPr>
          <w:ilvl w:val="0"/>
          <w:numId w:val="2"/>
        </w:numPr>
        <w:spacing w:after="30" w:before="30" w:line="300"/>
      </w:pPr>
      <w:r>
        <w:rPr>
          <w:rFonts w:ascii="Calibri" w:cs="Calibri" w:eastAsia="Calibri" w:hAnsi="Calibri"/>
          <w:color w:val="1C1C1C"/>
          <w:sz w:val="22"/>
          <w:szCs w:val="22"/>
        </w:rPr>
        <w:t xml:space="preserve">subsetor_ibge, subatividade_ibge</w:t>
      </w:r>
    </w:p>
    <w:p>
      <w:pPr>
        <w:pStyle w:val="ListParagraph"/>
        <w:numPr>
          <w:ilvl w:val="0"/>
          <w:numId w:val="2"/>
        </w:numPr>
        <w:spacing w:after="30" w:before="30" w:line="300"/>
      </w:pPr>
      <w:r>
        <w:rPr>
          <w:rFonts w:ascii="Calibri" w:cs="Calibri" w:eastAsia="Calibri" w:hAnsi="Calibri"/>
          <w:color w:val="1C1C1C"/>
          <w:sz w:val="22"/>
          <w:szCs w:val="22"/>
        </w:rPr>
        <w:t xml:space="preserve">natureza_juridica, natureza_estabelecimento</w:t>
      </w:r>
    </w:p>
    <w:p>
      <w:pPr>
        <w:pStyle w:val="ListParagraph"/>
        <w:numPr>
          <w:ilvl w:val="0"/>
          <w:numId w:val="2"/>
        </w:numPr>
        <w:spacing w:after="30" w:before="30" w:line="300"/>
      </w:pPr>
      <w:r>
        <w:rPr>
          <w:rFonts w:ascii="Calibri" w:cs="Calibri" w:eastAsia="Calibri" w:hAnsi="Calibri"/>
          <w:color w:val="1C1C1C"/>
          <w:sz w:val="22"/>
          <w:szCs w:val="22"/>
        </w:rPr>
        <w:t xml:space="preserve">tamanho_estabelecimento (faixa de vínculos)</w:t>
      </w:r>
    </w:p>
    <w:p>
      <w:pPr>
        <w:pStyle w:val="ListParagraph"/>
        <w:numPr>
          <w:ilvl w:val="0"/>
          <w:numId w:val="2"/>
        </w:numPr>
        <w:spacing w:after="30" w:before="30" w:line="300"/>
      </w:pPr>
      <w:r>
        <w:rPr>
          <w:rFonts w:ascii="Calibri" w:cs="Calibri" w:eastAsia="Calibri" w:hAnsi="Calibri"/>
          <w:color w:val="1C1C1C"/>
          <w:sz w:val="22"/>
          <w:szCs w:val="22"/>
        </w:rPr>
        <w:t xml:space="preserve">tipo_estabelecimento (matriz, filial, único)</w:t>
      </w:r>
    </w:p>
    <w:p>
      <w:pPr>
        <w:pStyle w:val="ListParagraph"/>
        <w:numPr>
          <w:ilvl w:val="0"/>
          <w:numId w:val="2"/>
        </w:numPr>
        <w:spacing w:after="30" w:before="30" w:line="300"/>
      </w:pPr>
      <w:r>
        <w:rPr>
          <w:rFonts w:ascii="Calibri" w:cs="Calibri" w:eastAsia="Calibri" w:hAnsi="Calibri"/>
          <w:color w:val="1C1C1C"/>
          <w:sz w:val="22"/>
          <w:szCs w:val="22"/>
        </w:rPr>
        <w:t xml:space="preserve">quantidade_vinculos_ativos (insumo central — número exato)</w:t>
      </w:r>
    </w:p>
    <w:p>
      <w:pPr>
        <w:pStyle w:val="ListParagraph"/>
        <w:numPr>
          <w:ilvl w:val="0"/>
          <w:numId w:val="2"/>
        </w:numPr>
        <w:spacing w:after="30" w:before="30" w:line="300"/>
      </w:pPr>
      <w:r>
        <w:rPr>
          <w:rFonts w:ascii="Calibri" w:cs="Calibri" w:eastAsia="Calibri" w:hAnsi="Calibri"/>
          <w:color w:val="1C1C1C"/>
          <w:sz w:val="22"/>
          <w:szCs w:val="22"/>
        </w:rPr>
        <w:t xml:space="preserve">quantidade_vinculos_clt, quantidade_vinculos_estatutarios</w:t>
      </w:r>
    </w:p>
    <w:p>
      <w:pPr>
        <w:pStyle w:val="ListParagraph"/>
        <w:numPr>
          <w:ilvl w:val="0"/>
          <w:numId w:val="2"/>
        </w:numPr>
        <w:spacing w:after="30" w:before="30" w:line="300"/>
      </w:pPr>
      <w:r>
        <w:rPr>
          <w:rFonts w:ascii="Calibri" w:cs="Calibri" w:eastAsia="Calibri" w:hAnsi="Calibri"/>
          <w:color w:val="1C1C1C"/>
          <w:sz w:val="22"/>
          <w:szCs w:val="22"/>
        </w:rPr>
        <w:t xml:space="preserve">indicador_simples (S/N), indicador_atividade_ano, indicador_rais_negativa</w:t>
      </w:r>
    </w:p>
    <w:p>
      <w:pPr>
        <w:pStyle w:val="ListParagraph"/>
        <w:numPr>
          <w:ilvl w:val="0"/>
          <w:numId w:val="2"/>
        </w:numPr>
        <w:spacing w:after="30" w:before="30" w:line="300"/>
      </w:pPr>
      <w:r>
        <w:rPr>
          <w:rFonts w:ascii="Calibri" w:cs="Calibri" w:eastAsia="Calibri" w:hAnsi="Calibri"/>
          <w:color w:val="1C1C1C"/>
          <w:sz w:val="22"/>
          <w:szCs w:val="22"/>
        </w:rPr>
        <w:t xml:space="preserve">indicador_cei_vinculado, indicador_pat</w:t>
      </w:r>
    </w:p>
    <w:p>
      <w:pPr>
        <w:pStyle w:val="Heading3"/>
        <w:spacing w:after="60" w:before="160"/>
      </w:pPr>
      <w:r>
        <w:rPr>
          <w:rFonts w:ascii="Calibri" w:cs="Calibri" w:eastAsia="Calibri" w:hAnsi="Calibri"/>
          <w:b/>
          <w:bCs/>
          <w:color w:val="0D2137"/>
          <w:sz w:val="22"/>
          <w:szCs w:val="22"/>
        </w:rPr>
        <w:t xml:space="preserve">RAIS pública — tabela VÍNCULOS</w:t>
      </w:r>
    </w:p>
    <w:p>
      <w:pPr>
        <w:spacing w:after="100" w:before="60" w:line="320"/>
        <w:jc w:val="left"/>
      </w:pPr>
      <w:r>
        <w:rPr>
          <w:rFonts w:ascii="Calibri" w:cs="Calibri" w:eastAsia="Calibri" w:hAnsi="Calibri"/>
          <w:color w:val="1C1C1C"/>
          <w:sz w:val="22"/>
          <w:szCs w:val="22"/>
        </w:rPr>
        <w:t xml:space="preserve">Uma linha por trabalhador-empresa-ano. ~55 milhões de linhas por ano-base. Usada exclusivamente para construção de benchmark salarial agregado por CNAE × município. Não traz CEP, bairro nem identificador de estabelecimento — não serve para identificar empresa específica.</w:t>
      </w:r>
    </w:p>
    <w:p>
      <w:pPr>
        <w:spacing w:after="100" w:before="60" w:line="320"/>
        <w:jc w:val="left"/>
      </w:pPr>
      <w:r>
        <w:rPr>
          <w:rFonts w:ascii="Calibri" w:cs="Calibri" w:eastAsia="Calibri" w:hAnsi="Calibri"/>
          <w:color w:val="1C1C1C"/>
          <w:sz w:val="22"/>
          <w:szCs w:val="22"/>
        </w:rPr>
        <w:t xml:space="preserve">Variáveis disponíveis (BigQuery via Base dos Dados):</w:t>
      </w:r>
    </w:p>
    <w:p>
      <w:pPr>
        <w:pStyle w:val="ListParagraph"/>
        <w:numPr>
          <w:ilvl w:val="0"/>
          <w:numId w:val="2"/>
        </w:numPr>
        <w:spacing w:after="30" w:before="30" w:line="300"/>
      </w:pPr>
      <w:r>
        <w:rPr>
          <w:rFonts w:ascii="Calibri" w:cs="Calibri" w:eastAsia="Calibri" w:hAnsi="Calibri"/>
          <w:color w:val="1C1C1C"/>
          <w:sz w:val="22"/>
          <w:szCs w:val="22"/>
        </w:rPr>
        <w:t xml:space="preserve">ano, sigla_uf, id_municipio</w:t>
      </w:r>
    </w:p>
    <w:p>
      <w:pPr>
        <w:pStyle w:val="ListParagraph"/>
        <w:numPr>
          <w:ilvl w:val="0"/>
          <w:numId w:val="2"/>
        </w:numPr>
        <w:spacing w:after="30" w:before="30" w:line="300"/>
      </w:pPr>
      <w:r>
        <w:rPr>
          <w:rFonts w:ascii="Calibri" w:cs="Calibri" w:eastAsia="Calibri" w:hAnsi="Calibri"/>
          <w:color w:val="1C1C1C"/>
          <w:sz w:val="22"/>
          <w:szCs w:val="22"/>
        </w:rPr>
        <w:t xml:space="preserve">cnae_2_subclasse (CNAE 7 dígitos)</w:t>
      </w:r>
    </w:p>
    <w:p>
      <w:pPr>
        <w:pStyle w:val="ListParagraph"/>
        <w:numPr>
          <w:ilvl w:val="0"/>
          <w:numId w:val="2"/>
        </w:numPr>
        <w:spacing w:after="30" w:before="30" w:line="300"/>
      </w:pPr>
      <w:r>
        <w:rPr>
          <w:rFonts w:ascii="Calibri" w:cs="Calibri" w:eastAsia="Calibri" w:hAnsi="Calibri"/>
          <w:color w:val="1C1C1C"/>
          <w:sz w:val="22"/>
          <w:szCs w:val="22"/>
        </w:rPr>
        <w:t xml:space="preserve">natureza_juridica</w:t>
      </w:r>
    </w:p>
    <w:p>
      <w:pPr>
        <w:pStyle w:val="ListParagraph"/>
        <w:numPr>
          <w:ilvl w:val="0"/>
          <w:numId w:val="2"/>
        </w:numPr>
        <w:spacing w:after="30" w:before="30" w:line="300"/>
      </w:pPr>
      <w:r>
        <w:rPr>
          <w:rFonts w:ascii="Calibri" w:cs="Calibri" w:eastAsia="Calibri" w:hAnsi="Calibri"/>
          <w:color w:val="1C1C1C"/>
          <w:sz w:val="22"/>
          <w:szCs w:val="22"/>
        </w:rPr>
        <w:t xml:space="preserve">tipo_vinculo (CLT, estatutário, temporário, aprendiz)</w:t>
      </w:r>
    </w:p>
    <w:p>
      <w:pPr>
        <w:pStyle w:val="ListParagraph"/>
        <w:numPr>
          <w:ilvl w:val="0"/>
          <w:numId w:val="2"/>
        </w:numPr>
        <w:spacing w:after="30" w:before="30" w:line="300"/>
      </w:pPr>
      <w:r>
        <w:rPr>
          <w:rFonts w:ascii="Calibri" w:cs="Calibri" w:eastAsia="Calibri" w:hAnsi="Calibri"/>
          <w:color w:val="1C1C1C"/>
          <w:sz w:val="22"/>
          <w:szCs w:val="22"/>
        </w:rPr>
        <w:t xml:space="preserve">vinculo_ativo_31_12 (S/N)</w:t>
      </w:r>
    </w:p>
    <w:p>
      <w:pPr>
        <w:pStyle w:val="ListParagraph"/>
        <w:numPr>
          <w:ilvl w:val="0"/>
          <w:numId w:val="2"/>
        </w:numPr>
        <w:spacing w:after="30" w:before="30" w:line="300"/>
      </w:pPr>
      <w:r>
        <w:rPr>
          <w:rFonts w:ascii="Calibri" w:cs="Calibri" w:eastAsia="Calibri" w:hAnsi="Calibri"/>
          <w:color w:val="1C1C1C"/>
          <w:sz w:val="22"/>
          <w:szCs w:val="22"/>
        </w:rPr>
        <w:t xml:space="preserve">data_admissao, data_desligamento</w:t>
      </w:r>
    </w:p>
    <w:p>
      <w:pPr>
        <w:pStyle w:val="ListParagraph"/>
        <w:numPr>
          <w:ilvl w:val="0"/>
          <w:numId w:val="2"/>
        </w:numPr>
        <w:spacing w:after="30" w:before="30" w:line="300"/>
      </w:pPr>
      <w:r>
        <w:rPr>
          <w:rFonts w:ascii="Calibri" w:cs="Calibri" w:eastAsia="Calibri" w:hAnsi="Calibri"/>
          <w:color w:val="1C1C1C"/>
          <w:sz w:val="22"/>
          <w:szCs w:val="22"/>
        </w:rPr>
        <w:t xml:space="preserve">tipo_admissao, tipo_desligamento</w:t>
      </w:r>
    </w:p>
    <w:p>
      <w:pPr>
        <w:pStyle w:val="ListParagraph"/>
        <w:numPr>
          <w:ilvl w:val="0"/>
          <w:numId w:val="2"/>
        </w:numPr>
        <w:spacing w:after="30" w:before="30" w:line="300"/>
      </w:pPr>
      <w:r>
        <w:rPr>
          <w:rFonts w:ascii="Calibri" w:cs="Calibri" w:eastAsia="Calibri" w:hAnsi="Calibri"/>
          <w:color w:val="1C1C1C"/>
          <w:sz w:val="22"/>
          <w:szCs w:val="22"/>
        </w:rPr>
        <w:t xml:space="preserve">cbo_2002 (ocupação, 6 dígitos)</w:t>
      </w:r>
    </w:p>
    <w:p>
      <w:pPr>
        <w:pStyle w:val="ListParagraph"/>
        <w:numPr>
          <w:ilvl w:val="0"/>
          <w:numId w:val="2"/>
        </w:numPr>
        <w:spacing w:after="30" w:before="30" w:line="300"/>
      </w:pPr>
      <w:r>
        <w:rPr>
          <w:rFonts w:ascii="Calibri" w:cs="Calibri" w:eastAsia="Calibri" w:hAnsi="Calibri"/>
          <w:color w:val="1C1C1C"/>
          <w:sz w:val="22"/>
          <w:szCs w:val="22"/>
        </w:rPr>
        <w:t xml:space="preserve">tempo_emprego (meses)</w:t>
      </w:r>
    </w:p>
    <w:p>
      <w:pPr>
        <w:pStyle w:val="ListParagraph"/>
        <w:numPr>
          <w:ilvl w:val="0"/>
          <w:numId w:val="2"/>
        </w:numPr>
        <w:spacing w:after="30" w:before="30" w:line="300"/>
      </w:pPr>
      <w:r>
        <w:rPr>
          <w:rFonts w:ascii="Calibri" w:cs="Calibri" w:eastAsia="Calibri" w:hAnsi="Calibri"/>
          <w:color w:val="1C1C1C"/>
          <w:sz w:val="22"/>
          <w:szCs w:val="22"/>
        </w:rPr>
        <w:t xml:space="preserve">horas_contratuais</w:t>
      </w:r>
    </w:p>
    <w:p>
      <w:pPr>
        <w:pStyle w:val="ListParagraph"/>
        <w:numPr>
          <w:ilvl w:val="0"/>
          <w:numId w:val="2"/>
        </w:numPr>
        <w:spacing w:after="30" w:before="30" w:line="300"/>
      </w:pPr>
      <w:r>
        <w:rPr>
          <w:rFonts w:ascii="Calibri" w:cs="Calibri" w:eastAsia="Calibri" w:hAnsi="Calibri"/>
          <w:color w:val="1C1C1C"/>
          <w:sz w:val="22"/>
          <w:szCs w:val="22"/>
        </w:rPr>
        <w:t xml:space="preserve">salario_contratual (mensal)</w:t>
      </w:r>
    </w:p>
    <w:p>
      <w:pPr>
        <w:pStyle w:val="ListParagraph"/>
        <w:numPr>
          <w:ilvl w:val="0"/>
          <w:numId w:val="2"/>
        </w:numPr>
        <w:spacing w:after="30" w:before="30" w:line="300"/>
      </w:pPr>
      <w:r>
        <w:rPr>
          <w:rFonts w:ascii="Calibri" w:cs="Calibri" w:eastAsia="Calibri" w:hAnsi="Calibri"/>
          <w:color w:val="1C1C1C"/>
          <w:sz w:val="22"/>
          <w:szCs w:val="22"/>
        </w:rPr>
        <w:t xml:space="preserve">valor_remuneracao_media (em reais — usado para benchmark)</w:t>
      </w:r>
    </w:p>
    <w:p>
      <w:pPr>
        <w:pStyle w:val="ListParagraph"/>
        <w:numPr>
          <w:ilvl w:val="0"/>
          <w:numId w:val="2"/>
        </w:numPr>
        <w:spacing w:after="30" w:before="30" w:line="300"/>
      </w:pPr>
      <w:r>
        <w:rPr>
          <w:rFonts w:ascii="Calibri" w:cs="Calibri" w:eastAsia="Calibri" w:hAnsi="Calibri"/>
          <w:color w:val="1C1C1C"/>
          <w:sz w:val="22"/>
          <w:szCs w:val="22"/>
        </w:rPr>
        <w:t xml:space="preserve">valor_remuneracao_media_sm (múltiplos do salário mínimo)</w:t>
      </w:r>
    </w:p>
    <w:p>
      <w:pPr>
        <w:pStyle w:val="ListParagraph"/>
        <w:numPr>
          <w:ilvl w:val="0"/>
          <w:numId w:val="2"/>
        </w:numPr>
        <w:spacing w:after="30" w:before="30" w:line="300"/>
      </w:pPr>
      <w:r>
        <w:rPr>
          <w:rFonts w:ascii="Calibri" w:cs="Calibri" w:eastAsia="Calibri" w:hAnsi="Calibri"/>
          <w:color w:val="1C1C1C"/>
          <w:sz w:val="22"/>
          <w:szCs w:val="22"/>
        </w:rPr>
        <w:t xml:space="preserve">faixa_remuneracao_media</w:t>
      </w:r>
    </w:p>
    <w:p>
      <w:pPr>
        <w:pStyle w:val="ListParagraph"/>
        <w:numPr>
          <w:ilvl w:val="0"/>
          <w:numId w:val="2"/>
        </w:numPr>
        <w:spacing w:after="30" w:before="30" w:line="300"/>
      </w:pPr>
      <w:r>
        <w:rPr>
          <w:rFonts w:ascii="Calibri" w:cs="Calibri" w:eastAsia="Calibri" w:hAnsi="Calibri"/>
          <w:color w:val="1C1C1C"/>
          <w:sz w:val="22"/>
          <w:szCs w:val="22"/>
        </w:rPr>
        <w:t xml:space="preserve">características do trabalhador (sexo, idade, raça/cor, escolaridade)</w:t>
      </w:r>
    </w:p>
    <w:p>
      <w:pPr>
        <w:pStyle w:val="Heading3"/>
        <w:spacing w:after="60" w:before="160"/>
      </w:pPr>
      <w:r>
        <w:rPr>
          <w:rFonts w:ascii="Calibri" w:cs="Calibri" w:eastAsia="Calibri" w:hAnsi="Calibri"/>
          <w:b/>
          <w:bCs/>
          <w:color w:val="0D2137"/>
          <w:sz w:val="22"/>
          <w:szCs w:val="22"/>
        </w:rPr>
        <w:t xml:space="preserve">Simples Nacional — Portal de Consultas</w:t>
      </w:r>
    </w:p>
    <w:p>
      <w:pPr>
        <w:pStyle w:val="ListParagraph"/>
        <w:numPr>
          <w:ilvl w:val="0"/>
          <w:numId w:val="2"/>
        </w:numPr>
        <w:spacing w:after="30" w:before="30" w:line="300"/>
      </w:pPr>
      <w:r>
        <w:rPr>
          <w:rFonts w:ascii="Calibri" w:cs="Calibri" w:eastAsia="Calibri" w:hAnsi="Calibri"/>
          <w:color w:val="1C1C1C"/>
          <w:sz w:val="22"/>
          <w:szCs w:val="22"/>
        </w:rPr>
        <w:t xml:space="preserve">CNPJ, razão social</w:t>
      </w:r>
    </w:p>
    <w:p>
      <w:pPr>
        <w:pStyle w:val="ListParagraph"/>
        <w:numPr>
          <w:ilvl w:val="0"/>
          <w:numId w:val="2"/>
        </w:numPr>
        <w:spacing w:after="30" w:before="30" w:line="300"/>
      </w:pPr>
      <w:r>
        <w:rPr>
          <w:rFonts w:ascii="Calibri" w:cs="Calibri" w:eastAsia="Calibri" w:hAnsi="Calibri"/>
          <w:color w:val="1C1C1C"/>
          <w:sz w:val="22"/>
          <w:szCs w:val="22"/>
        </w:rPr>
        <w:t xml:space="preserve">Situação no Simples (optante / não optante)</w:t>
      </w:r>
    </w:p>
    <w:p>
      <w:pPr>
        <w:pStyle w:val="ListParagraph"/>
        <w:numPr>
          <w:ilvl w:val="0"/>
          <w:numId w:val="2"/>
        </w:numPr>
        <w:spacing w:after="30" w:before="30" w:line="300"/>
      </w:pPr>
      <w:r>
        <w:rPr>
          <w:rFonts w:ascii="Calibri" w:cs="Calibri" w:eastAsia="Calibri" w:hAnsi="Calibri"/>
          <w:color w:val="1C1C1C"/>
          <w:sz w:val="22"/>
          <w:szCs w:val="22"/>
        </w:rPr>
        <w:t xml:space="preserve">Data de opção, data de exclusão e motivo</w:t>
      </w:r>
    </w:p>
    <w:p>
      <w:pPr>
        <w:pStyle w:val="ListParagraph"/>
        <w:numPr>
          <w:ilvl w:val="0"/>
          <w:numId w:val="2"/>
        </w:numPr>
        <w:spacing w:after="30" w:before="30" w:line="300"/>
      </w:pPr>
      <w:r>
        <w:rPr>
          <w:rFonts w:ascii="Calibri" w:cs="Calibri" w:eastAsia="Calibri" w:hAnsi="Calibri"/>
          <w:color w:val="1C1C1C"/>
          <w:sz w:val="22"/>
          <w:szCs w:val="22"/>
        </w:rPr>
        <w:t xml:space="preserve">Situação no SIMEI</w:t>
      </w:r>
    </w:p>
    <w:p>
      <w:pPr>
        <w:pStyle w:val="Heading3"/>
        <w:spacing w:after="60" w:before="160"/>
      </w:pPr>
      <w:r>
        <w:rPr>
          <w:rFonts w:ascii="Calibri" w:cs="Calibri" w:eastAsia="Calibri" w:hAnsi="Calibri"/>
          <w:b/>
          <w:bCs/>
          <w:color w:val="0D2137"/>
          <w:sz w:val="22"/>
          <w:szCs w:val="22"/>
        </w:rPr>
        <w:t xml:space="preserve">Compartilha RFB — API SERPRO</w:t>
      </w:r>
    </w:p>
    <w:p>
      <w:pPr>
        <w:pStyle w:val="ListParagraph"/>
        <w:numPr>
          <w:ilvl w:val="0"/>
          <w:numId w:val="2"/>
        </w:numPr>
        <w:spacing w:after="30" w:before="30" w:line="300"/>
      </w:pPr>
      <w:r>
        <w:rPr>
          <w:rFonts w:ascii="Calibri" w:cs="Calibri" w:eastAsia="Calibri" w:hAnsi="Calibri"/>
          <w:color w:val="1C1C1C"/>
          <w:sz w:val="22"/>
          <w:szCs w:val="22"/>
        </w:rPr>
        <w:t xml:space="preserve">Faturamento bruto declarado (DEFIS para Simples, ECF para Lucro Presumido/Real)</w:t>
      </w:r>
    </w:p>
    <w:p>
      <w:pPr>
        <w:pStyle w:val="ListParagraph"/>
        <w:numPr>
          <w:ilvl w:val="0"/>
          <w:numId w:val="2"/>
        </w:numPr>
        <w:spacing w:after="30" w:before="30" w:line="300"/>
      </w:pPr>
      <w:r>
        <w:rPr>
          <w:rFonts w:ascii="Calibri" w:cs="Calibri" w:eastAsia="Calibri" w:hAnsi="Calibri"/>
          <w:color w:val="1C1C1C"/>
          <w:sz w:val="22"/>
          <w:szCs w:val="22"/>
        </w:rPr>
        <w:t xml:space="preserve">Período de apuração</w:t>
      </w:r>
    </w:p>
    <w:p>
      <w:pPr>
        <w:pStyle w:val="ListParagraph"/>
        <w:numPr>
          <w:ilvl w:val="0"/>
          <w:numId w:val="2"/>
        </w:numPr>
        <w:spacing w:after="30" w:before="30" w:line="300"/>
      </w:pPr>
      <w:r>
        <w:rPr>
          <w:rFonts w:ascii="Calibri" w:cs="Calibri" w:eastAsia="Calibri" w:hAnsi="Calibri"/>
          <w:color w:val="1C1C1C"/>
          <w:sz w:val="22"/>
          <w:szCs w:val="22"/>
        </w:rPr>
        <w:t xml:space="preserve">Indicador de regime tributário</w:t>
      </w:r>
    </w:p>
    <w:p>
      <w:r>
        <w:br w:type="page"/>
      </w:r>
    </w:p>
    <w:p>
      <w:pPr>
        <w:spacing w:after="0" w:before="220"/>
      </w:pPr>
    </w:p>
    <w:p>
      <w:pPr>
        <w:spacing w:after="60" w:before="0"/>
      </w:pPr>
      <w:r>
        <w:rPr>
          <w:rFonts w:ascii="Calibri" w:cs="Calibri" w:eastAsia="Calibri" w:hAnsi="Calibri"/>
          <w:b/>
          <w:bCs/>
          <w:color w:val="00A86B"/>
          <w:spacing w:val="80"/>
          <w:sz w:val="18"/>
          <w:szCs w:val="18"/>
        </w:rPr>
        <w:t xml:space="preserve">3. DIVISÃO POR FAIXA DE FATURAMENTO</w:t>
      </w:r>
    </w:p>
    <w:p>
      <w:pPr>
        <w:pBdr>
          <w:bottom w:val="single" w:color="00A86B" w:sz="4" w:space="1"/>
        </w:pBdr>
        <w:spacing w:after="80" w:before="80"/>
      </w:pPr>
    </w:p>
    <w:p>
      <w:pPr>
        <w:spacing w:after="0" w:before="60"/>
      </w:pPr>
    </w:p>
    <w:p>
      <w:pPr>
        <w:spacing w:after="100" w:before="60" w:line="320"/>
        <w:jc w:val="both"/>
      </w:pPr>
      <w:r>
        <w:rPr>
          <w:rFonts w:ascii="Calibri" w:cs="Calibri" w:eastAsia="Calibri" w:hAnsi="Calibri"/>
          <w:color w:val="1C1C1C"/>
          <w:sz w:val="22"/>
          <w:szCs w:val="22"/>
        </w:rPr>
        <w:t xml:space="preserve">O fluxo do motor depende da situação tributária do alvo. A consulta ao Simples Nacional é o primeiro passo de qualquer pipeline e roteia o CNPJ para um dos dois caminhos.</w:t>
      </w:r>
    </w:p>
    <w:p>
      <w:pPr>
        <w:pStyle w:val="Heading2"/>
        <w:spacing w:after="80" w:before="200"/>
      </w:pPr>
      <w:r>
        <w:rPr>
          <w:rFonts w:ascii="Calibri" w:cs="Calibri" w:eastAsia="Calibri" w:hAnsi="Calibri"/>
          <w:b/>
          <w:bCs/>
          <w:color w:val="1B4F72"/>
          <w:sz w:val="26"/>
          <w:szCs w:val="26"/>
        </w:rPr>
        <w:t xml:space="preserve">3.1 Empresas até R$4,8M — Simples Nacional</w:t>
      </w:r>
    </w:p>
    <w:p>
      <w:pPr>
        <w:spacing w:after="100" w:before="60" w:line="320"/>
        <w:jc w:val="both"/>
      </w:pPr>
      <w:r>
        <w:rPr>
          <w:rFonts w:ascii="Calibri" w:cs="Calibri" w:eastAsia="Calibri" w:hAnsi="Calibri"/>
          <w:color w:val="1C1C1C"/>
          <w:sz w:val="22"/>
          <w:szCs w:val="22"/>
        </w:rPr>
        <w:t xml:space="preserve">Para empresas optantes pelo Simples, o teto de R$4,8M de faturamento anual está confirmado por consulta direta ao portal público da Receita Federal. Não é necessário cruzamento com a RAIS.</w:t>
      </w:r>
    </w:p>
    <w:p>
      <w:pPr>
        <w:spacing w:after="100" w:before="60" w:line="320"/>
        <w:jc w:val="left"/>
      </w:pPr>
      <w:r>
        <w:rPr>
          <w:rFonts w:ascii="Calibri" w:cs="Calibri" w:eastAsia="Calibri" w:hAnsi="Calibri"/>
          <w:color w:val="1C1C1C"/>
          <w:sz w:val="22"/>
          <w:szCs w:val="22"/>
        </w:rPr>
        <w:t xml:space="preserve">Caminho operacional:</w:t>
      </w:r>
    </w:p>
    <w:p>
      <w:pPr>
        <w:pStyle w:val="ListParagraph"/>
        <w:numPr>
          <w:ilvl w:val="0"/>
          <w:numId w:val="2"/>
        </w:numPr>
        <w:spacing w:after="30" w:before="30" w:line="300"/>
      </w:pPr>
      <w:r>
        <w:rPr>
          <w:rFonts w:ascii="Calibri" w:cs="Calibri" w:eastAsia="Calibri" w:hAnsi="Calibri"/>
          <w:color w:val="1C1C1C"/>
          <w:sz w:val="22"/>
          <w:szCs w:val="22"/>
        </w:rPr>
        <w:t xml:space="preserve">Consultar CNPJ no portal do Simples Nacional</w:t>
      </w:r>
    </w:p>
    <w:p>
      <w:pPr>
        <w:pStyle w:val="ListParagraph"/>
        <w:numPr>
          <w:ilvl w:val="0"/>
          <w:numId w:val="2"/>
        </w:numPr>
        <w:spacing w:after="30" w:before="30" w:line="300"/>
      </w:pPr>
      <w:r>
        <w:rPr>
          <w:rFonts w:ascii="Calibri" w:cs="Calibri" w:eastAsia="Calibri" w:hAnsi="Calibri"/>
          <w:color w:val="1C1C1C"/>
          <w:sz w:val="22"/>
          <w:szCs w:val="22"/>
        </w:rPr>
        <w:t xml:space="preserve">Confirmar opção ativa pelo regime</w:t>
      </w:r>
    </w:p>
    <w:p>
      <w:pPr>
        <w:pStyle w:val="ListParagraph"/>
        <w:numPr>
          <w:ilvl w:val="0"/>
          <w:numId w:val="2"/>
        </w:numPr>
        <w:spacing w:after="30" w:before="30" w:line="300"/>
      </w:pPr>
      <w:r>
        <w:rPr>
          <w:rFonts w:ascii="Calibri" w:cs="Calibri" w:eastAsia="Calibri" w:hAnsi="Calibri"/>
          <w:color w:val="1C1C1C"/>
          <w:sz w:val="22"/>
          <w:szCs w:val="22"/>
        </w:rPr>
        <w:t xml:space="preserve">Identificar porte declarado (ME ou EPP)</w:t>
      </w:r>
    </w:p>
    <w:p>
      <w:pPr>
        <w:pStyle w:val="ListParagraph"/>
        <w:numPr>
          <w:ilvl w:val="0"/>
          <w:numId w:val="2"/>
        </w:numPr>
        <w:spacing w:after="30" w:before="30" w:line="300"/>
      </w:pPr>
      <w:r>
        <w:rPr>
          <w:rFonts w:ascii="Calibri" w:cs="Calibri" w:eastAsia="Calibri" w:hAnsi="Calibri"/>
          <w:color w:val="1C1C1C"/>
          <w:sz w:val="22"/>
          <w:szCs w:val="22"/>
        </w:rPr>
        <w:t xml:space="preserve">Aplicar benchmark setorial para estimar faturamento dentro da faixa</w:t>
      </w:r>
    </w:p>
    <w:p>
      <w:pPr>
        <w:spacing w:after="100" w:before="60" w:line="320"/>
        <w:jc w:val="both"/>
      </w:pPr>
      <w:r>
        <w:rPr>
          <w:rFonts w:ascii="Calibri" w:cs="Calibri" w:eastAsia="Calibri" w:hAnsi="Calibri"/>
          <w:color w:val="1C1C1C"/>
          <w:sz w:val="22"/>
          <w:szCs w:val="22"/>
        </w:rPr>
        <w:t xml:space="preserve">Empresas excluídas do Simples por excesso de faturamento têm a data de exclusão registrada — isso entrega um piso de receita com data associada (no momento da exclusão, faturava acima de R$4,8M anuais).</w:t>
      </w:r>
    </w:p>
    <w:p>
      <w:pPr>
        <w:pStyle w:val="Heading2"/>
        <w:spacing w:after="80" w:before="200"/>
      </w:pPr>
      <w:r>
        <w:rPr>
          <w:rFonts w:ascii="Calibri" w:cs="Calibri" w:eastAsia="Calibri" w:hAnsi="Calibri"/>
          <w:b/>
          <w:bCs/>
          <w:color w:val="1B4F72"/>
          <w:sz w:val="26"/>
          <w:szCs w:val="26"/>
        </w:rPr>
        <w:t xml:space="preserve">3.2 Empresas acima de R$4,8M — não Simples</w:t>
      </w:r>
    </w:p>
    <w:p>
      <w:pPr>
        <w:spacing w:after="100" w:before="60" w:line="320"/>
        <w:jc w:val="both"/>
      </w:pPr>
      <w:r>
        <w:rPr>
          <w:rFonts w:ascii="Calibri" w:cs="Calibri" w:eastAsia="Calibri" w:hAnsi="Calibri"/>
          <w:color w:val="1C1C1C"/>
          <w:sz w:val="22"/>
          <w:szCs w:val="22"/>
        </w:rPr>
        <w:t xml:space="preserve">Para empresas que não constam no Simples (ou foram excluídas por excesso), o motor identifica o estabelecimento na RAIS Estabelecimentos via cruzamento composto contra a base CNPJ da Receita Federal. Esse é o coração do produto.</w:t>
      </w:r>
    </w:p>
    <w:p>
      <w:r>
        <w:br w:type="page"/>
      </w:r>
    </w:p>
    <w:p>
      <w:pPr>
        <w:spacing w:after="0" w:before="220"/>
      </w:pPr>
    </w:p>
    <w:p>
      <w:pPr>
        <w:spacing w:after="60" w:before="0"/>
      </w:pPr>
      <w:r>
        <w:rPr>
          <w:rFonts w:ascii="Calibri" w:cs="Calibri" w:eastAsia="Calibri" w:hAnsi="Calibri"/>
          <w:b/>
          <w:bCs/>
          <w:color w:val="00A86B"/>
          <w:spacing w:val="80"/>
          <w:sz w:val="18"/>
          <w:szCs w:val="18"/>
        </w:rPr>
        <w:t xml:space="preserve">4. MATCH RAIS — IDENTIFICAÇÃO DO CNPJ</w:t>
      </w:r>
    </w:p>
    <w:p>
      <w:pPr>
        <w:pBdr>
          <w:bottom w:val="single" w:color="00A86B" w:sz="4" w:space="1"/>
        </w:pBdr>
        <w:spacing w:after="80" w:before="80"/>
      </w:pPr>
    </w:p>
    <w:p>
      <w:pPr>
        <w:spacing w:after="0" w:before="60"/>
      </w:pPr>
    </w:p>
    <w:p>
      <w:pPr>
        <w:spacing w:after="100" w:before="60" w:line="320"/>
        <w:jc w:val="both"/>
      </w:pPr>
      <w:r>
        <w:rPr>
          <w:rFonts w:ascii="Calibri" w:cs="Calibri" w:eastAsia="Calibri" w:hAnsi="Calibri"/>
          <w:color w:val="1C1C1C"/>
          <w:sz w:val="22"/>
          <w:szCs w:val="22"/>
        </w:rPr>
        <w:t xml:space="preserve">A RAIS Estabelecimentos contém quantidade_vinculos_ativos por estabelecimento — o headcount exato em 31 de dezembro do ano-base. O CNPJ está anonimizado por proteção de dados. A identificação ocorre via chave composta de variáveis que aparecem nos dois lados de forma exata.</w:t>
      </w:r>
    </w:p>
    <w:p>
      <w:pPr>
        <w:pStyle w:val="Heading2"/>
        <w:spacing w:after="80" w:before="200"/>
      </w:pPr>
      <w:r>
        <w:rPr>
          <w:rFonts w:ascii="Calibri" w:cs="Calibri" w:eastAsia="Calibri" w:hAnsi="Calibri"/>
          <w:b/>
          <w:bCs/>
          <w:color w:val="1B4F72"/>
          <w:sz w:val="26"/>
          <w:szCs w:val="26"/>
        </w:rPr>
        <w:t xml:space="preserve">4.1 Filtragem inicial dos universos</w:t>
      </w:r>
    </w:p>
    <w:p>
      <w:pPr>
        <w:spacing w:after="100" w:before="60" w:line="320"/>
        <w:jc w:val="both"/>
      </w:pPr>
      <w:r>
        <w:rPr>
          <w:rFonts w:ascii="Calibri" w:cs="Calibri" w:eastAsia="Calibri" w:hAnsi="Calibri"/>
          <w:color w:val="1C1C1C"/>
          <w:sz w:val="22"/>
          <w:szCs w:val="22"/>
        </w:rPr>
        <w:t xml:space="preserve">Antes de cruzar, reduz-se cada universo aos CNPJs e estabelecimentos que efetivamente cabem no sweet spot. Isso baixa o custo computacional e reduz colisões.</w:t>
      </w:r>
    </w:p>
    <w:p>
      <w:pPr>
        <w:pStyle w:val="Heading3"/>
        <w:spacing w:after="60" w:before="160"/>
      </w:pPr>
      <w:r>
        <w:rPr>
          <w:rFonts w:ascii="Calibri" w:cs="Calibri" w:eastAsia="Calibri" w:hAnsi="Calibri"/>
          <w:b/>
          <w:bCs/>
          <w:color w:val="0D2137"/>
          <w:sz w:val="22"/>
          <w:szCs w:val="22"/>
        </w:rPr>
        <w:t xml:space="preserve">Lado Receita Federal</w:t>
      </w:r>
    </w:p>
    <w:p>
      <w:pPr>
        <w:pStyle w:val="ListParagraph"/>
        <w:numPr>
          <w:ilvl w:val="0"/>
          <w:numId w:val="2"/>
        </w:numPr>
        <w:spacing w:after="30" w:before="30" w:line="300"/>
      </w:pPr>
      <w:r>
        <w:rPr>
          <w:rFonts w:ascii="Calibri" w:cs="Calibri" w:eastAsia="Calibri" w:hAnsi="Calibri"/>
          <w:color w:val="1C1C1C"/>
          <w:sz w:val="22"/>
          <w:szCs w:val="22"/>
        </w:rPr>
        <w:t xml:space="preserve">situacao_cadastral = 02 (ativa)</w:t>
      </w:r>
    </w:p>
    <w:p>
      <w:pPr>
        <w:pStyle w:val="ListParagraph"/>
        <w:numPr>
          <w:ilvl w:val="0"/>
          <w:numId w:val="2"/>
        </w:numPr>
        <w:spacing w:after="30" w:before="30" w:line="300"/>
      </w:pPr>
      <w:r>
        <w:rPr>
          <w:rFonts w:ascii="Calibri" w:cs="Calibri" w:eastAsia="Calibri" w:hAnsi="Calibri"/>
          <w:color w:val="1C1C1C"/>
          <w:sz w:val="22"/>
          <w:szCs w:val="22"/>
        </w:rPr>
        <w:t xml:space="preserve">opcao_simples = N (ou data_exclusao_simples preenchida indicando exclusão por excesso)</w:t>
      </w:r>
    </w:p>
    <w:p>
      <w:pPr>
        <w:pStyle w:val="ListParagraph"/>
        <w:numPr>
          <w:ilvl w:val="0"/>
          <w:numId w:val="2"/>
        </w:numPr>
        <w:spacing w:after="30" w:before="30" w:line="300"/>
      </w:pPr>
      <w:r>
        <w:rPr>
          <w:rFonts w:ascii="Calibri" w:cs="Calibri" w:eastAsia="Calibri" w:hAnsi="Calibri"/>
          <w:color w:val="1C1C1C"/>
          <w:sz w:val="22"/>
          <w:szCs w:val="22"/>
        </w:rPr>
        <w:t xml:space="preserve">porte ∈ {EPP, Demais}</w:t>
      </w:r>
    </w:p>
    <w:p>
      <w:pPr>
        <w:pStyle w:val="ListParagraph"/>
        <w:numPr>
          <w:ilvl w:val="0"/>
          <w:numId w:val="2"/>
        </w:numPr>
        <w:spacing w:after="30" w:before="30" w:line="300"/>
      </w:pPr>
      <w:r>
        <w:rPr>
          <w:rFonts w:ascii="Calibri" w:cs="Calibri" w:eastAsia="Calibri" w:hAnsi="Calibri"/>
          <w:color w:val="1C1C1C"/>
          <w:sz w:val="22"/>
          <w:szCs w:val="22"/>
        </w:rPr>
        <w:t xml:space="preserve">uf ∈ {RJ, SP}</w:t>
      </w:r>
    </w:p>
    <w:p>
      <w:pPr>
        <w:pStyle w:val="ListParagraph"/>
        <w:numPr>
          <w:ilvl w:val="0"/>
          <w:numId w:val="2"/>
        </w:numPr>
        <w:spacing w:after="30" w:before="30" w:line="300"/>
      </w:pPr>
      <w:r>
        <w:rPr>
          <w:rFonts w:ascii="Calibri" w:cs="Calibri" w:eastAsia="Calibri" w:hAnsi="Calibri"/>
          <w:color w:val="1C1C1C"/>
          <w:sz w:val="22"/>
          <w:szCs w:val="22"/>
        </w:rPr>
        <w:t xml:space="preserve">identificador_matriz_filial = 1 (matriz)</w:t>
      </w:r>
    </w:p>
    <w:p>
      <w:pPr>
        <w:pStyle w:val="Heading3"/>
        <w:spacing w:after="60" w:before="160"/>
      </w:pPr>
      <w:r>
        <w:rPr>
          <w:rFonts w:ascii="Calibri" w:cs="Calibri" w:eastAsia="Calibri" w:hAnsi="Calibri"/>
          <w:b/>
          <w:bCs/>
          <w:color w:val="0D2137"/>
          <w:sz w:val="22"/>
          <w:szCs w:val="22"/>
        </w:rPr>
        <w:t xml:space="preserve">Lado RAIS Estabelecimentos</w:t>
      </w:r>
    </w:p>
    <w:p>
      <w:pPr>
        <w:pStyle w:val="ListParagraph"/>
        <w:numPr>
          <w:ilvl w:val="0"/>
          <w:numId w:val="2"/>
        </w:numPr>
        <w:spacing w:after="30" w:before="30" w:line="300"/>
      </w:pPr>
      <w:r>
        <w:rPr>
          <w:rFonts w:ascii="Calibri" w:cs="Calibri" w:eastAsia="Calibri" w:hAnsi="Calibri"/>
          <w:color w:val="1C1C1C"/>
          <w:sz w:val="22"/>
          <w:szCs w:val="22"/>
        </w:rPr>
        <w:t xml:space="preserve">ano = ano-base mais recente disponível</w:t>
      </w:r>
    </w:p>
    <w:p>
      <w:pPr>
        <w:pStyle w:val="ListParagraph"/>
        <w:numPr>
          <w:ilvl w:val="0"/>
          <w:numId w:val="2"/>
        </w:numPr>
        <w:spacing w:after="30" w:before="30" w:line="300"/>
      </w:pPr>
      <w:r>
        <w:rPr>
          <w:rFonts w:ascii="Calibri" w:cs="Calibri" w:eastAsia="Calibri" w:hAnsi="Calibri"/>
          <w:color w:val="1C1C1C"/>
          <w:sz w:val="22"/>
          <w:szCs w:val="22"/>
        </w:rPr>
        <w:t xml:space="preserve">indicador_atividade_ano = S</w:t>
      </w:r>
    </w:p>
    <w:p>
      <w:pPr>
        <w:pStyle w:val="ListParagraph"/>
        <w:numPr>
          <w:ilvl w:val="0"/>
          <w:numId w:val="2"/>
        </w:numPr>
        <w:spacing w:after="30" w:before="30" w:line="300"/>
      </w:pPr>
      <w:r>
        <w:rPr>
          <w:rFonts w:ascii="Calibri" w:cs="Calibri" w:eastAsia="Calibri" w:hAnsi="Calibri"/>
          <w:color w:val="1C1C1C"/>
          <w:sz w:val="22"/>
          <w:szCs w:val="22"/>
        </w:rPr>
        <w:t xml:space="preserve">indicador_rais_negativa = N</w:t>
      </w:r>
    </w:p>
    <w:p>
      <w:pPr>
        <w:pStyle w:val="ListParagraph"/>
        <w:numPr>
          <w:ilvl w:val="0"/>
          <w:numId w:val="2"/>
        </w:numPr>
        <w:spacing w:after="30" w:before="30" w:line="300"/>
      </w:pPr>
      <w:r>
        <w:rPr>
          <w:rFonts w:ascii="Calibri" w:cs="Calibri" w:eastAsia="Calibri" w:hAnsi="Calibri"/>
          <w:color w:val="1C1C1C"/>
          <w:sz w:val="22"/>
          <w:szCs w:val="22"/>
        </w:rPr>
        <w:t xml:space="preserve">indicador_simples = N</w:t>
      </w:r>
    </w:p>
    <w:p>
      <w:pPr>
        <w:pStyle w:val="ListParagraph"/>
        <w:numPr>
          <w:ilvl w:val="0"/>
          <w:numId w:val="2"/>
        </w:numPr>
        <w:spacing w:after="30" w:before="30" w:line="300"/>
      </w:pPr>
      <w:r>
        <w:rPr>
          <w:rFonts w:ascii="Calibri" w:cs="Calibri" w:eastAsia="Calibri" w:hAnsi="Calibri"/>
          <w:color w:val="1C1C1C"/>
          <w:sz w:val="22"/>
          <w:szCs w:val="22"/>
        </w:rPr>
        <w:t xml:space="preserve">sigla_uf ∈ {RJ, SP}</w:t>
      </w:r>
    </w:p>
    <w:p>
      <w:pPr>
        <w:pStyle w:val="ListParagraph"/>
        <w:numPr>
          <w:ilvl w:val="0"/>
          <w:numId w:val="2"/>
        </w:numPr>
        <w:spacing w:after="30" w:before="30" w:line="300"/>
      </w:pPr>
      <w:r>
        <w:rPr>
          <w:rFonts w:ascii="Calibri" w:cs="Calibri" w:eastAsia="Calibri" w:hAnsi="Calibri"/>
          <w:color w:val="1C1C1C"/>
          <w:sz w:val="22"/>
          <w:szCs w:val="22"/>
        </w:rPr>
        <w:t xml:space="preserve">tamanho_estabelecimento compatível com 20+ vínculos</w:t>
      </w:r>
    </w:p>
    <w:p>
      <w:pPr>
        <w:pStyle w:val="ListParagraph"/>
        <w:numPr>
          <w:ilvl w:val="0"/>
          <w:numId w:val="2"/>
        </w:numPr>
        <w:spacing w:after="30" w:before="30" w:line="300"/>
      </w:pPr>
      <w:r>
        <w:rPr>
          <w:rFonts w:ascii="Calibri" w:cs="Calibri" w:eastAsia="Calibri" w:hAnsi="Calibri"/>
          <w:color w:val="1C1C1C"/>
          <w:sz w:val="22"/>
          <w:szCs w:val="22"/>
        </w:rPr>
        <w:t xml:space="preserve">tipo_estabelecimento = matriz ou único</w:t>
      </w:r>
    </w:p>
    <w:p>
      <w:pPr>
        <w:pStyle w:val="Heading2"/>
        <w:spacing w:after="80" w:before="200"/>
      </w:pPr>
      <w:r>
        <w:rPr>
          <w:rFonts w:ascii="Calibri" w:cs="Calibri" w:eastAsia="Calibri" w:hAnsi="Calibri"/>
          <w:b/>
          <w:bCs/>
          <w:color w:val="1B4F72"/>
          <w:sz w:val="26"/>
          <w:szCs w:val="26"/>
        </w:rPr>
        <w:t xml:space="preserve">4.2 Construção da chave composta</w:t>
      </w:r>
    </w:p>
    <w:p>
      <w:pPr>
        <w:spacing w:after="100" w:before="60" w:line="320"/>
        <w:jc w:val="left"/>
      </w:pPr>
      <w:r>
        <w:rPr>
          <w:rFonts w:ascii="Calibri" w:cs="Calibri" w:eastAsia="Calibri" w:hAnsi="Calibri"/>
          <w:color w:val="1C1C1C"/>
          <w:sz w:val="22"/>
          <w:szCs w:val="22"/>
        </w:rPr>
        <w:t xml:space="preserve">A chave usa apenas variáveis presentes nos dois lados de forma exata e padronizada:</w:t>
      </w:r>
    </w:p>
    <w:p>
      <w:pPr>
        <w:pBdr>
          <w:left w:val="single" w:color="5D6D7E" w:sz="18" w:space="4"/>
        </w:pBdr>
        <w:shd w:fill="F8F8F2" w:val="clear"/>
        <w:spacing w:after="140" w:before="120" w:line="280"/>
        <w:ind w:left="300" w:right="200"/>
      </w:pPr>
      <w:r>
        <w:rPr>
          <w:rFonts w:ascii="Consolas" w:cs="Consolas" w:eastAsia="Consolas" w:hAnsi="Consolas"/>
          <w:color w:val="0D2137"/>
          <w:sz w:val="19"/>
          <w:szCs w:val="19"/>
        </w:rPr>
        <w:t xml:space="preserve">chave_match = CEP
             + cnae_2_subclasse        // CNAE 7 dígitos
             + natureza_juridica       // código padronizado
             + tipo_estabelecimento    // matriz/filial/único
             + id_municipio            // código IBGE 7 dígitos</w:t>
      </w:r>
    </w:p>
    <w:p>
      <w:pPr>
        <w:spacing w:after="100" w:before="60" w:line="320"/>
        <w:jc w:val="left"/>
      </w:pPr>
      <w:r>
        <w:rPr>
          <w:rFonts w:ascii="Calibri" w:cs="Calibri" w:eastAsia="Calibri" w:hAnsi="Calibri"/>
          <w:color w:val="1C1C1C"/>
          <w:sz w:val="22"/>
          <w:szCs w:val="22"/>
        </w:rPr>
        <w:t xml:space="preserve">Para SP capital e RJ capital, a RAIS expõe bairro/distrito como variável adicional, dramaticamente reduzindo ambiguidade em prédios comerciais densos:</w:t>
      </w:r>
    </w:p>
    <w:p>
      <w:pPr>
        <w:pBdr>
          <w:left w:val="single" w:color="5D6D7E" w:sz="18" w:space="4"/>
        </w:pBdr>
        <w:shd w:fill="F8F8F2" w:val="clear"/>
        <w:spacing w:after="140" w:before="120" w:line="280"/>
        <w:ind w:left="300" w:right="200"/>
      </w:pPr>
      <w:r>
        <w:rPr>
          <w:rFonts w:ascii="Consolas" w:cs="Consolas" w:eastAsia="Consolas" w:hAnsi="Consolas"/>
          <w:color w:val="0D2137"/>
          <w:sz w:val="19"/>
          <w:szCs w:val="19"/>
        </w:rPr>
        <w:t xml:space="preserve">chave_match_capital = chave_match
                     + bairros_sp           // se município = SP capital
                     + bairros_rj           // se município = RJ capital</w:t>
      </w:r>
    </w:p>
    <w:p>
      <w:pPr>
        <w:pBdr>
          <w:left w:val="single" w:color="00A86B" w:sz="24" w:space="0"/>
        </w:pBdr>
        <w:shd w:fill="EBF5FB" w:val="clear"/>
        <w:spacing w:after="140" w:before="120"/>
        <w:ind w:left="300" w:right="300"/>
      </w:pPr>
      <w:r>
        <w:rPr>
          <w:rFonts w:ascii="Calibri" w:cs="Calibri" w:eastAsia="Calibri" w:hAnsi="Calibri"/>
          <w:b/>
          <w:bCs/>
          <w:color w:val="00A86B"/>
          <w:spacing w:val="60"/>
          <w:sz w:val="18"/>
          <w:szCs w:val="18"/>
        </w:rPr>
        <w:t xml:space="preserve">POR QUE CEP É A VARIÁVEL CRÍTICA  </w:t>
      </w:r>
      <w:r>
        <w:rPr>
          <w:rFonts w:ascii="Calibri" w:cs="Calibri" w:eastAsia="Calibri" w:hAnsi="Calibri"/>
          <w:color w:val="1C1C1C"/>
          <w:sz w:val="21"/>
          <w:szCs w:val="21"/>
        </w:rPr>
        <w:t xml:space="preserve">O CEP brasileiro tem granularidade fina. Para empresas no sweet spot (R$4,8M–R$60M) que ocupam endereços dedicados — galpões, andares próprios, lojas com endereço único — a combinação CEP + CNAE 7 dígitos isola o CNPJ na maioria absoluta dos casos. Em prédios comerciais densos onde o CEP é compartilhado, o desempate por bairro (SP/RJ) e CNAE específico resolve a maioria do restante.</w:t>
      </w:r>
    </w:p>
    <w:p>
      <w:pPr>
        <w:pStyle w:val="Heading2"/>
        <w:spacing w:after="80" w:before="200"/>
      </w:pPr>
      <w:r>
        <w:rPr>
          <w:rFonts w:ascii="Calibri" w:cs="Calibri" w:eastAsia="Calibri" w:hAnsi="Calibri"/>
          <w:b/>
          <w:bCs/>
          <w:color w:val="1B4F72"/>
          <w:sz w:val="26"/>
          <w:szCs w:val="26"/>
        </w:rPr>
        <w:t xml:space="preserve">4.3 Aplicação do match</w:t>
      </w:r>
    </w:p>
    <w:p>
      <w:pPr>
        <w:spacing w:after="100" w:before="60" w:line="320"/>
        <w:jc w:val="both"/>
      </w:pPr>
      <w:r>
        <w:rPr>
          <w:rFonts w:ascii="Calibri" w:cs="Calibri" w:eastAsia="Calibri" w:hAnsi="Calibri"/>
          <w:color w:val="1C1C1C"/>
          <w:sz w:val="22"/>
          <w:szCs w:val="22"/>
        </w:rPr>
        <w:t xml:space="preserve">Para cada registro RAIS no universo filtrado, busca-se todos os CNPJs da Receita Federal com a mesma chave composta. O número de candidatos retornados define a confiança do match.</w:t>
      </w:r>
    </w:p>
    <w:tbl>
      <w:tblPr>
        <w:tblW w:type="dxa" w:w="9332"/>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32"/>
      </w:tblGrid>
      <w:tr>
        <w:trPr>
          <w:tblHeader/>
        </w:trPr>
        <w:tc>
          <w:tcPr>
            <w:tcW w:type="dxa" w:w="1500"/>
            <w:tcBorders>
              <w:top w:val="single" w:color="BDC3C7" w:sz="1"/>
              <w:left w:val="single" w:color="BDC3C7" w:sz="1"/>
              <w:bottom w:val="single" w:color="BDC3C7" w:sz="1"/>
              <w:right w:val="single" w:color="BDC3C7" w:sz="1"/>
            </w:tcBorders>
            <w:shd w:fill="0D2137" w:val="clear"/>
            <w:tcMar>
              <w:top w:type="dxa" w:w="120"/>
              <w:left w:type="dxa" w:w="150"/>
              <w:bottom w:type="dxa" w:w="120"/>
              <w:right w:type="dxa" w:w="150"/>
            </w:tcMar>
            <w:vAlign w:val="center"/>
          </w:tcPr>
          <w:p>
            <w:pPr>
              <w:jc w:val="left"/>
            </w:pPr>
            <w:r>
              <w:rPr>
                <w:rFonts w:ascii="Calibri" w:cs="Calibri" w:eastAsia="Calibri" w:hAnsi="Calibri"/>
                <w:b/>
                <w:bCs/>
                <w:color w:val="FFFFFF"/>
                <w:sz w:val="20"/>
                <w:szCs w:val="20"/>
              </w:rPr>
              <w:t xml:space="preserve">Candidatos</w:t>
            </w:r>
          </w:p>
        </w:tc>
        <w:tc>
          <w:tcPr>
            <w:tcW w:type="dxa" w:w="3000"/>
            <w:tcBorders>
              <w:top w:val="single" w:color="BDC3C7" w:sz="1"/>
              <w:left w:val="single" w:color="BDC3C7" w:sz="1"/>
              <w:bottom w:val="single" w:color="BDC3C7" w:sz="1"/>
              <w:right w:val="single" w:color="BDC3C7" w:sz="1"/>
            </w:tcBorders>
            <w:shd w:fill="0D2137" w:val="clear"/>
            <w:tcMar>
              <w:top w:type="dxa" w:w="120"/>
              <w:left w:type="dxa" w:w="150"/>
              <w:bottom w:type="dxa" w:w="120"/>
              <w:right w:type="dxa" w:w="150"/>
            </w:tcMar>
            <w:vAlign w:val="center"/>
          </w:tcPr>
          <w:p>
            <w:pPr>
              <w:jc w:val="left"/>
            </w:pPr>
            <w:r>
              <w:rPr>
                <w:rFonts w:ascii="Calibri" w:cs="Calibri" w:eastAsia="Calibri" w:hAnsi="Calibri"/>
                <w:b/>
                <w:bCs/>
                <w:color w:val="FFFFFF"/>
                <w:sz w:val="20"/>
                <w:szCs w:val="20"/>
              </w:rPr>
              <w:t xml:space="preserve">Classificação</w:t>
            </w:r>
          </w:p>
        </w:tc>
        <w:tc>
          <w:tcPr>
            <w:tcW w:type="dxa" w:w="4832"/>
            <w:tcBorders>
              <w:top w:val="single" w:color="BDC3C7" w:sz="1"/>
              <w:left w:val="single" w:color="BDC3C7" w:sz="1"/>
              <w:bottom w:val="single" w:color="BDC3C7" w:sz="1"/>
              <w:right w:val="single" w:color="BDC3C7" w:sz="1"/>
            </w:tcBorders>
            <w:shd w:fill="0D2137" w:val="clear"/>
            <w:tcMar>
              <w:top w:type="dxa" w:w="120"/>
              <w:left w:type="dxa" w:w="150"/>
              <w:bottom w:type="dxa" w:w="120"/>
              <w:right w:type="dxa" w:w="150"/>
            </w:tcMar>
            <w:vAlign w:val="center"/>
          </w:tcPr>
          <w:p>
            <w:pPr>
              <w:jc w:val="left"/>
            </w:pPr>
            <w:r>
              <w:rPr>
                <w:rFonts w:ascii="Calibri" w:cs="Calibri" w:eastAsia="Calibri" w:hAnsi="Calibri"/>
                <w:b/>
                <w:bCs/>
                <w:color w:val="FFFFFF"/>
                <w:sz w:val="20"/>
                <w:szCs w:val="20"/>
              </w:rPr>
              <w:t xml:space="preserve">Ação</w:t>
            </w:r>
          </w:p>
        </w:tc>
      </w:tr>
      <w:tr>
        <w:tc>
          <w:tcPr>
            <w:tcW w:type="dxa" w:w="15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1 CNPJ</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Match único — confiança alta</w:t>
            </w:r>
          </w:p>
        </w:tc>
        <w:tc>
          <w:tcPr>
            <w:tcW w:type="dxa" w:w="4832"/>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Identifica diretamente. Atribui vínculos ao CNPJ.</w:t>
            </w:r>
          </w:p>
        </w:tc>
      </w:tr>
      <w:tr>
        <w:tc>
          <w:tcPr>
            <w:tcW w:type="dxa" w:w="15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2–3 CNPJs</w:t>
            </w:r>
          </w:p>
        </w:tc>
        <w:tc>
          <w:tcPr>
            <w:tcW w:type="dxa" w:w="30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Ambíguo — confiança média</w:t>
            </w:r>
          </w:p>
        </w:tc>
        <w:tc>
          <w:tcPr>
            <w:tcW w:type="dxa" w:w="4832"/>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Aplica filtros de desempate (4.4).</w:t>
            </w:r>
          </w:p>
        </w:tc>
      </w:tr>
      <w:tr>
        <w:tc>
          <w:tcPr>
            <w:tcW w:type="dxa" w:w="15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4 ou mais</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Não resolvido — confiança baixa</w:t>
            </w:r>
          </w:p>
        </w:tc>
        <w:tc>
          <w:tcPr>
            <w:tcW w:type="dxa" w:w="4832"/>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Aplica filtros. Se persistir, vai para fallback (4.5).</w:t>
            </w:r>
          </w:p>
        </w:tc>
      </w:tr>
    </w:tbl>
    <w:p>
      <w:pPr>
        <w:pStyle w:val="Heading2"/>
        <w:spacing w:after="80" w:before="200"/>
      </w:pPr>
      <w:r>
        <w:rPr>
          <w:rFonts w:ascii="Calibri" w:cs="Calibri" w:eastAsia="Calibri" w:hAnsi="Calibri"/>
          <w:b/>
          <w:bCs/>
          <w:color w:val="1B4F72"/>
          <w:sz w:val="26"/>
          <w:szCs w:val="26"/>
        </w:rPr>
        <w:t xml:space="preserve">4.4 Filtros de desempate</w:t>
      </w:r>
    </w:p>
    <w:p>
      <w:pPr>
        <w:spacing w:after="100" w:before="60" w:line="320"/>
        <w:jc w:val="both"/>
      </w:pPr>
      <w:r>
        <w:rPr>
          <w:rFonts w:ascii="Calibri" w:cs="Calibri" w:eastAsia="Calibri" w:hAnsi="Calibri"/>
          <w:color w:val="1C1C1C"/>
          <w:sz w:val="22"/>
          <w:szCs w:val="22"/>
        </w:rPr>
        <w:t xml:space="preserve">Quando a chave principal retorna mais de um candidato, aplicar os filtros abaixo em cascata. Cada filtro elimina candidatos incompatíveis. O primeiro filtro que reduz a 1 candidato resolve o match.</w:t>
      </w:r>
    </w:p>
    <w:p>
      <w:pPr>
        <w:pStyle w:val="Heading3"/>
        <w:spacing w:after="60" w:before="160"/>
      </w:pPr>
      <w:r>
        <w:rPr>
          <w:rFonts w:ascii="Calibri" w:cs="Calibri" w:eastAsia="Calibri" w:hAnsi="Calibri"/>
          <w:b/>
          <w:bCs/>
          <w:color w:val="0D2137"/>
          <w:sz w:val="22"/>
          <w:szCs w:val="22"/>
        </w:rPr>
        <w:t xml:space="preserve">Filtro 1 — Coerência do indicador_simples</w:t>
      </w:r>
    </w:p>
    <w:p>
      <w:pPr>
        <w:spacing w:after="100" w:before="60" w:line="320"/>
        <w:jc w:val="left"/>
      </w:pPr>
      <w:r>
        <w:rPr>
          <w:rFonts w:ascii="Calibri" w:cs="Calibri" w:eastAsia="Calibri" w:hAnsi="Calibri"/>
          <w:color w:val="1C1C1C"/>
          <w:sz w:val="22"/>
          <w:szCs w:val="22"/>
        </w:rPr>
        <w:t xml:space="preserve">RAIS marca indicador_simples (S/N). Receita Federal tem opcao_simples (S/N). Devem ser compatíveis no ano-base.</w:t>
      </w:r>
    </w:p>
    <w:p>
      <w:pPr>
        <w:pStyle w:val="Heading3"/>
        <w:spacing w:after="60" w:before="160"/>
      </w:pPr>
      <w:r>
        <w:rPr>
          <w:rFonts w:ascii="Calibri" w:cs="Calibri" w:eastAsia="Calibri" w:hAnsi="Calibri"/>
          <w:b/>
          <w:bCs/>
          <w:color w:val="0D2137"/>
          <w:sz w:val="22"/>
          <w:szCs w:val="22"/>
        </w:rPr>
        <w:t xml:space="preserve">Filtro 2 — Coerência de porte</w:t>
      </w:r>
    </w:p>
    <w:p>
      <w:pPr>
        <w:spacing w:after="100" w:before="60" w:line="320"/>
        <w:jc w:val="left"/>
      </w:pPr>
      <w:r>
        <w:rPr>
          <w:rFonts w:ascii="Calibri" w:cs="Calibri" w:eastAsia="Calibri" w:hAnsi="Calibri"/>
          <w:color w:val="1C1C1C"/>
          <w:sz w:val="22"/>
          <w:szCs w:val="22"/>
        </w:rPr>
        <w:t xml:space="preserve">RAIS tem tamanho_estabelecimento em faixas de vínculos. Receita tem porte declarado (ME, EPP, Demais). Empresa Demais na Receita não casa com 0–4 vínculos na RAIS.</w:t>
      </w:r>
    </w:p>
    <w:p>
      <w:pPr>
        <w:pStyle w:val="Heading3"/>
        <w:spacing w:after="60" w:before="160"/>
      </w:pPr>
      <w:r>
        <w:rPr>
          <w:rFonts w:ascii="Calibri" w:cs="Calibri" w:eastAsia="Calibri" w:hAnsi="Calibri"/>
          <w:b/>
          <w:bCs/>
          <w:color w:val="0D2137"/>
          <w:sz w:val="22"/>
          <w:szCs w:val="22"/>
        </w:rPr>
        <w:t xml:space="preserve">Filtro 3 — Coerência temporal</w:t>
      </w:r>
    </w:p>
    <w:p>
      <w:pPr>
        <w:spacing w:after="100" w:before="60" w:line="320"/>
        <w:jc w:val="left"/>
      </w:pPr>
      <w:r>
        <w:rPr>
          <w:rFonts w:ascii="Calibri" w:cs="Calibri" w:eastAsia="Calibri" w:hAnsi="Calibri"/>
          <w:color w:val="1C1C1C"/>
          <w:sz w:val="22"/>
          <w:szCs w:val="22"/>
        </w:rPr>
        <w:t xml:space="preserve">Se a RAIS de 2020 mostra esse estabelecimento ativo, o CNPJ candidato precisa ter sido aberto antes de 2020 (data_inicio_atividade).</w:t>
      </w:r>
    </w:p>
    <w:p>
      <w:pPr>
        <w:pStyle w:val="Heading3"/>
        <w:spacing w:after="60" w:before="160"/>
      </w:pPr>
      <w:r>
        <w:rPr>
          <w:rFonts w:ascii="Calibri" w:cs="Calibri" w:eastAsia="Calibri" w:hAnsi="Calibri"/>
          <w:b/>
          <w:bCs/>
          <w:color w:val="0D2137"/>
          <w:sz w:val="22"/>
          <w:szCs w:val="22"/>
        </w:rPr>
        <w:t xml:space="preserve">Filtro 4 — Coerência de subatividade IBGE</w:t>
      </w:r>
    </w:p>
    <w:p>
      <w:pPr>
        <w:spacing w:after="100" w:before="60" w:line="320"/>
        <w:jc w:val="left"/>
      </w:pPr>
      <w:r>
        <w:rPr>
          <w:rFonts w:ascii="Calibri" w:cs="Calibri" w:eastAsia="Calibri" w:hAnsi="Calibri"/>
          <w:color w:val="1C1C1C"/>
          <w:sz w:val="22"/>
          <w:szCs w:val="22"/>
        </w:rPr>
        <w:t xml:space="preserve">RAIS tem subsetor_ibge e subatividade_ibge — agregações próprias do IBGE derivadas do CNAE. Servem como segunda checagem de classificação setorial.</w:t>
      </w:r>
    </w:p>
    <w:p>
      <w:pPr>
        <w:pStyle w:val="Heading3"/>
        <w:spacing w:after="60" w:before="160"/>
      </w:pPr>
      <w:r>
        <w:rPr>
          <w:rFonts w:ascii="Calibri" w:cs="Calibri" w:eastAsia="Calibri" w:hAnsi="Calibri"/>
          <w:b/>
          <w:bCs/>
          <w:color w:val="0D2137"/>
          <w:sz w:val="22"/>
          <w:szCs w:val="22"/>
        </w:rPr>
        <w:t xml:space="preserve">Filtro 5 — Bairro nas capitais</w:t>
      </w:r>
    </w:p>
    <w:p>
      <w:pPr>
        <w:spacing w:after="100" w:before="60" w:line="320"/>
        <w:jc w:val="left"/>
      </w:pPr>
      <w:r>
        <w:rPr>
          <w:rFonts w:ascii="Calibri" w:cs="Calibri" w:eastAsia="Calibri" w:hAnsi="Calibri"/>
          <w:color w:val="1C1C1C"/>
          <w:sz w:val="22"/>
          <w:szCs w:val="22"/>
        </w:rPr>
        <w:t xml:space="preserve">Para SP capital e RJ capital, cruza bairros_sp / bairros_rj com o bairro derivado do CEP da Receita Federal. Útil quando o CEP do prédio comercial é compartilhado por múltiplos CNPJs do mesmo CNAE.</w:t>
      </w:r>
    </w:p>
    <w:p>
      <w:pPr>
        <w:pStyle w:val="Heading2"/>
        <w:spacing w:after="80" w:before="200"/>
      </w:pPr>
      <w:r>
        <w:rPr>
          <w:rFonts w:ascii="Calibri" w:cs="Calibri" w:eastAsia="Calibri" w:hAnsi="Calibri"/>
          <w:b/>
          <w:bCs/>
          <w:color w:val="1B4F72"/>
          <w:sz w:val="26"/>
          <w:szCs w:val="26"/>
        </w:rPr>
        <w:t xml:space="preserve">4.5 Fallback quando o match falha</w:t>
      </w:r>
    </w:p>
    <w:p>
      <w:pPr>
        <w:pStyle w:val="ListParagraph"/>
        <w:numPr>
          <w:ilvl w:val="0"/>
          <w:numId w:val="2"/>
        </w:numPr>
        <w:spacing w:after="30" w:before="30" w:line="300"/>
      </w:pPr>
      <w:r>
        <w:rPr>
          <w:rFonts w:ascii="Calibri" w:cs="Calibri" w:eastAsia="Calibri" w:hAnsi="Calibri"/>
          <w:color w:val="1C1C1C"/>
          <w:sz w:val="22"/>
          <w:szCs w:val="22"/>
        </w:rPr>
        <w:t xml:space="preserve">Agregação por raiz: se há filiais com match único, soma o headcount identificado.</w:t>
      </w:r>
    </w:p>
    <w:p>
      <w:pPr>
        <w:pStyle w:val="ListParagraph"/>
        <w:numPr>
          <w:ilvl w:val="0"/>
          <w:numId w:val="2"/>
        </w:numPr>
        <w:spacing w:after="30" w:before="30" w:line="300"/>
      </w:pPr>
      <w:r>
        <w:rPr>
          <w:rFonts w:ascii="Calibri" w:cs="Calibri" w:eastAsia="Calibri" w:hAnsi="Calibri"/>
          <w:color w:val="1C1C1C"/>
          <w:sz w:val="22"/>
          <w:szCs w:val="22"/>
        </w:rPr>
        <w:t xml:space="preserve">Proxy via porte declarado da Receita: ME (até 9), EPP (até 49), Demais (50+).</w:t>
      </w:r>
    </w:p>
    <w:p>
      <w:pPr>
        <w:pStyle w:val="ListParagraph"/>
        <w:numPr>
          <w:ilvl w:val="0"/>
          <w:numId w:val="2"/>
        </w:numPr>
        <w:spacing w:after="30" w:before="30" w:line="300"/>
      </w:pPr>
      <w:r>
        <w:rPr>
          <w:rFonts w:ascii="Calibri" w:cs="Calibri" w:eastAsia="Calibri" w:hAnsi="Calibri"/>
          <w:color w:val="1C1C1C"/>
          <w:sz w:val="22"/>
          <w:szCs w:val="22"/>
        </w:rPr>
        <w:t xml:space="preserve">Sinaliza ao comprador como confiança baixa — recomenda Compartilha RFB antes do outreach.</w:t>
      </w:r>
    </w:p>
    <w:p>
      <w:r>
        <w:br w:type="page"/>
      </w:r>
    </w:p>
    <w:p>
      <w:pPr>
        <w:spacing w:after="0" w:before="220"/>
      </w:pPr>
    </w:p>
    <w:p>
      <w:pPr>
        <w:spacing w:after="60" w:before="0"/>
      </w:pPr>
      <w:r>
        <w:rPr>
          <w:rFonts w:ascii="Calibri" w:cs="Calibri" w:eastAsia="Calibri" w:hAnsi="Calibri"/>
          <w:b/>
          <w:bCs/>
          <w:color w:val="00A86B"/>
          <w:spacing w:val="80"/>
          <w:sz w:val="18"/>
          <w:szCs w:val="18"/>
        </w:rPr>
        <w:t xml:space="preserve">5. RAIS VÍNCULOS — BENCHMARK SALARIAL</w:t>
      </w:r>
    </w:p>
    <w:p>
      <w:pPr>
        <w:pBdr>
          <w:bottom w:val="single" w:color="00A86B" w:sz="4" w:space="1"/>
        </w:pBdr>
        <w:spacing w:after="80" w:before="80"/>
      </w:pPr>
    </w:p>
    <w:p>
      <w:pPr>
        <w:spacing w:after="0" w:before="60"/>
      </w:pPr>
    </w:p>
    <w:p>
      <w:pPr>
        <w:spacing w:after="100" w:before="60" w:line="320"/>
        <w:jc w:val="both"/>
      </w:pPr>
      <w:r>
        <w:rPr>
          <w:rFonts w:ascii="Calibri" w:cs="Calibri" w:eastAsia="Calibri" w:hAnsi="Calibri"/>
          <w:color w:val="1C1C1C"/>
          <w:sz w:val="22"/>
          <w:szCs w:val="22"/>
        </w:rPr>
        <w:t xml:space="preserve">Identificado o headcount via Match RAIS Estabelecimentos, o motor precisa do salário médio setorial para calcular a folha de pagamento estimada. A fonte é a RAIS Vínculos — microdados públicos do Ministério do Trabalho com uma linha por trabalhador, ~55 milhões de linhas por ano-base.</w:t>
      </w:r>
    </w:p>
    <w:p>
      <w:pPr>
        <w:pStyle w:val="Heading2"/>
        <w:spacing w:after="80" w:before="200"/>
      </w:pPr>
      <w:r>
        <w:rPr>
          <w:rFonts w:ascii="Calibri" w:cs="Calibri" w:eastAsia="Calibri" w:hAnsi="Calibri"/>
          <w:b/>
          <w:bCs/>
          <w:color w:val="1B4F72"/>
          <w:sz w:val="26"/>
          <w:szCs w:val="26"/>
        </w:rPr>
        <w:t xml:space="preserve">5.1 Limite de uso da Vínculos</w:t>
      </w:r>
    </w:p>
    <w:p>
      <w:pPr>
        <w:spacing w:after="100" w:before="60" w:line="320"/>
        <w:jc w:val="both"/>
      </w:pPr>
      <w:r>
        <w:rPr>
          <w:rFonts w:ascii="Calibri" w:cs="Calibri" w:eastAsia="Calibri" w:hAnsi="Calibri"/>
          <w:color w:val="1C1C1C"/>
          <w:sz w:val="22"/>
          <w:szCs w:val="22"/>
        </w:rPr>
        <w:t xml:space="preserve">A Vínculos não tem CEP nem identificador de estabelecimento. Não pode ser usada para enriquecer o perfil de um CNPJ específico nem para fazer agregações por bairro. O uso fica restrito a uma única função: construir tabela de benchmark salarial agregado por CNAE × município.</w:t>
      </w:r>
    </w:p>
    <w:p>
      <w:pPr>
        <w:pStyle w:val="Heading2"/>
        <w:spacing w:after="80" w:before="200"/>
      </w:pPr>
      <w:r>
        <w:rPr>
          <w:rFonts w:ascii="Calibri" w:cs="Calibri" w:eastAsia="Calibri" w:hAnsi="Calibri"/>
          <w:b/>
          <w:bCs/>
          <w:color w:val="1B4F72"/>
          <w:sz w:val="26"/>
          <w:szCs w:val="26"/>
        </w:rPr>
        <w:t xml:space="preserve">5.2 Construção do benchmark</w:t>
      </w:r>
    </w:p>
    <w:p>
      <w:pPr>
        <w:spacing w:after="100" w:before="60" w:line="320"/>
        <w:jc w:val="left"/>
      </w:pPr>
      <w:r>
        <w:rPr>
          <w:rFonts w:ascii="Calibri" w:cs="Calibri" w:eastAsia="Calibri" w:hAnsi="Calibri"/>
          <w:color w:val="1C1C1C"/>
          <w:sz w:val="22"/>
          <w:szCs w:val="22"/>
        </w:rPr>
        <w:t xml:space="preserve">Processar a RAIS Vínculos uma vez por ano-base e gerar uma tabela de referência salva no produto:</w:t>
      </w:r>
    </w:p>
    <w:p>
      <w:pPr>
        <w:pBdr>
          <w:left w:val="single" w:color="5D6D7E" w:sz="18" w:space="4"/>
        </w:pBdr>
        <w:shd w:fill="F8F8F2" w:val="clear"/>
        <w:spacing w:after="140" w:before="120" w:line="280"/>
        <w:ind w:left="300" w:right="200"/>
      </w:pPr>
      <w:r>
        <w:rPr>
          <w:rFonts w:ascii="Consolas" w:cs="Consolas" w:eastAsia="Consolas" w:hAnsi="Consolas"/>
          <w:color w:val="0D2137"/>
          <w:sz w:val="19"/>
          <w:szCs w:val="19"/>
        </w:rPr>
        <w:t xml:space="preserve">SELECT
  cnae_2_subclasse,
  id_municipio,
  AVG(valor_remuneracao_media) AS salario_medio,
  COUNT(*) AS n_vinculos
FROM `basedosdados.br_me_rais.microdados_vinculos`
WHERE
  ano = 2024
  AND sigla_uf IN ('RJ', 'SP')
  AND vinculo_ativo_31_12 = '1'
  AND tipo_vinculo IN ('10', '15')   -- CLT urbano e por prazo
  AND valor_remuneracao_media &gt; 0
GROUP BY 1, 2
HAVING COUNT(*) &gt;= 10</w:t>
      </w:r>
    </w:p>
    <w:p>
      <w:pPr>
        <w:spacing w:after="100" w:before="60" w:line="320"/>
        <w:jc w:val="both"/>
      </w:pPr>
      <w:r>
        <w:rPr>
          <w:rFonts w:ascii="Calibri" w:cs="Calibri" w:eastAsia="Calibri" w:hAnsi="Calibri"/>
          <w:color w:val="1C1C1C"/>
          <w:sz w:val="22"/>
          <w:szCs w:val="22"/>
        </w:rPr>
        <w:t xml:space="preserve">O HAVING COUNT(*) &gt;= 10 garante mínimo amostral. Células com menos de 10 vínculos caem em fallback de granularidade menor (CNAE × UF, ou CNAE nacional).</w:t>
      </w:r>
    </w:p>
    <w:p>
      <w:pPr>
        <w:pStyle w:val="Heading2"/>
        <w:spacing w:after="80" w:before="200"/>
      </w:pPr>
      <w:r>
        <w:rPr>
          <w:rFonts w:ascii="Calibri" w:cs="Calibri" w:eastAsia="Calibri" w:hAnsi="Calibri"/>
          <w:b/>
          <w:bCs/>
          <w:color w:val="1B4F72"/>
          <w:sz w:val="26"/>
          <w:szCs w:val="26"/>
        </w:rPr>
        <w:t xml:space="preserve">5.3 Por que média e não mediana</w:t>
      </w:r>
    </w:p>
    <w:p>
      <w:pPr>
        <w:spacing w:after="100" w:before="60" w:line="320"/>
        <w:jc w:val="both"/>
      </w:pPr>
      <w:r>
        <w:rPr>
          <w:rFonts w:ascii="Calibri" w:cs="Calibri" w:eastAsia="Calibri" w:hAnsi="Calibri"/>
          <w:color w:val="1C1C1C"/>
          <w:sz w:val="22"/>
          <w:szCs w:val="22"/>
        </w:rPr>
        <w:t xml:space="preserve">Para reconstruir folha total a partir de headcount, média é matematicamente correta. Folha = soma de salários. Folha ÷ headcount = média, por definição. Multiplicar média × headcount devolve folha exata. Mediana × headcount subestima sistematicamente porque ignora a contribuição da cauda superior (gerentes, sócios CLT, executivos).</w:t>
      </w:r>
    </w:p>
    <w:p>
      <w:pPr>
        <w:spacing w:after="100" w:before="60" w:line="320"/>
        <w:jc w:val="both"/>
      </w:pPr>
      <w:r>
        <w:rPr>
          <w:rFonts w:ascii="Calibri" w:cs="Calibri" w:eastAsia="Calibri" w:hAnsi="Calibri"/>
          <w:color w:val="1C1C1C"/>
          <w:sz w:val="22"/>
          <w:szCs w:val="22"/>
        </w:rPr>
        <w:t xml:space="preserve">Para o caso de uso M&amp;A, essa cauda existe na empresa real e está na folha real — então deve estar no benchmark. Mediana é melhor para análise de desigualdade ou pesquisa salarial; para reverter folha em receita, é média.</w:t>
      </w:r>
    </w:p>
    <w:p>
      <w:pPr>
        <w:pStyle w:val="Heading2"/>
        <w:spacing w:after="80" w:before="200"/>
      </w:pPr>
      <w:r>
        <w:rPr>
          <w:rFonts w:ascii="Calibri" w:cs="Calibri" w:eastAsia="Calibri" w:hAnsi="Calibri"/>
          <w:b/>
          <w:bCs/>
          <w:color w:val="1B4F72"/>
          <w:sz w:val="26"/>
          <w:szCs w:val="26"/>
        </w:rPr>
        <w:t xml:space="preserve">5.4 Vantagens sobre a SIDRA 9528</w:t>
      </w:r>
    </w:p>
    <w:tbl>
      <w:tblPr>
        <w:tblW w:type="dxa" w:w="9332"/>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32"/>
      </w:tblGrid>
      <w:tr>
        <w:trPr>
          <w:tblHeader/>
        </w:trPr>
        <w:tc>
          <w:tcPr>
            <w:tcW w:type="dxa" w:w="2700"/>
            <w:tcBorders>
              <w:top w:val="single" w:color="BDC3C7" w:sz="1"/>
              <w:left w:val="single" w:color="BDC3C7" w:sz="1"/>
              <w:bottom w:val="single" w:color="BDC3C7" w:sz="1"/>
              <w:right w:val="single" w:color="BDC3C7" w:sz="1"/>
            </w:tcBorders>
            <w:shd w:fill="0D2137" w:val="clear"/>
            <w:tcMar>
              <w:top w:type="dxa" w:w="120"/>
              <w:left w:type="dxa" w:w="150"/>
              <w:bottom w:type="dxa" w:w="120"/>
              <w:right w:type="dxa" w:w="150"/>
            </w:tcMar>
            <w:vAlign w:val="center"/>
          </w:tcPr>
          <w:p>
            <w:pPr>
              <w:jc w:val="left"/>
            </w:pPr>
            <w:r>
              <w:rPr>
                <w:rFonts w:ascii="Calibri" w:cs="Calibri" w:eastAsia="Calibri" w:hAnsi="Calibri"/>
                <w:b/>
                <w:bCs/>
                <w:color w:val="FFFFFF"/>
                <w:sz w:val="20"/>
                <w:szCs w:val="20"/>
              </w:rPr>
              <w:t xml:space="preserve">Dimensão</w:t>
            </w:r>
          </w:p>
        </w:tc>
        <w:tc>
          <w:tcPr>
            <w:tcW w:type="dxa" w:w="2700"/>
            <w:tcBorders>
              <w:top w:val="single" w:color="BDC3C7" w:sz="1"/>
              <w:left w:val="single" w:color="BDC3C7" w:sz="1"/>
              <w:bottom w:val="single" w:color="BDC3C7" w:sz="1"/>
              <w:right w:val="single" w:color="BDC3C7" w:sz="1"/>
            </w:tcBorders>
            <w:shd w:fill="0D2137" w:val="clear"/>
            <w:tcMar>
              <w:top w:type="dxa" w:w="120"/>
              <w:left w:type="dxa" w:w="150"/>
              <w:bottom w:type="dxa" w:w="120"/>
              <w:right w:type="dxa" w:w="150"/>
            </w:tcMar>
            <w:vAlign w:val="center"/>
          </w:tcPr>
          <w:p>
            <w:pPr>
              <w:jc w:val="left"/>
            </w:pPr>
            <w:r>
              <w:rPr>
                <w:rFonts w:ascii="Calibri" w:cs="Calibri" w:eastAsia="Calibri" w:hAnsi="Calibri"/>
                <w:b/>
                <w:bCs/>
                <w:color w:val="FFFFFF"/>
                <w:sz w:val="20"/>
                <w:szCs w:val="20"/>
              </w:rPr>
              <w:t xml:space="preserve">SIDRA 9528</w:t>
            </w:r>
          </w:p>
        </w:tc>
        <w:tc>
          <w:tcPr>
            <w:tcW w:type="dxa" w:w="3932"/>
            <w:tcBorders>
              <w:top w:val="single" w:color="BDC3C7" w:sz="1"/>
              <w:left w:val="single" w:color="BDC3C7" w:sz="1"/>
              <w:bottom w:val="single" w:color="BDC3C7" w:sz="1"/>
              <w:right w:val="single" w:color="BDC3C7" w:sz="1"/>
            </w:tcBorders>
            <w:shd w:fill="0D2137" w:val="clear"/>
            <w:tcMar>
              <w:top w:type="dxa" w:w="120"/>
              <w:left w:type="dxa" w:w="150"/>
              <w:bottom w:type="dxa" w:w="120"/>
              <w:right w:type="dxa" w:w="150"/>
            </w:tcMar>
            <w:vAlign w:val="center"/>
          </w:tcPr>
          <w:p>
            <w:pPr>
              <w:jc w:val="left"/>
            </w:pPr>
            <w:r>
              <w:rPr>
                <w:rFonts w:ascii="Calibri" w:cs="Calibri" w:eastAsia="Calibri" w:hAnsi="Calibri"/>
                <w:b/>
                <w:bCs/>
                <w:color w:val="FFFFFF"/>
                <w:sz w:val="20"/>
                <w:szCs w:val="20"/>
              </w:rPr>
              <w:t xml:space="preserve">RAIS Vínculos</w:t>
            </w:r>
          </w:p>
        </w:tc>
      </w:tr>
      <w:tr>
        <w:tc>
          <w:tcPr>
            <w:tcW w:type="dxa" w:w="27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Granularidade</w:t>
            </w:r>
          </w:p>
        </w:tc>
        <w:tc>
          <w:tcPr>
            <w:tcW w:type="dxa" w:w="27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Agregado pronto</w:t>
            </w:r>
          </w:p>
        </w:tc>
        <w:tc>
          <w:tcPr>
            <w:tcW w:type="dxa" w:w="3932"/>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Microdados (vínculo a vínculo)</w:t>
            </w:r>
          </w:p>
        </w:tc>
      </w:tr>
      <w:tr>
        <w:tc>
          <w:tcPr>
            <w:tcW w:type="dxa" w:w="27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CNAE</w:t>
            </w:r>
          </w:p>
        </w:tc>
        <w:tc>
          <w:tcPr>
            <w:tcW w:type="dxa" w:w="27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Até classe (4 dígitos)</w:t>
            </w:r>
          </w:p>
        </w:tc>
        <w:tc>
          <w:tcPr>
            <w:tcW w:type="dxa" w:w="3932"/>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Subclasse (7 dígitos)</w:t>
            </w:r>
          </w:p>
        </w:tc>
      </w:tr>
      <w:tr>
        <w:tc>
          <w:tcPr>
            <w:tcW w:type="dxa" w:w="27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Filtros</w:t>
            </w:r>
          </w:p>
        </w:tc>
        <w:tc>
          <w:tcPr>
            <w:tcW w:type="dxa" w:w="27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Não há controle</w:t>
            </w:r>
          </w:p>
        </w:tc>
        <w:tc>
          <w:tcPr>
            <w:tcW w:type="dxa" w:w="3932"/>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Tipo de vínculo, ocupação, ano</w:t>
            </w:r>
          </w:p>
        </w:tc>
      </w:tr>
      <w:tr>
        <w:tc>
          <w:tcPr>
            <w:tcW w:type="dxa" w:w="27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Outliers</w:t>
            </w:r>
          </w:p>
        </w:tc>
        <w:tc>
          <w:tcPr>
            <w:tcW w:type="dxa" w:w="27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Não tratáveis</w:t>
            </w:r>
          </w:p>
        </w:tc>
        <w:tc>
          <w:tcPr>
            <w:tcW w:type="dxa" w:w="3932"/>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Truncamento, winsorization</w:t>
            </w:r>
          </w:p>
        </w:tc>
      </w:tr>
      <w:tr>
        <w:tc>
          <w:tcPr>
            <w:tcW w:type="dxa" w:w="27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Validação</w:t>
            </w:r>
          </w:p>
        </w:tc>
        <w:tc>
          <w:tcPr>
            <w:tcW w:type="dxa" w:w="27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Confia no IBGE</w:t>
            </w:r>
          </w:p>
        </w:tc>
        <w:tc>
          <w:tcPr>
            <w:tcW w:type="dxa" w:w="3932"/>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Calculável e auditável</w:t>
            </w:r>
          </w:p>
        </w:tc>
      </w:tr>
    </w:tbl>
    <w:p>
      <w:pPr>
        <w:spacing w:after="100" w:before="60" w:line="320"/>
        <w:jc w:val="both"/>
      </w:pPr>
      <w:r>
        <w:rPr>
          <w:rFonts w:ascii="Calibri" w:cs="Calibri" w:eastAsia="Calibri" w:hAnsi="Calibri"/>
          <w:color w:val="1C1C1C"/>
          <w:sz w:val="22"/>
          <w:szCs w:val="22"/>
        </w:rPr>
        <w:t xml:space="preserve">Por isso a RAIS Vínculos é a fonte primária do benchmark salarial. A SIDRA 9528 fica como referência opcional de validação cruzada — se o salário médio calculado da Vínculos divergir muito da 9528 para o mesmo CNAE × município, isso sinaliza problema de filtro ou amostra.</w:t>
      </w:r>
    </w:p>
    <w:p>
      <w:r>
        <w:br w:type="page"/>
      </w:r>
    </w:p>
    <w:p>
      <w:pPr>
        <w:spacing w:after="0" w:before="220"/>
      </w:pPr>
    </w:p>
    <w:p>
      <w:pPr>
        <w:spacing w:after="60" w:before="0"/>
      </w:pPr>
      <w:r>
        <w:rPr>
          <w:rFonts w:ascii="Calibri" w:cs="Calibri" w:eastAsia="Calibri" w:hAnsi="Calibri"/>
          <w:b/>
          <w:bCs/>
          <w:color w:val="00A86B"/>
          <w:spacing w:val="80"/>
          <w:sz w:val="18"/>
          <w:szCs w:val="18"/>
        </w:rPr>
        <w:t xml:space="preserve">6. MOTOR DE ESTIMATIVA DE FATURAMENTO</w:t>
      </w:r>
    </w:p>
    <w:p>
      <w:pPr>
        <w:pBdr>
          <w:bottom w:val="single" w:color="00A86B" w:sz="4" w:space="1"/>
        </w:pBdr>
        <w:spacing w:after="80" w:before="80"/>
      </w:pPr>
    </w:p>
    <w:p>
      <w:pPr>
        <w:spacing w:after="0" w:before="60"/>
      </w:pPr>
    </w:p>
    <w:p>
      <w:pPr>
        <w:spacing w:after="100" w:before="60" w:line="320"/>
        <w:jc w:val="both"/>
      </w:pPr>
      <w:r>
        <w:rPr>
          <w:rFonts w:ascii="Calibri" w:cs="Calibri" w:eastAsia="Calibri" w:hAnsi="Calibri"/>
          <w:color w:val="1C1C1C"/>
          <w:sz w:val="22"/>
          <w:szCs w:val="22"/>
        </w:rPr>
        <w:t xml:space="preserve">Identificado o CNPJ via Match RAIS Estabelecimentos e calculado o salário médio setorial via RAIS Vínculos, o motor aplica folha reversa para estimar o faturamento.</w:t>
      </w:r>
    </w:p>
    <w:p>
      <w:pPr>
        <w:pStyle w:val="Heading2"/>
        <w:spacing w:after="80" w:before="200"/>
      </w:pPr>
      <w:r>
        <w:rPr>
          <w:rFonts w:ascii="Calibri" w:cs="Calibri" w:eastAsia="Calibri" w:hAnsi="Calibri"/>
          <w:b/>
          <w:bCs/>
          <w:color w:val="1B4F72"/>
          <w:sz w:val="26"/>
          <w:szCs w:val="26"/>
        </w:rPr>
        <w:t xml:space="preserve">6.1 Fórmula base</w:t>
      </w:r>
    </w:p>
    <w:p>
      <w:pPr>
        <w:pBdr>
          <w:left w:val="single" w:color="5D6D7E" w:sz="18" w:space="4"/>
        </w:pBdr>
        <w:shd w:fill="F8F8F2" w:val="clear"/>
        <w:spacing w:after="140" w:before="120" w:line="280"/>
        <w:ind w:left="300" w:right="200"/>
      </w:pPr>
      <w:r>
        <w:rPr>
          <w:rFonts w:ascii="Consolas" w:cs="Consolas" w:eastAsia="Consolas" w:hAnsi="Consolas"/>
          <w:color w:val="0D2137"/>
          <w:sz w:val="19"/>
          <w:szCs w:val="19"/>
        </w:rPr>
        <w:t xml:space="preserve">Folha estimada = headcount (RAIS Estabelecimentos)
               × salário_médio_mensal (RAIS Vínculos, CNAE × município)
               × 12
               × multiplicador_encargos_CNAE
Receita estimada = Folha estimada
                 ÷ razão_folha_receita_CNAE</w:t>
      </w:r>
    </w:p>
    <w:p>
      <w:pPr>
        <w:pStyle w:val="Heading2"/>
        <w:spacing w:after="80" w:before="200"/>
      </w:pPr>
      <w:r>
        <w:rPr>
          <w:rFonts w:ascii="Calibri" w:cs="Calibri" w:eastAsia="Calibri" w:hAnsi="Calibri"/>
          <w:b/>
          <w:bCs/>
          <w:color w:val="1B4F72"/>
          <w:sz w:val="26"/>
          <w:szCs w:val="26"/>
        </w:rPr>
        <w:t xml:space="preserve">6.2 Multiplicador de encargos por CNAE</w:t>
      </w:r>
    </w:p>
    <w:p>
      <w:pPr>
        <w:spacing w:after="100" w:before="60" w:line="320"/>
        <w:jc w:val="both"/>
      </w:pPr>
      <w:r>
        <w:rPr>
          <w:rFonts w:ascii="Calibri" w:cs="Calibri" w:eastAsia="Calibri" w:hAnsi="Calibri"/>
          <w:color w:val="1C1C1C"/>
          <w:sz w:val="22"/>
          <w:szCs w:val="22"/>
        </w:rPr>
        <w:t xml:space="preserve">O multiplicador de encargos é a relação entre o custo total para a empresa e o salário bruto declarado. Cobre INSS patronal, FGTS, provisões de 13º e férias, sistema S, e — quando aplicável — benefícios obrigatórios e adicionais setoriais.</w:t>
      </w:r>
    </w:p>
    <w:p>
      <w:pPr>
        <w:spacing w:after="100" w:before="60" w:line="320"/>
        <w:jc w:val="both"/>
      </w:pPr>
      <w:r>
        <w:rPr>
          <w:rFonts w:ascii="Calibri" w:cs="Calibri" w:eastAsia="Calibri" w:hAnsi="Calibri"/>
          <w:color w:val="1C1C1C"/>
          <w:sz w:val="22"/>
          <w:szCs w:val="22"/>
        </w:rPr>
        <w:t xml:space="preserve">Não pode ser único para todos os setores. Varia conforme regime tributário (desoneração da folha em alguns CNAEs), benefícios típicos do setor, adicionais de insalubridade/periculosidade, e composição do quadro.</w:t>
      </w:r>
    </w:p>
    <w:tbl>
      <w:tblPr>
        <w:tblW w:type="dxa" w:w="9332"/>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32"/>
      </w:tblGrid>
      <w:tr>
        <w:trPr>
          <w:tblHeader/>
        </w:trPr>
        <w:tc>
          <w:tcPr>
            <w:tcW w:type="dxa" w:w="3200"/>
            <w:tcBorders>
              <w:top w:val="single" w:color="BDC3C7" w:sz="1"/>
              <w:left w:val="single" w:color="BDC3C7" w:sz="1"/>
              <w:bottom w:val="single" w:color="BDC3C7" w:sz="1"/>
              <w:right w:val="single" w:color="BDC3C7" w:sz="1"/>
            </w:tcBorders>
            <w:shd w:fill="0D2137" w:val="clear"/>
            <w:tcMar>
              <w:top w:type="dxa" w:w="120"/>
              <w:left w:type="dxa" w:w="150"/>
              <w:bottom w:type="dxa" w:w="120"/>
              <w:right w:type="dxa" w:w="150"/>
            </w:tcMar>
            <w:vAlign w:val="center"/>
          </w:tcPr>
          <w:p>
            <w:pPr>
              <w:jc w:val="left"/>
            </w:pPr>
            <w:r>
              <w:rPr>
                <w:rFonts w:ascii="Calibri" w:cs="Calibri" w:eastAsia="Calibri" w:hAnsi="Calibri"/>
                <w:b/>
                <w:bCs/>
                <w:color w:val="FFFFFF"/>
                <w:sz w:val="20"/>
                <w:szCs w:val="20"/>
              </w:rPr>
              <w:t xml:space="preserve">Bloco setorial</w:t>
            </w:r>
          </w:p>
        </w:tc>
        <w:tc>
          <w:tcPr>
            <w:tcW w:type="dxa" w:w="1800"/>
            <w:tcBorders>
              <w:top w:val="single" w:color="BDC3C7" w:sz="1"/>
              <w:left w:val="single" w:color="BDC3C7" w:sz="1"/>
              <w:bottom w:val="single" w:color="BDC3C7" w:sz="1"/>
              <w:right w:val="single" w:color="BDC3C7" w:sz="1"/>
            </w:tcBorders>
            <w:shd w:fill="0D2137" w:val="clear"/>
            <w:tcMar>
              <w:top w:type="dxa" w:w="120"/>
              <w:left w:type="dxa" w:w="150"/>
              <w:bottom w:type="dxa" w:w="120"/>
              <w:right w:type="dxa" w:w="150"/>
            </w:tcMar>
            <w:vAlign w:val="center"/>
          </w:tcPr>
          <w:p>
            <w:pPr>
              <w:jc w:val="left"/>
            </w:pPr>
            <w:r>
              <w:rPr>
                <w:rFonts w:ascii="Calibri" w:cs="Calibri" w:eastAsia="Calibri" w:hAnsi="Calibri"/>
                <w:b/>
                <w:bCs/>
                <w:color w:val="FFFFFF"/>
                <w:sz w:val="20"/>
                <w:szCs w:val="20"/>
              </w:rPr>
              <w:t xml:space="preserve">Seções CNAE</w:t>
            </w:r>
          </w:p>
        </w:tc>
        <w:tc>
          <w:tcPr>
            <w:tcW w:type="dxa" w:w="4332"/>
            <w:tcBorders>
              <w:top w:val="single" w:color="BDC3C7" w:sz="1"/>
              <w:left w:val="single" w:color="BDC3C7" w:sz="1"/>
              <w:bottom w:val="single" w:color="BDC3C7" w:sz="1"/>
              <w:right w:val="single" w:color="BDC3C7" w:sz="1"/>
            </w:tcBorders>
            <w:shd w:fill="0D2137" w:val="clear"/>
            <w:tcMar>
              <w:top w:type="dxa" w:w="120"/>
              <w:left w:type="dxa" w:w="150"/>
              <w:bottom w:type="dxa" w:w="120"/>
              <w:right w:type="dxa" w:w="150"/>
            </w:tcMar>
            <w:vAlign w:val="center"/>
          </w:tcPr>
          <w:p>
            <w:pPr>
              <w:jc w:val="left"/>
            </w:pPr>
            <w:r>
              <w:rPr>
                <w:rFonts w:ascii="Calibri" w:cs="Calibri" w:eastAsia="Calibri" w:hAnsi="Calibri"/>
                <w:b/>
                <w:bCs/>
                <w:color w:val="FFFFFF"/>
                <w:sz w:val="20"/>
                <w:szCs w:val="20"/>
              </w:rPr>
              <w:t xml:space="preserve">Multiplicador típico</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Indústria</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B, C</w:t>
            </w:r>
          </w:p>
        </w:tc>
        <w:tc>
          <w:tcPr>
            <w:tcW w:type="dxa" w:w="4332"/>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1,9 – 2,1</w:t>
            </w:r>
          </w:p>
        </w:tc>
      </w:tr>
      <w:tr>
        <w:tc>
          <w:tcPr>
            <w:tcW w:type="dxa" w:w="32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Construção</w:t>
            </w:r>
          </w:p>
        </w:tc>
        <w:tc>
          <w:tcPr>
            <w:tcW w:type="dxa" w:w="18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F</w:t>
            </w:r>
          </w:p>
        </w:tc>
        <w:tc>
          <w:tcPr>
            <w:tcW w:type="dxa" w:w="4332"/>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1,9 – 2,0</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Comércio</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G</w:t>
            </w:r>
          </w:p>
        </w:tc>
        <w:tc>
          <w:tcPr>
            <w:tcW w:type="dxa" w:w="4332"/>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1,6 – 1,7</w:t>
            </w:r>
          </w:p>
        </w:tc>
      </w:tr>
      <w:tr>
        <w:tc>
          <w:tcPr>
            <w:tcW w:type="dxa" w:w="32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Serviços gerais</w:t>
            </w:r>
          </w:p>
        </w:tc>
        <w:tc>
          <w:tcPr>
            <w:tcW w:type="dxa" w:w="18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H, I, N</w:t>
            </w:r>
          </w:p>
        </w:tc>
        <w:tc>
          <w:tcPr>
            <w:tcW w:type="dxa" w:w="4332"/>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1,6 – 1,8</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TI e telecom (com desoneração)</w:t>
            </w:r>
          </w:p>
        </w:tc>
        <w:tc>
          <w:tcPr>
            <w:tcW w:type="dxa" w:w="18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J</w:t>
            </w:r>
          </w:p>
        </w:tc>
        <w:tc>
          <w:tcPr>
            <w:tcW w:type="dxa" w:w="4332"/>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1,4 – 1,6</w:t>
            </w:r>
          </w:p>
        </w:tc>
      </w:tr>
      <w:tr>
        <w:tc>
          <w:tcPr>
            <w:tcW w:type="dxa" w:w="32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bCs/>
                <w:color w:val="1C1C1C"/>
                <w:sz w:val="19"/>
                <w:szCs w:val="19"/>
              </w:rPr>
              <w:t xml:space="preserve">Serviços profissionais</w:t>
            </w:r>
          </w:p>
        </w:tc>
        <w:tc>
          <w:tcPr>
            <w:tcW w:type="dxa" w:w="1800"/>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K, M</w:t>
            </w:r>
          </w:p>
        </w:tc>
        <w:tc>
          <w:tcPr>
            <w:tcW w:type="dxa" w:w="4332"/>
            <w:tcBorders>
              <w:top w:val="single" w:color="BDC3C7" w:sz="1"/>
              <w:left w:val="single" w:color="BDC3C7" w:sz="1"/>
              <w:bottom w:val="single" w:color="BDC3C7" w:sz="1"/>
              <w:right w:val="single" w:color="BDC3C7" w:sz="1"/>
            </w:tcBorders>
            <w:shd w:fill="F4F6F8" w:val="clear"/>
            <w:tcMar>
              <w:top w:type="dxa" w:w="100"/>
              <w:left w:type="dxa" w:w="150"/>
              <w:bottom w:type="dxa" w:w="100"/>
              <w:right w:type="dxa" w:w="150"/>
            </w:tcMar>
            <w:vAlign w:val="center"/>
          </w:tcPr>
          <w:p>
            <w:r>
              <w:rPr>
                <w:rFonts w:ascii="Calibri" w:cs="Calibri" w:eastAsia="Calibri" w:hAnsi="Calibri"/>
                <w:b w:val="false"/>
                <w:bCs w:val="false"/>
                <w:color w:val="1C1C1C"/>
                <w:sz w:val="19"/>
                <w:szCs w:val="19"/>
              </w:rPr>
              <w:t xml:space="preserve">1,7 – 1,9</w:t>
            </w:r>
          </w:p>
        </w:tc>
      </w:tr>
    </w:tbl>
    <w:p>
      <w:pPr>
        <w:pBdr>
          <w:left w:val="single" w:color="B7791F" w:sz="24" w:space="0"/>
        </w:pBdr>
        <w:shd w:fill="FEF3C7" w:val="clear"/>
        <w:spacing w:after="140" w:before="120"/>
        <w:ind w:left="300" w:right="300"/>
      </w:pPr>
      <w:r>
        <w:rPr>
          <w:rFonts w:ascii="Calibri" w:cs="Calibri" w:eastAsia="Calibri" w:hAnsi="Calibri"/>
          <w:b/>
          <w:bCs/>
          <w:color w:val="B7791F"/>
          <w:spacing w:val="60"/>
          <w:sz w:val="18"/>
          <w:szCs w:val="18"/>
        </w:rPr>
        <w:t xml:space="preserve">CALIBRAÇÃO  </w:t>
      </w:r>
      <w:r>
        <w:rPr>
          <w:rFonts w:ascii="Calibri" w:cs="Calibri" w:eastAsia="Calibri" w:hAnsi="Calibri"/>
          <w:color w:val="1C1C1C"/>
          <w:sz w:val="21"/>
          <w:szCs w:val="21"/>
        </w:rPr>
        <w:t xml:space="preserve">Os intervalos acima são estimativas iniciais baseadas no mercado brasileiro típico. Devem ser calibrados empiricamente conforme o produto opera — comparando estimativas do motor com faturamento real recebido via Compartilha RFB.</w:t>
      </w:r>
    </w:p>
    <w:p>
      <w:pPr>
        <w:pStyle w:val="Heading2"/>
        <w:spacing w:after="80" w:before="200"/>
      </w:pPr>
      <w:r>
        <w:rPr>
          <w:rFonts w:ascii="Calibri" w:cs="Calibri" w:eastAsia="Calibri" w:hAnsi="Calibri"/>
          <w:b/>
          <w:bCs/>
          <w:color w:val="1B4F72"/>
          <w:sz w:val="26"/>
          <w:szCs w:val="26"/>
        </w:rPr>
        <w:t xml:space="preserve">6.3 Razão folha/receita por CNAE</w:t>
      </w:r>
    </w:p>
    <w:p>
      <w:pPr>
        <w:spacing w:after="100" w:before="60" w:line="320"/>
        <w:jc w:val="both"/>
      </w:pPr>
      <w:r>
        <w:rPr>
          <w:rFonts w:ascii="Calibri" w:cs="Calibri" w:eastAsia="Calibri" w:hAnsi="Calibri"/>
          <w:color w:val="1C1C1C"/>
          <w:sz w:val="22"/>
          <w:szCs w:val="22"/>
        </w:rPr>
        <w:t xml:space="preserve">A razão folha/receita varia entre 5% e 40% dependendo da intensidade de mão de obra do setor. Vem das pesquisas estruturais do IBGE — PIA (indústria), PAC (comércio), PAS (serviços) — que publicam folha total e receita líquida por CNAE.</w:t>
      </w:r>
    </w:p>
    <w:p>
      <w:pPr>
        <w:spacing w:after="100" w:before="60" w:line="320"/>
        <w:jc w:val="both"/>
      </w:pPr>
      <w:r>
        <w:rPr>
          <w:rFonts w:ascii="Calibri" w:cs="Calibri" w:eastAsia="Calibri" w:hAnsi="Calibri"/>
          <w:color w:val="1C1C1C"/>
          <w:sz w:val="22"/>
          <w:szCs w:val="22"/>
        </w:rPr>
        <w:t xml:space="preserve">Essa tabela também precisa ser construída uma vez como referência do produto, baixando os agregados anuais por CNAE 4 dígitos das três pesquisas e calculando o quociente.</w:t>
      </w:r>
    </w:p>
    <w:p>
      <w:pPr>
        <w:pStyle w:val="Heading2"/>
        <w:spacing w:after="80" w:before="200"/>
      </w:pPr>
      <w:r>
        <w:rPr>
          <w:rFonts w:ascii="Calibri" w:cs="Calibri" w:eastAsia="Calibri" w:hAnsi="Calibri"/>
          <w:b/>
          <w:bCs/>
          <w:color w:val="1B4F72"/>
          <w:sz w:val="26"/>
          <w:szCs w:val="26"/>
        </w:rPr>
        <w:t xml:space="preserve">6.4 Confiança do output</w:t>
      </w:r>
    </w:p>
    <w:p>
      <w:pPr>
        <w:spacing w:after="100" w:before="60" w:line="320"/>
        <w:jc w:val="left"/>
      </w:pPr>
      <w:r>
        <w:rPr>
          <w:rFonts w:ascii="Calibri" w:cs="Calibri" w:eastAsia="Calibri" w:hAnsi="Calibri"/>
          <w:color w:val="1C1C1C"/>
          <w:sz w:val="22"/>
          <w:szCs w:val="22"/>
        </w:rPr>
        <w:t xml:space="preserve">O motor entrega ao comprador estimativa pontual, intervalo, e classificação de confiança baseada em três fatores combinados:</w:t>
      </w:r>
    </w:p>
    <w:p>
      <w:pPr>
        <w:pStyle w:val="ListParagraph"/>
        <w:numPr>
          <w:ilvl w:val="0"/>
          <w:numId w:val="2"/>
        </w:numPr>
        <w:spacing w:after="30" w:before="30" w:line="300"/>
      </w:pPr>
      <w:r>
        <w:rPr>
          <w:rFonts w:ascii="Calibri" w:cs="Calibri" w:eastAsia="Calibri" w:hAnsi="Calibri"/>
          <w:color w:val="1C1C1C"/>
          <w:sz w:val="22"/>
          <w:szCs w:val="22"/>
        </w:rPr>
        <w:t xml:space="preserve">Confiança do Match RAIS (alto / médio / baixo)</w:t>
      </w:r>
    </w:p>
    <w:p>
      <w:pPr>
        <w:pStyle w:val="ListParagraph"/>
        <w:numPr>
          <w:ilvl w:val="0"/>
          <w:numId w:val="2"/>
        </w:numPr>
        <w:spacing w:after="30" w:before="30" w:line="300"/>
      </w:pPr>
      <w:r>
        <w:rPr>
          <w:rFonts w:ascii="Calibri" w:cs="Calibri" w:eastAsia="Calibri" w:hAnsi="Calibri"/>
          <w:color w:val="1C1C1C"/>
          <w:sz w:val="22"/>
          <w:szCs w:val="22"/>
        </w:rPr>
        <w:t xml:space="preserve">Tamanho da amostra do benchmark salarial (n_vinculos)</w:t>
      </w:r>
    </w:p>
    <w:p>
      <w:pPr>
        <w:pStyle w:val="ListParagraph"/>
        <w:numPr>
          <w:ilvl w:val="0"/>
          <w:numId w:val="2"/>
        </w:numPr>
        <w:spacing w:after="30" w:before="30" w:line="300"/>
      </w:pPr>
      <w:r>
        <w:rPr>
          <w:rFonts w:ascii="Calibri" w:cs="Calibri" w:eastAsia="Calibri" w:hAnsi="Calibri"/>
          <w:color w:val="1C1C1C"/>
          <w:sz w:val="22"/>
          <w:szCs w:val="22"/>
        </w:rPr>
        <w:t xml:space="preserve">Aderência setorial (alvo dentro de bloco bem coberto vs. setor de baixa intensidade CLT)</w:t>
      </w:r>
    </w:p>
    <w:p>
      <w:pPr>
        <w:spacing w:after="100" w:before="60" w:line="320"/>
        <w:jc w:val="both"/>
      </w:pPr>
      <w:r>
        <w:rPr>
          <w:rFonts w:ascii="Calibri" w:cs="Calibri" w:eastAsia="Calibri" w:hAnsi="Calibri"/>
          <w:color w:val="1C1C1C"/>
          <w:sz w:val="22"/>
          <w:szCs w:val="22"/>
        </w:rPr>
        <w:t xml:space="preserve">Output típico: 'Estimativa R$10M–R$14M, confiança alta, baseado em match único na RAIS, benchmark calibrado em 312 vínculos do mesmo CNAE × município, multiplicador setorial padrão para comércio.' Não é número solto — é número rastreável.</w:t>
      </w:r>
    </w:p>
    <w:p>
      <w:r>
        <w:br w:type="page"/>
      </w:r>
    </w:p>
    <w:p>
      <w:pPr>
        <w:spacing w:after="0" w:before="220"/>
      </w:pPr>
    </w:p>
    <w:p>
      <w:pPr>
        <w:spacing w:after="60" w:before="0"/>
      </w:pPr>
      <w:r>
        <w:rPr>
          <w:rFonts w:ascii="Calibri" w:cs="Calibri" w:eastAsia="Calibri" w:hAnsi="Calibri"/>
          <w:b/>
          <w:bCs/>
          <w:color w:val="00A86B"/>
          <w:spacing w:val="80"/>
          <w:sz w:val="18"/>
          <w:szCs w:val="18"/>
        </w:rPr>
        <w:t xml:space="preserve">7. CAMADA DE VERIFICAÇÃO ATIVA — COMPARTILHA RFB</w:t>
      </w:r>
    </w:p>
    <w:p>
      <w:pPr>
        <w:pBdr>
          <w:bottom w:val="single" w:color="00A86B" w:sz="4" w:space="1"/>
        </w:pBdr>
        <w:spacing w:after="80" w:before="80"/>
      </w:pPr>
    </w:p>
    <w:p>
      <w:pPr>
        <w:spacing w:after="0" w:before="60"/>
      </w:pPr>
    </w:p>
    <w:p>
      <w:pPr>
        <w:spacing w:after="100" w:before="60" w:line="320"/>
        <w:jc w:val="both"/>
      </w:pPr>
      <w:r>
        <w:rPr>
          <w:rFonts w:ascii="Calibri" w:cs="Calibri" w:eastAsia="Calibri" w:hAnsi="Calibri"/>
          <w:color w:val="1C1C1C"/>
          <w:sz w:val="22"/>
          <w:szCs w:val="22"/>
        </w:rPr>
        <w:t xml:space="preserve">Quando o alvo passa pela triagem e o comprador decide avançar para outreach, o produto convida o empresário a autorizar o compartilhamento de dados fiscais via Compartilha RFB. O fluxo é todo dentro do e-CAC — o representante legal entra com certificado digital e autoriza o compartilhamento com o CNPJ da plataforma.</w:t>
      </w:r>
    </w:p>
    <w:p>
      <w:pPr>
        <w:pStyle w:val="Heading2"/>
        <w:spacing w:after="80" w:before="200"/>
      </w:pPr>
      <w:r>
        <w:rPr>
          <w:rFonts w:ascii="Calibri" w:cs="Calibri" w:eastAsia="Calibri" w:hAnsi="Calibri"/>
          <w:b/>
          <w:bCs/>
          <w:color w:val="1B4F72"/>
          <w:sz w:val="26"/>
          <w:szCs w:val="26"/>
        </w:rPr>
        <w:t xml:space="preserve">7.1 O que é entregue via Compartilha RFB</w:t>
      </w:r>
    </w:p>
    <w:p>
      <w:pPr>
        <w:spacing w:after="100" w:before="60" w:line="320"/>
        <w:jc w:val="both"/>
      </w:pPr>
      <w:r>
        <w:rPr>
          <w:rFonts w:ascii="Calibri" w:cs="Calibri" w:eastAsia="Calibri" w:hAnsi="Calibri"/>
          <w:color w:val="1C1C1C"/>
          <w:sz w:val="22"/>
          <w:szCs w:val="22"/>
        </w:rPr>
        <w:t xml:space="preserve">A API Consulta Faturamento do SERPRO retorna o faturamento bruto declarado à Receita Federal — o mesmo número que aparece na DEFIS (Simples) ou na ECF (Lucro Presumido/Real). É o dado fiscal oficial, não estimativa.</w:t>
      </w:r>
    </w:p>
    <w:p>
      <w:pPr>
        <w:pStyle w:val="Heading2"/>
        <w:spacing w:after="80" w:before="200"/>
      </w:pPr>
      <w:r>
        <w:rPr>
          <w:rFonts w:ascii="Calibri" w:cs="Calibri" w:eastAsia="Calibri" w:hAnsi="Calibri"/>
          <w:b/>
          <w:bCs/>
          <w:color w:val="1B4F72"/>
          <w:sz w:val="26"/>
          <w:szCs w:val="26"/>
        </w:rPr>
        <w:t xml:space="preserve">7.2 Por que é uma feature premium</w:t>
      </w:r>
    </w:p>
    <w:p>
      <w:pPr>
        <w:spacing w:after="100" w:before="60" w:line="320"/>
        <w:jc w:val="left"/>
      </w:pPr>
      <w:r>
        <w:rPr>
          <w:rFonts w:ascii="Calibri" w:cs="Calibri" w:eastAsia="Calibri" w:hAnsi="Calibri"/>
          <w:color w:val="1C1C1C"/>
          <w:sz w:val="22"/>
          <w:szCs w:val="22"/>
        </w:rPr>
        <w:t xml:space="preserve">Quem autoriza o compartilhamento está fazendo duas coisas simultaneamente:</w:t>
      </w:r>
    </w:p>
    <w:p>
      <w:pPr>
        <w:pStyle w:val="ListParagraph"/>
        <w:numPr>
          <w:ilvl w:val="0"/>
          <w:numId w:val="2"/>
        </w:numPr>
        <w:spacing w:after="30" w:before="30" w:line="300"/>
      </w:pPr>
      <w:r>
        <w:rPr>
          <w:rFonts w:ascii="Calibri" w:cs="Calibri" w:eastAsia="Calibri" w:hAnsi="Calibri"/>
          <w:color w:val="1C1C1C"/>
          <w:sz w:val="22"/>
          <w:szCs w:val="22"/>
        </w:rPr>
        <w:t xml:space="preserve">Entrega faturamento exato — substitui qualquer estimativa por número auditável.</w:t>
      </w:r>
    </w:p>
    <w:p>
      <w:pPr>
        <w:pStyle w:val="ListParagraph"/>
        <w:numPr>
          <w:ilvl w:val="0"/>
          <w:numId w:val="2"/>
        </w:numPr>
        <w:spacing w:after="30" w:before="30" w:line="300"/>
      </w:pPr>
      <w:r>
        <w:rPr>
          <w:rFonts w:ascii="Calibri" w:cs="Calibri" w:eastAsia="Calibri" w:hAnsi="Calibri"/>
          <w:color w:val="1C1C1C"/>
          <w:sz w:val="22"/>
          <w:szCs w:val="22"/>
        </w:rPr>
        <w:t xml:space="preserve">Sinaliza intenção real de venda — o ato de autorizar é em si o lead mais qualificado possível.</w:t>
      </w:r>
    </w:p>
    <w:p>
      <w:pPr>
        <w:spacing w:after="100" w:before="60" w:line="320"/>
        <w:jc w:val="both"/>
      </w:pPr>
      <w:r>
        <w:rPr>
          <w:rFonts w:ascii="Calibri" w:cs="Calibri" w:eastAsia="Calibri" w:hAnsi="Calibri"/>
          <w:color w:val="1C1C1C"/>
          <w:sz w:val="22"/>
          <w:szCs w:val="22"/>
        </w:rPr>
        <w:t xml:space="preserve">Para o comprador, isso justifica preço diferenciado por dossiê verificado. Para o empresário, é um caminho de baixo atrito para entrar em uma negociação séria sem expor sua contabilidade interna prematuramente.</w:t>
      </w:r>
    </w:p>
    <w:p>
      <w:pPr>
        <w:pStyle w:val="Heading2"/>
        <w:spacing w:after="80" w:before="200"/>
      </w:pPr>
      <w:r>
        <w:rPr>
          <w:rFonts w:ascii="Calibri" w:cs="Calibri" w:eastAsia="Calibri" w:hAnsi="Calibri"/>
          <w:b/>
          <w:bCs/>
          <w:color w:val="1B4F72"/>
          <w:sz w:val="26"/>
          <w:szCs w:val="26"/>
        </w:rPr>
        <w:t xml:space="preserve">7.3 Loop de calibração</w:t>
      </w:r>
    </w:p>
    <w:p>
      <w:pPr>
        <w:spacing w:after="100" w:before="60" w:line="320"/>
        <w:jc w:val="both"/>
      </w:pPr>
      <w:r>
        <w:rPr>
          <w:rFonts w:ascii="Calibri" w:cs="Calibri" w:eastAsia="Calibri" w:hAnsi="Calibri"/>
          <w:color w:val="1C1C1C"/>
          <w:sz w:val="22"/>
          <w:szCs w:val="22"/>
        </w:rPr>
        <w:t xml:space="preserve">Cada faturamento real recebido via Compartilha RFB serve para calibrar retroativamente os multiplicadores do motor. Compara-se a estimativa que o motor gerou para aquele CNPJ com o número real declarado, identifica viés sistemático por CNAE/município/porte, e ajusta. Com volume, o motor melhora sozinho.</w:t>
      </w:r>
    </w:p>
    <w:p>
      <w:r>
        <w:br w:type="page"/>
      </w:r>
    </w:p>
    <w:p>
      <w:pPr>
        <w:spacing w:after="0" w:before="220"/>
      </w:pPr>
    </w:p>
    <w:p>
      <w:pPr>
        <w:spacing w:after="60" w:before="0"/>
      </w:pPr>
      <w:r>
        <w:rPr>
          <w:rFonts w:ascii="Calibri" w:cs="Calibri" w:eastAsia="Calibri" w:hAnsi="Calibri"/>
          <w:b/>
          <w:bCs/>
          <w:color w:val="00A86B"/>
          <w:spacing w:val="80"/>
          <w:sz w:val="18"/>
          <w:szCs w:val="18"/>
        </w:rPr>
        <w:t xml:space="preserve">8. PIPELINE CONSOLIDADO POR CNPJ</w:t>
      </w:r>
    </w:p>
    <w:p>
      <w:pPr>
        <w:pBdr>
          <w:bottom w:val="single" w:color="00A86B" w:sz="4" w:space="1"/>
        </w:pBdr>
        <w:spacing w:after="80" w:before="80"/>
      </w:pPr>
    </w:p>
    <w:p>
      <w:pPr>
        <w:spacing w:after="0" w:before="60"/>
      </w:pPr>
    </w:p>
    <w:p>
      <w:pPr>
        <w:spacing w:after="100" w:before="60" w:line="320"/>
        <w:jc w:val="both"/>
      </w:pPr>
      <w:r>
        <w:rPr>
          <w:rFonts w:ascii="Calibri" w:cs="Calibri" w:eastAsia="Calibri" w:hAnsi="Calibri"/>
          <w:color w:val="1C1C1C"/>
          <w:sz w:val="22"/>
          <w:szCs w:val="22"/>
        </w:rPr>
        <w:t xml:space="preserve">Sequência completa executada para cada CNPJ candidato no universo MVP:</w:t>
      </w:r>
    </w:p>
    <w:tbl>
      <w:tblPr>
        <w:tblW w:type="dxa" w:w="9166"/>
        <w:tblBorders>
          <w:top w:val="single" w:color="auto" w:sz="4"/>
          <w:left w:val="single" w:color="auto" w:sz="4"/>
          <w:bottom w:val="single" w:color="auto" w:sz="4"/>
          <w:right w:val="single" w:color="auto" w:sz="4"/>
          <w:insideH w:val="single" w:color="auto" w:sz="4"/>
          <w:insideV w:val="single" w:color="auto" w:sz="4"/>
        </w:tblBorders>
      </w:tblPr>
      <w:tblGrid>
        <w:gridCol w:w="900"/>
        <w:gridCol w:w="8266"/>
      </w:tblGrid>
      <w:tr>
        <w:tc>
          <w:tcPr>
            <w:tcW w:type="dxa" w:w="900"/>
            <w:tcBorders>
              <w:top w:val="single" w:color="00A86B" w:sz="1"/>
              <w:left w:val="single" w:color="00A86B" w:sz="1"/>
              <w:bottom w:val="single" w:color="00A86B" w:sz="1"/>
              <w:right w:val="single" w:color="00A86B" w:sz="1"/>
            </w:tcBorders>
            <w:shd w:fill="00A86B" w:val="clear"/>
            <w:tcMar>
              <w:top w:type="dxa" w:w="180"/>
              <w:left w:type="dxa" w:w="100"/>
              <w:bottom w:type="dxa" w:w="180"/>
              <w:right w:type="dxa" w:w="100"/>
            </w:tcMar>
            <w:vAlign w:val="center"/>
          </w:tcPr>
          <w:p>
            <w:pPr>
              <w:jc w:val="center"/>
            </w:pPr>
            <w:r>
              <w:rPr>
                <w:rFonts w:ascii="Calibri" w:cs="Calibri" w:eastAsia="Calibri" w:hAnsi="Calibri"/>
                <w:b/>
                <w:bCs/>
                <w:color w:val="FFFFFF"/>
                <w:sz w:val="44"/>
                <w:szCs w:val="44"/>
              </w:rPr>
              <w:t xml:space="preserve">1</w:t>
            </w:r>
          </w:p>
        </w:tc>
        <w:tc>
          <w:tcPr>
            <w:tcW w:type="dxa" w:w="8266"/>
            <w:tcBorders>
              <w:top w:val="single" w:color="BDC3C7" w:sz="1"/>
              <w:left w:val="single" w:color="BDC3C7" w:sz="1"/>
              <w:bottom w:val="single" w:color="BDC3C7" w:sz="1"/>
              <w:right w:val="single" w:color="BDC3C7" w:sz="1"/>
            </w:tcBorders>
            <w:shd w:fill="F4F6F8" w:val="clear"/>
            <w:tcMar>
              <w:top w:type="dxa" w:w="140"/>
              <w:left w:type="dxa" w:w="200"/>
              <w:bottom w:type="dxa" w:w="140"/>
              <w:right w:type="dxa" w:w="200"/>
            </w:tcMar>
            <w:vAlign w:val="center"/>
          </w:tcPr>
          <w:p>
            <w:pPr>
              <w:spacing w:after="40" w:before="0"/>
            </w:pPr>
            <w:r>
              <w:rPr>
                <w:rFonts w:ascii="Calibri" w:cs="Calibri" w:eastAsia="Calibri" w:hAnsi="Calibri"/>
                <w:b/>
                <w:bCs/>
                <w:color w:val="0D2137"/>
                <w:sz w:val="24"/>
                <w:szCs w:val="24"/>
              </w:rPr>
              <w:t xml:space="preserve">Roteamento por regime tributário</w:t>
            </w:r>
          </w:p>
          <w:p>
            <w:pPr>
              <w:spacing w:after="0" w:before="0" w:line="280"/>
            </w:pPr>
            <w:r>
              <w:rPr>
                <w:rFonts w:ascii="Calibri" w:cs="Calibri" w:eastAsia="Calibri" w:hAnsi="Calibri"/>
                <w:color w:val="1C1C1C"/>
                <w:sz w:val="20"/>
                <w:szCs w:val="20"/>
              </w:rPr>
              <w:t xml:space="preserve">Consulta Simples Nacional. Se ativo → fluxo de estimativa direta por porte. Se não ativo ou excluído → seguir para etapa 2.</w:t>
            </w:r>
          </w:p>
        </w:tc>
      </w:tr>
    </w:tbl>
    <w:p>
      <w:pPr>
        <w:spacing w:after="0" w:before="60"/>
      </w:pPr>
    </w:p>
    <w:tbl>
      <w:tblPr>
        <w:tblW w:type="dxa" w:w="9166"/>
        <w:tblBorders>
          <w:top w:val="single" w:color="auto" w:sz="4"/>
          <w:left w:val="single" w:color="auto" w:sz="4"/>
          <w:bottom w:val="single" w:color="auto" w:sz="4"/>
          <w:right w:val="single" w:color="auto" w:sz="4"/>
          <w:insideH w:val="single" w:color="auto" w:sz="4"/>
          <w:insideV w:val="single" w:color="auto" w:sz="4"/>
        </w:tblBorders>
      </w:tblPr>
      <w:tblGrid>
        <w:gridCol w:w="900"/>
        <w:gridCol w:w="8266"/>
      </w:tblGrid>
      <w:tr>
        <w:tc>
          <w:tcPr>
            <w:tcW w:type="dxa" w:w="900"/>
            <w:tcBorders>
              <w:top w:val="single" w:color="00A86B" w:sz="1"/>
              <w:left w:val="single" w:color="00A86B" w:sz="1"/>
              <w:bottom w:val="single" w:color="00A86B" w:sz="1"/>
              <w:right w:val="single" w:color="00A86B" w:sz="1"/>
            </w:tcBorders>
            <w:shd w:fill="00A86B" w:val="clear"/>
            <w:tcMar>
              <w:top w:type="dxa" w:w="180"/>
              <w:left w:type="dxa" w:w="100"/>
              <w:bottom w:type="dxa" w:w="180"/>
              <w:right w:type="dxa" w:w="100"/>
            </w:tcMar>
            <w:vAlign w:val="center"/>
          </w:tcPr>
          <w:p>
            <w:pPr>
              <w:jc w:val="center"/>
            </w:pPr>
            <w:r>
              <w:rPr>
                <w:rFonts w:ascii="Calibri" w:cs="Calibri" w:eastAsia="Calibri" w:hAnsi="Calibri"/>
                <w:b/>
                <w:bCs/>
                <w:color w:val="FFFFFF"/>
                <w:sz w:val="44"/>
                <w:szCs w:val="44"/>
              </w:rPr>
              <w:t xml:space="preserve">2</w:t>
            </w:r>
          </w:p>
        </w:tc>
        <w:tc>
          <w:tcPr>
            <w:tcW w:type="dxa" w:w="8266"/>
            <w:tcBorders>
              <w:top w:val="single" w:color="BDC3C7" w:sz="1"/>
              <w:left w:val="single" w:color="BDC3C7" w:sz="1"/>
              <w:bottom w:val="single" w:color="BDC3C7" w:sz="1"/>
              <w:right w:val="single" w:color="BDC3C7" w:sz="1"/>
            </w:tcBorders>
            <w:shd w:fill="F4F6F8" w:val="clear"/>
            <w:tcMar>
              <w:top w:type="dxa" w:w="140"/>
              <w:left w:type="dxa" w:w="200"/>
              <w:bottom w:type="dxa" w:w="140"/>
              <w:right w:type="dxa" w:w="200"/>
            </w:tcMar>
            <w:vAlign w:val="center"/>
          </w:tcPr>
          <w:p>
            <w:pPr>
              <w:spacing w:after="40" w:before="0"/>
            </w:pPr>
            <w:r>
              <w:rPr>
                <w:rFonts w:ascii="Calibri" w:cs="Calibri" w:eastAsia="Calibri" w:hAnsi="Calibri"/>
                <w:b/>
                <w:bCs/>
                <w:color w:val="0D2137"/>
                <w:sz w:val="24"/>
                <w:szCs w:val="24"/>
              </w:rPr>
              <w:t xml:space="preserve">Filtragem inicial dos universos</w:t>
            </w:r>
          </w:p>
          <w:p>
            <w:pPr>
              <w:spacing w:after="0" w:before="0" w:line="280"/>
            </w:pPr>
            <w:r>
              <w:rPr>
                <w:rFonts w:ascii="Calibri" w:cs="Calibri" w:eastAsia="Calibri" w:hAnsi="Calibri"/>
                <w:color w:val="1C1C1C"/>
                <w:sz w:val="20"/>
                <w:szCs w:val="20"/>
              </w:rPr>
              <w:t xml:space="preserve">Aplica filtros de Receita Federal (ativa, não Simples, EPP/Demais, RJ/SP, matriz) e RAIS Estabelecimentos (ano recente, ativo, não negativa, RJ/SP, 20+ vínculos).</w:t>
            </w:r>
          </w:p>
        </w:tc>
      </w:tr>
    </w:tbl>
    <w:p>
      <w:pPr>
        <w:spacing w:after="0" w:before="60"/>
      </w:pPr>
    </w:p>
    <w:tbl>
      <w:tblPr>
        <w:tblW w:type="dxa" w:w="9166"/>
        <w:tblBorders>
          <w:top w:val="single" w:color="auto" w:sz="4"/>
          <w:left w:val="single" w:color="auto" w:sz="4"/>
          <w:bottom w:val="single" w:color="auto" w:sz="4"/>
          <w:right w:val="single" w:color="auto" w:sz="4"/>
          <w:insideH w:val="single" w:color="auto" w:sz="4"/>
          <w:insideV w:val="single" w:color="auto" w:sz="4"/>
        </w:tblBorders>
      </w:tblPr>
      <w:tblGrid>
        <w:gridCol w:w="900"/>
        <w:gridCol w:w="8266"/>
      </w:tblGrid>
      <w:tr>
        <w:tc>
          <w:tcPr>
            <w:tcW w:type="dxa" w:w="900"/>
            <w:tcBorders>
              <w:top w:val="single" w:color="00A86B" w:sz="1"/>
              <w:left w:val="single" w:color="00A86B" w:sz="1"/>
              <w:bottom w:val="single" w:color="00A86B" w:sz="1"/>
              <w:right w:val="single" w:color="00A86B" w:sz="1"/>
            </w:tcBorders>
            <w:shd w:fill="00A86B" w:val="clear"/>
            <w:tcMar>
              <w:top w:type="dxa" w:w="180"/>
              <w:left w:type="dxa" w:w="100"/>
              <w:bottom w:type="dxa" w:w="180"/>
              <w:right w:type="dxa" w:w="100"/>
            </w:tcMar>
            <w:vAlign w:val="center"/>
          </w:tcPr>
          <w:p>
            <w:pPr>
              <w:jc w:val="center"/>
            </w:pPr>
            <w:r>
              <w:rPr>
                <w:rFonts w:ascii="Calibri" w:cs="Calibri" w:eastAsia="Calibri" w:hAnsi="Calibri"/>
                <w:b/>
                <w:bCs/>
                <w:color w:val="FFFFFF"/>
                <w:sz w:val="44"/>
                <w:szCs w:val="44"/>
              </w:rPr>
              <w:t xml:space="preserve">3</w:t>
            </w:r>
          </w:p>
        </w:tc>
        <w:tc>
          <w:tcPr>
            <w:tcW w:type="dxa" w:w="8266"/>
            <w:tcBorders>
              <w:top w:val="single" w:color="BDC3C7" w:sz="1"/>
              <w:left w:val="single" w:color="BDC3C7" w:sz="1"/>
              <w:bottom w:val="single" w:color="BDC3C7" w:sz="1"/>
              <w:right w:val="single" w:color="BDC3C7" w:sz="1"/>
            </w:tcBorders>
            <w:shd w:fill="F4F6F8" w:val="clear"/>
            <w:tcMar>
              <w:top w:type="dxa" w:w="140"/>
              <w:left w:type="dxa" w:w="200"/>
              <w:bottom w:type="dxa" w:w="140"/>
              <w:right w:type="dxa" w:w="200"/>
            </w:tcMar>
            <w:vAlign w:val="center"/>
          </w:tcPr>
          <w:p>
            <w:pPr>
              <w:spacing w:after="40" w:before="0"/>
            </w:pPr>
            <w:r>
              <w:rPr>
                <w:rFonts w:ascii="Calibri" w:cs="Calibri" w:eastAsia="Calibri" w:hAnsi="Calibri"/>
                <w:b/>
                <w:bCs/>
                <w:color w:val="0D2137"/>
                <w:sz w:val="24"/>
                <w:szCs w:val="24"/>
              </w:rPr>
              <w:t xml:space="preserve">Match RAIS — chave composta</w:t>
            </w:r>
          </w:p>
          <w:p>
            <w:pPr>
              <w:spacing w:after="0" w:before="0" w:line="280"/>
            </w:pPr>
            <w:r>
              <w:rPr>
                <w:rFonts w:ascii="Calibri" w:cs="Calibri" w:eastAsia="Calibri" w:hAnsi="Calibri"/>
                <w:color w:val="1C1C1C"/>
                <w:sz w:val="20"/>
                <w:szCs w:val="20"/>
              </w:rPr>
              <w:t xml:space="preserve">Cruza CEP + CNAE 7d + natureza jurídica + tipo + município (+ bairro em SP/RJ) entre Receita Federal e RAIS Estabelecimentos. Identifica registro RAIS correspondente.</w:t>
            </w:r>
          </w:p>
        </w:tc>
      </w:tr>
    </w:tbl>
    <w:p>
      <w:pPr>
        <w:spacing w:after="0" w:before="60"/>
      </w:pPr>
    </w:p>
    <w:tbl>
      <w:tblPr>
        <w:tblW w:type="dxa" w:w="9166"/>
        <w:tblBorders>
          <w:top w:val="single" w:color="auto" w:sz="4"/>
          <w:left w:val="single" w:color="auto" w:sz="4"/>
          <w:bottom w:val="single" w:color="auto" w:sz="4"/>
          <w:right w:val="single" w:color="auto" w:sz="4"/>
          <w:insideH w:val="single" w:color="auto" w:sz="4"/>
          <w:insideV w:val="single" w:color="auto" w:sz="4"/>
        </w:tblBorders>
      </w:tblPr>
      <w:tblGrid>
        <w:gridCol w:w="900"/>
        <w:gridCol w:w="8266"/>
      </w:tblGrid>
      <w:tr>
        <w:tc>
          <w:tcPr>
            <w:tcW w:type="dxa" w:w="900"/>
            <w:tcBorders>
              <w:top w:val="single" w:color="00A86B" w:sz="1"/>
              <w:left w:val="single" w:color="00A86B" w:sz="1"/>
              <w:bottom w:val="single" w:color="00A86B" w:sz="1"/>
              <w:right w:val="single" w:color="00A86B" w:sz="1"/>
            </w:tcBorders>
            <w:shd w:fill="00A86B" w:val="clear"/>
            <w:tcMar>
              <w:top w:type="dxa" w:w="180"/>
              <w:left w:type="dxa" w:w="100"/>
              <w:bottom w:type="dxa" w:w="180"/>
              <w:right w:type="dxa" w:w="100"/>
            </w:tcMar>
            <w:vAlign w:val="center"/>
          </w:tcPr>
          <w:p>
            <w:pPr>
              <w:jc w:val="center"/>
            </w:pPr>
            <w:r>
              <w:rPr>
                <w:rFonts w:ascii="Calibri" w:cs="Calibri" w:eastAsia="Calibri" w:hAnsi="Calibri"/>
                <w:b/>
                <w:bCs/>
                <w:color w:val="FFFFFF"/>
                <w:sz w:val="44"/>
                <w:szCs w:val="44"/>
              </w:rPr>
              <w:t xml:space="preserve">4</w:t>
            </w:r>
          </w:p>
        </w:tc>
        <w:tc>
          <w:tcPr>
            <w:tcW w:type="dxa" w:w="8266"/>
            <w:tcBorders>
              <w:top w:val="single" w:color="BDC3C7" w:sz="1"/>
              <w:left w:val="single" w:color="BDC3C7" w:sz="1"/>
              <w:bottom w:val="single" w:color="BDC3C7" w:sz="1"/>
              <w:right w:val="single" w:color="BDC3C7" w:sz="1"/>
            </w:tcBorders>
            <w:shd w:fill="F4F6F8" w:val="clear"/>
            <w:tcMar>
              <w:top w:type="dxa" w:w="140"/>
              <w:left w:type="dxa" w:w="200"/>
              <w:bottom w:type="dxa" w:w="140"/>
              <w:right w:type="dxa" w:w="200"/>
            </w:tcMar>
            <w:vAlign w:val="center"/>
          </w:tcPr>
          <w:p>
            <w:pPr>
              <w:spacing w:after="40" w:before="0"/>
            </w:pPr>
            <w:r>
              <w:rPr>
                <w:rFonts w:ascii="Calibri" w:cs="Calibri" w:eastAsia="Calibri" w:hAnsi="Calibri"/>
                <w:b/>
                <w:bCs/>
                <w:color w:val="0D2137"/>
                <w:sz w:val="24"/>
                <w:szCs w:val="24"/>
              </w:rPr>
              <w:t xml:space="preserve">Filtros de desempate</w:t>
            </w:r>
          </w:p>
          <w:p>
            <w:pPr>
              <w:spacing w:after="0" w:before="0" w:line="280"/>
            </w:pPr>
            <w:r>
              <w:rPr>
                <w:rFonts w:ascii="Calibri" w:cs="Calibri" w:eastAsia="Calibri" w:hAnsi="Calibri"/>
                <w:color w:val="1C1C1C"/>
                <w:sz w:val="20"/>
                <w:szCs w:val="20"/>
              </w:rPr>
              <w:t xml:space="preserve">Aplica em cascata os 5 filtros: indicador_simples, coerência de porte, coerência temporal, subatividade IBGE, bairro. Classifica match como alto/médio/baixo.</w:t>
            </w:r>
          </w:p>
        </w:tc>
      </w:tr>
    </w:tbl>
    <w:p>
      <w:pPr>
        <w:spacing w:after="0" w:before="60"/>
      </w:pPr>
    </w:p>
    <w:tbl>
      <w:tblPr>
        <w:tblW w:type="dxa" w:w="9166"/>
        <w:tblBorders>
          <w:top w:val="single" w:color="auto" w:sz="4"/>
          <w:left w:val="single" w:color="auto" w:sz="4"/>
          <w:bottom w:val="single" w:color="auto" w:sz="4"/>
          <w:right w:val="single" w:color="auto" w:sz="4"/>
          <w:insideH w:val="single" w:color="auto" w:sz="4"/>
          <w:insideV w:val="single" w:color="auto" w:sz="4"/>
        </w:tblBorders>
      </w:tblPr>
      <w:tblGrid>
        <w:gridCol w:w="900"/>
        <w:gridCol w:w="8266"/>
      </w:tblGrid>
      <w:tr>
        <w:tc>
          <w:tcPr>
            <w:tcW w:type="dxa" w:w="900"/>
            <w:tcBorders>
              <w:top w:val="single" w:color="00A86B" w:sz="1"/>
              <w:left w:val="single" w:color="00A86B" w:sz="1"/>
              <w:bottom w:val="single" w:color="00A86B" w:sz="1"/>
              <w:right w:val="single" w:color="00A86B" w:sz="1"/>
            </w:tcBorders>
            <w:shd w:fill="00A86B" w:val="clear"/>
            <w:tcMar>
              <w:top w:type="dxa" w:w="180"/>
              <w:left w:type="dxa" w:w="100"/>
              <w:bottom w:type="dxa" w:w="180"/>
              <w:right w:type="dxa" w:w="100"/>
            </w:tcMar>
            <w:vAlign w:val="center"/>
          </w:tcPr>
          <w:p>
            <w:pPr>
              <w:jc w:val="center"/>
            </w:pPr>
            <w:r>
              <w:rPr>
                <w:rFonts w:ascii="Calibri" w:cs="Calibri" w:eastAsia="Calibri" w:hAnsi="Calibri"/>
                <w:b/>
                <w:bCs/>
                <w:color w:val="FFFFFF"/>
                <w:sz w:val="44"/>
                <w:szCs w:val="44"/>
              </w:rPr>
              <w:t xml:space="preserve">5</w:t>
            </w:r>
          </w:p>
        </w:tc>
        <w:tc>
          <w:tcPr>
            <w:tcW w:type="dxa" w:w="8266"/>
            <w:tcBorders>
              <w:top w:val="single" w:color="BDC3C7" w:sz="1"/>
              <w:left w:val="single" w:color="BDC3C7" w:sz="1"/>
              <w:bottom w:val="single" w:color="BDC3C7" w:sz="1"/>
              <w:right w:val="single" w:color="BDC3C7" w:sz="1"/>
            </w:tcBorders>
            <w:shd w:fill="F4F6F8" w:val="clear"/>
            <w:tcMar>
              <w:top w:type="dxa" w:w="140"/>
              <w:left w:type="dxa" w:w="200"/>
              <w:bottom w:type="dxa" w:w="140"/>
              <w:right w:type="dxa" w:w="200"/>
            </w:tcMar>
            <w:vAlign w:val="center"/>
          </w:tcPr>
          <w:p>
            <w:pPr>
              <w:spacing w:after="40" w:before="0"/>
            </w:pPr>
            <w:r>
              <w:rPr>
                <w:rFonts w:ascii="Calibri" w:cs="Calibri" w:eastAsia="Calibri" w:hAnsi="Calibri"/>
                <w:b/>
                <w:bCs/>
                <w:color w:val="0D2137"/>
                <w:sz w:val="24"/>
                <w:szCs w:val="24"/>
              </w:rPr>
              <w:t xml:space="preserve">Extração do headcount</w:t>
            </w:r>
          </w:p>
          <w:p>
            <w:pPr>
              <w:spacing w:after="0" w:before="0" w:line="280"/>
            </w:pPr>
            <w:r>
              <w:rPr>
                <w:rFonts w:ascii="Calibri" w:cs="Calibri" w:eastAsia="Calibri" w:hAnsi="Calibri"/>
                <w:color w:val="1C1C1C"/>
                <w:sz w:val="20"/>
                <w:szCs w:val="20"/>
              </w:rPr>
              <w:t xml:space="preserve">quantidade_vinculos_ativos da RAIS Estabelecimentos atribuído ao CNPJ identificado. Esse é o multiplicador central das fórmulas.</w:t>
            </w:r>
          </w:p>
        </w:tc>
      </w:tr>
    </w:tbl>
    <w:p>
      <w:pPr>
        <w:spacing w:after="0" w:before="60"/>
      </w:pPr>
    </w:p>
    <w:tbl>
      <w:tblPr>
        <w:tblW w:type="dxa" w:w="9166"/>
        <w:tblBorders>
          <w:top w:val="single" w:color="auto" w:sz="4"/>
          <w:left w:val="single" w:color="auto" w:sz="4"/>
          <w:bottom w:val="single" w:color="auto" w:sz="4"/>
          <w:right w:val="single" w:color="auto" w:sz="4"/>
          <w:insideH w:val="single" w:color="auto" w:sz="4"/>
          <w:insideV w:val="single" w:color="auto" w:sz="4"/>
        </w:tblBorders>
      </w:tblPr>
      <w:tblGrid>
        <w:gridCol w:w="900"/>
        <w:gridCol w:w="8266"/>
      </w:tblGrid>
      <w:tr>
        <w:tc>
          <w:tcPr>
            <w:tcW w:type="dxa" w:w="900"/>
            <w:tcBorders>
              <w:top w:val="single" w:color="00A86B" w:sz="1"/>
              <w:left w:val="single" w:color="00A86B" w:sz="1"/>
              <w:bottom w:val="single" w:color="00A86B" w:sz="1"/>
              <w:right w:val="single" w:color="00A86B" w:sz="1"/>
            </w:tcBorders>
            <w:shd w:fill="00A86B" w:val="clear"/>
            <w:tcMar>
              <w:top w:type="dxa" w:w="180"/>
              <w:left w:type="dxa" w:w="100"/>
              <w:bottom w:type="dxa" w:w="180"/>
              <w:right w:type="dxa" w:w="100"/>
            </w:tcMar>
            <w:vAlign w:val="center"/>
          </w:tcPr>
          <w:p>
            <w:pPr>
              <w:jc w:val="center"/>
            </w:pPr>
            <w:r>
              <w:rPr>
                <w:rFonts w:ascii="Calibri" w:cs="Calibri" w:eastAsia="Calibri" w:hAnsi="Calibri"/>
                <w:b/>
                <w:bCs/>
                <w:color w:val="FFFFFF"/>
                <w:sz w:val="44"/>
                <w:szCs w:val="44"/>
              </w:rPr>
              <w:t xml:space="preserve">6</w:t>
            </w:r>
          </w:p>
        </w:tc>
        <w:tc>
          <w:tcPr>
            <w:tcW w:type="dxa" w:w="8266"/>
            <w:tcBorders>
              <w:top w:val="single" w:color="BDC3C7" w:sz="1"/>
              <w:left w:val="single" w:color="BDC3C7" w:sz="1"/>
              <w:bottom w:val="single" w:color="BDC3C7" w:sz="1"/>
              <w:right w:val="single" w:color="BDC3C7" w:sz="1"/>
            </w:tcBorders>
            <w:shd w:fill="F4F6F8" w:val="clear"/>
            <w:tcMar>
              <w:top w:type="dxa" w:w="140"/>
              <w:left w:type="dxa" w:w="200"/>
              <w:bottom w:type="dxa" w:w="140"/>
              <w:right w:type="dxa" w:w="200"/>
            </w:tcMar>
            <w:vAlign w:val="center"/>
          </w:tcPr>
          <w:p>
            <w:pPr>
              <w:spacing w:after="40" w:before="0"/>
            </w:pPr>
            <w:r>
              <w:rPr>
                <w:rFonts w:ascii="Calibri" w:cs="Calibri" w:eastAsia="Calibri" w:hAnsi="Calibri"/>
                <w:b/>
                <w:bCs/>
                <w:color w:val="0D2137"/>
                <w:sz w:val="24"/>
                <w:szCs w:val="24"/>
              </w:rPr>
              <w:t xml:space="preserve">Consulta ao benchmark salarial</w:t>
            </w:r>
          </w:p>
          <w:p>
            <w:pPr>
              <w:spacing w:after="0" w:before="0" w:line="280"/>
            </w:pPr>
            <w:r>
              <w:rPr>
                <w:rFonts w:ascii="Calibri" w:cs="Calibri" w:eastAsia="Calibri" w:hAnsi="Calibri"/>
                <w:color w:val="1C1C1C"/>
                <w:sz w:val="20"/>
                <w:szCs w:val="20"/>
              </w:rPr>
              <w:t xml:space="preserve">Tabela pré-calculada da RAIS Vínculos retorna salário médio mensal para CNAE × município. Granularidade limitada a esses dois eixos — Vínculos não tem bairro nem CEP.</w:t>
            </w:r>
          </w:p>
        </w:tc>
      </w:tr>
    </w:tbl>
    <w:p>
      <w:pPr>
        <w:spacing w:after="0" w:before="60"/>
      </w:pPr>
    </w:p>
    <w:tbl>
      <w:tblPr>
        <w:tblW w:type="dxa" w:w="9166"/>
        <w:tblBorders>
          <w:top w:val="single" w:color="auto" w:sz="4"/>
          <w:left w:val="single" w:color="auto" w:sz="4"/>
          <w:bottom w:val="single" w:color="auto" w:sz="4"/>
          <w:right w:val="single" w:color="auto" w:sz="4"/>
          <w:insideH w:val="single" w:color="auto" w:sz="4"/>
          <w:insideV w:val="single" w:color="auto" w:sz="4"/>
        </w:tblBorders>
      </w:tblPr>
      <w:tblGrid>
        <w:gridCol w:w="900"/>
        <w:gridCol w:w="8266"/>
      </w:tblGrid>
      <w:tr>
        <w:tc>
          <w:tcPr>
            <w:tcW w:type="dxa" w:w="900"/>
            <w:tcBorders>
              <w:top w:val="single" w:color="00A86B" w:sz="1"/>
              <w:left w:val="single" w:color="00A86B" w:sz="1"/>
              <w:bottom w:val="single" w:color="00A86B" w:sz="1"/>
              <w:right w:val="single" w:color="00A86B" w:sz="1"/>
            </w:tcBorders>
            <w:shd w:fill="00A86B" w:val="clear"/>
            <w:tcMar>
              <w:top w:type="dxa" w:w="180"/>
              <w:left w:type="dxa" w:w="100"/>
              <w:bottom w:type="dxa" w:w="180"/>
              <w:right w:type="dxa" w:w="100"/>
            </w:tcMar>
            <w:vAlign w:val="center"/>
          </w:tcPr>
          <w:p>
            <w:pPr>
              <w:jc w:val="center"/>
            </w:pPr>
            <w:r>
              <w:rPr>
                <w:rFonts w:ascii="Calibri" w:cs="Calibri" w:eastAsia="Calibri" w:hAnsi="Calibri"/>
                <w:b/>
                <w:bCs/>
                <w:color w:val="FFFFFF"/>
                <w:sz w:val="44"/>
                <w:szCs w:val="44"/>
              </w:rPr>
              <w:t xml:space="preserve">7</w:t>
            </w:r>
          </w:p>
        </w:tc>
        <w:tc>
          <w:tcPr>
            <w:tcW w:type="dxa" w:w="8266"/>
            <w:tcBorders>
              <w:top w:val="single" w:color="BDC3C7" w:sz="1"/>
              <w:left w:val="single" w:color="BDC3C7" w:sz="1"/>
              <w:bottom w:val="single" w:color="BDC3C7" w:sz="1"/>
              <w:right w:val="single" w:color="BDC3C7" w:sz="1"/>
            </w:tcBorders>
            <w:shd w:fill="F4F6F8" w:val="clear"/>
            <w:tcMar>
              <w:top w:type="dxa" w:w="140"/>
              <w:left w:type="dxa" w:w="200"/>
              <w:bottom w:type="dxa" w:w="140"/>
              <w:right w:type="dxa" w:w="200"/>
            </w:tcMar>
            <w:vAlign w:val="center"/>
          </w:tcPr>
          <w:p>
            <w:pPr>
              <w:spacing w:after="40" w:before="0"/>
            </w:pPr>
            <w:r>
              <w:rPr>
                <w:rFonts w:ascii="Calibri" w:cs="Calibri" w:eastAsia="Calibri" w:hAnsi="Calibri"/>
                <w:b/>
                <w:bCs/>
                <w:color w:val="0D2137"/>
                <w:sz w:val="24"/>
                <w:szCs w:val="24"/>
              </w:rPr>
              <w:t xml:space="preserve">Aplicação do multiplicador setorial</w:t>
            </w:r>
          </w:p>
          <w:p>
            <w:pPr>
              <w:spacing w:after="0" w:before="0" w:line="280"/>
            </w:pPr>
            <w:r>
              <w:rPr>
                <w:rFonts w:ascii="Calibri" w:cs="Calibri" w:eastAsia="Calibri" w:hAnsi="Calibri"/>
                <w:color w:val="1C1C1C"/>
                <w:sz w:val="20"/>
                <w:szCs w:val="20"/>
              </w:rPr>
              <w:t xml:space="preserve">Multiplicador de encargos por bloco CNAE (1,4 a 2,1 dependendo do setor). Razão folha/receita por CNAE 4d via PIA/PAC/PAS do IBGE.</w:t>
            </w:r>
          </w:p>
        </w:tc>
      </w:tr>
    </w:tbl>
    <w:p>
      <w:pPr>
        <w:spacing w:after="0" w:before="60"/>
      </w:pPr>
    </w:p>
    <w:tbl>
      <w:tblPr>
        <w:tblW w:type="dxa" w:w="9166"/>
        <w:tblBorders>
          <w:top w:val="single" w:color="auto" w:sz="4"/>
          <w:left w:val="single" w:color="auto" w:sz="4"/>
          <w:bottom w:val="single" w:color="auto" w:sz="4"/>
          <w:right w:val="single" w:color="auto" w:sz="4"/>
          <w:insideH w:val="single" w:color="auto" w:sz="4"/>
          <w:insideV w:val="single" w:color="auto" w:sz="4"/>
        </w:tblBorders>
      </w:tblPr>
      <w:tblGrid>
        <w:gridCol w:w="900"/>
        <w:gridCol w:w="8266"/>
      </w:tblGrid>
      <w:tr>
        <w:tc>
          <w:tcPr>
            <w:tcW w:type="dxa" w:w="900"/>
            <w:tcBorders>
              <w:top w:val="single" w:color="00A86B" w:sz="1"/>
              <w:left w:val="single" w:color="00A86B" w:sz="1"/>
              <w:bottom w:val="single" w:color="00A86B" w:sz="1"/>
              <w:right w:val="single" w:color="00A86B" w:sz="1"/>
            </w:tcBorders>
            <w:shd w:fill="00A86B" w:val="clear"/>
            <w:tcMar>
              <w:top w:type="dxa" w:w="180"/>
              <w:left w:type="dxa" w:w="100"/>
              <w:bottom w:type="dxa" w:w="180"/>
              <w:right w:type="dxa" w:w="100"/>
            </w:tcMar>
            <w:vAlign w:val="center"/>
          </w:tcPr>
          <w:p>
            <w:pPr>
              <w:jc w:val="center"/>
            </w:pPr>
            <w:r>
              <w:rPr>
                <w:rFonts w:ascii="Calibri" w:cs="Calibri" w:eastAsia="Calibri" w:hAnsi="Calibri"/>
                <w:b/>
                <w:bCs/>
                <w:color w:val="FFFFFF"/>
                <w:sz w:val="44"/>
                <w:szCs w:val="44"/>
              </w:rPr>
              <w:t xml:space="preserve">8</w:t>
            </w:r>
          </w:p>
        </w:tc>
        <w:tc>
          <w:tcPr>
            <w:tcW w:type="dxa" w:w="8266"/>
            <w:tcBorders>
              <w:top w:val="single" w:color="BDC3C7" w:sz="1"/>
              <w:left w:val="single" w:color="BDC3C7" w:sz="1"/>
              <w:bottom w:val="single" w:color="BDC3C7" w:sz="1"/>
              <w:right w:val="single" w:color="BDC3C7" w:sz="1"/>
            </w:tcBorders>
            <w:shd w:fill="F4F6F8" w:val="clear"/>
            <w:tcMar>
              <w:top w:type="dxa" w:w="140"/>
              <w:left w:type="dxa" w:w="200"/>
              <w:bottom w:type="dxa" w:w="140"/>
              <w:right w:type="dxa" w:w="200"/>
            </w:tcMar>
            <w:vAlign w:val="center"/>
          </w:tcPr>
          <w:p>
            <w:pPr>
              <w:spacing w:after="40" w:before="0"/>
            </w:pPr>
            <w:r>
              <w:rPr>
                <w:rFonts w:ascii="Calibri" w:cs="Calibri" w:eastAsia="Calibri" w:hAnsi="Calibri"/>
                <w:b/>
                <w:bCs/>
                <w:color w:val="0D2137"/>
                <w:sz w:val="24"/>
                <w:szCs w:val="24"/>
              </w:rPr>
              <w:t xml:space="preserve">Cálculo da estimativa de receita</w:t>
            </w:r>
          </w:p>
          <w:p>
            <w:pPr>
              <w:spacing w:after="0" w:before="0" w:line="280"/>
            </w:pPr>
            <w:r>
              <w:rPr>
                <w:rFonts w:ascii="Calibri" w:cs="Calibri" w:eastAsia="Calibri" w:hAnsi="Calibri"/>
                <w:color w:val="1C1C1C"/>
                <w:sz w:val="20"/>
                <w:szCs w:val="20"/>
              </w:rPr>
              <w:t xml:space="preserve">Folha = headcount × salário_médio × 12 × encargos. Receita = Folha ÷ razão_folha_receita. Output com intervalo de confiança.</w:t>
            </w:r>
          </w:p>
        </w:tc>
      </w:tr>
    </w:tbl>
    <w:p>
      <w:pPr>
        <w:spacing w:after="0" w:before="60"/>
      </w:pPr>
    </w:p>
    <w:tbl>
      <w:tblPr>
        <w:tblW w:type="dxa" w:w="9166"/>
        <w:tblBorders>
          <w:top w:val="single" w:color="auto" w:sz="4"/>
          <w:left w:val="single" w:color="auto" w:sz="4"/>
          <w:bottom w:val="single" w:color="auto" w:sz="4"/>
          <w:right w:val="single" w:color="auto" w:sz="4"/>
          <w:insideH w:val="single" w:color="auto" w:sz="4"/>
          <w:insideV w:val="single" w:color="auto" w:sz="4"/>
        </w:tblBorders>
      </w:tblPr>
      <w:tblGrid>
        <w:gridCol w:w="900"/>
        <w:gridCol w:w="8266"/>
      </w:tblGrid>
      <w:tr>
        <w:tc>
          <w:tcPr>
            <w:tcW w:type="dxa" w:w="900"/>
            <w:tcBorders>
              <w:top w:val="single" w:color="00A86B" w:sz="1"/>
              <w:left w:val="single" w:color="00A86B" w:sz="1"/>
              <w:bottom w:val="single" w:color="00A86B" w:sz="1"/>
              <w:right w:val="single" w:color="00A86B" w:sz="1"/>
            </w:tcBorders>
            <w:shd w:fill="00A86B" w:val="clear"/>
            <w:tcMar>
              <w:top w:type="dxa" w:w="180"/>
              <w:left w:type="dxa" w:w="100"/>
              <w:bottom w:type="dxa" w:w="180"/>
              <w:right w:type="dxa" w:w="100"/>
            </w:tcMar>
            <w:vAlign w:val="center"/>
          </w:tcPr>
          <w:p>
            <w:pPr>
              <w:jc w:val="center"/>
            </w:pPr>
            <w:r>
              <w:rPr>
                <w:rFonts w:ascii="Calibri" w:cs="Calibri" w:eastAsia="Calibri" w:hAnsi="Calibri"/>
                <w:b/>
                <w:bCs/>
                <w:color w:val="FFFFFF"/>
                <w:sz w:val="44"/>
                <w:szCs w:val="44"/>
              </w:rPr>
              <w:t xml:space="preserve">9</w:t>
            </w:r>
          </w:p>
        </w:tc>
        <w:tc>
          <w:tcPr>
            <w:tcW w:type="dxa" w:w="8266"/>
            <w:tcBorders>
              <w:top w:val="single" w:color="BDC3C7" w:sz="1"/>
              <w:left w:val="single" w:color="BDC3C7" w:sz="1"/>
              <w:bottom w:val="single" w:color="BDC3C7" w:sz="1"/>
              <w:right w:val="single" w:color="BDC3C7" w:sz="1"/>
            </w:tcBorders>
            <w:shd w:fill="F4F6F8" w:val="clear"/>
            <w:tcMar>
              <w:top w:type="dxa" w:w="140"/>
              <w:left w:type="dxa" w:w="200"/>
              <w:bottom w:type="dxa" w:w="140"/>
              <w:right w:type="dxa" w:w="200"/>
            </w:tcMar>
            <w:vAlign w:val="center"/>
          </w:tcPr>
          <w:p>
            <w:pPr>
              <w:spacing w:after="40" w:before="0"/>
            </w:pPr>
            <w:r>
              <w:rPr>
                <w:rFonts w:ascii="Calibri" w:cs="Calibri" w:eastAsia="Calibri" w:hAnsi="Calibri"/>
                <w:b/>
                <w:bCs/>
                <w:color w:val="0D2137"/>
                <w:sz w:val="24"/>
                <w:szCs w:val="24"/>
              </w:rPr>
              <w:t xml:space="preserve">Score de confiança e recomendação</w:t>
            </w:r>
          </w:p>
          <w:p>
            <w:pPr>
              <w:spacing w:after="0" w:before="0" w:line="280"/>
            </w:pPr>
            <w:r>
              <w:rPr>
                <w:rFonts w:ascii="Calibri" w:cs="Calibri" w:eastAsia="Calibri" w:hAnsi="Calibri"/>
                <w:color w:val="1C1C1C"/>
                <w:sz w:val="20"/>
                <w:szCs w:val="20"/>
              </w:rPr>
              <w:t xml:space="preserve">Confiança combina qualidade do match, tamanho amostral do benchmark, e aderência setorial. Quando baixa, sinaliza acionar Compartilha RFB.</w:t>
            </w:r>
          </w:p>
        </w:tc>
      </w:tr>
    </w:tbl>
    <w:p>
      <w:pPr>
        <w:spacing w:after="0" w:before="60"/>
      </w:pPr>
    </w:p>
    <w:tbl>
      <w:tblPr>
        <w:tblW w:type="dxa" w:w="9166"/>
        <w:tblBorders>
          <w:top w:val="single" w:color="auto" w:sz="4"/>
          <w:left w:val="single" w:color="auto" w:sz="4"/>
          <w:bottom w:val="single" w:color="auto" w:sz="4"/>
          <w:right w:val="single" w:color="auto" w:sz="4"/>
          <w:insideH w:val="single" w:color="auto" w:sz="4"/>
          <w:insideV w:val="single" w:color="auto" w:sz="4"/>
        </w:tblBorders>
      </w:tblPr>
      <w:tblGrid>
        <w:gridCol w:w="900"/>
        <w:gridCol w:w="8266"/>
      </w:tblGrid>
      <w:tr>
        <w:tc>
          <w:tcPr>
            <w:tcW w:type="dxa" w:w="900"/>
            <w:tcBorders>
              <w:top w:val="single" w:color="00A86B" w:sz="1"/>
              <w:left w:val="single" w:color="00A86B" w:sz="1"/>
              <w:bottom w:val="single" w:color="00A86B" w:sz="1"/>
              <w:right w:val="single" w:color="00A86B" w:sz="1"/>
            </w:tcBorders>
            <w:shd w:fill="00A86B" w:val="clear"/>
            <w:tcMar>
              <w:top w:type="dxa" w:w="180"/>
              <w:left w:type="dxa" w:w="100"/>
              <w:bottom w:type="dxa" w:w="180"/>
              <w:right w:type="dxa" w:w="100"/>
            </w:tcMar>
            <w:vAlign w:val="center"/>
          </w:tcPr>
          <w:p>
            <w:pPr>
              <w:jc w:val="center"/>
            </w:pPr>
            <w:r>
              <w:rPr>
                <w:rFonts w:ascii="Calibri" w:cs="Calibri" w:eastAsia="Calibri" w:hAnsi="Calibri"/>
                <w:b/>
                <w:bCs/>
                <w:color w:val="FFFFFF"/>
                <w:sz w:val="44"/>
                <w:szCs w:val="44"/>
              </w:rPr>
              <w:t xml:space="preserve">10</w:t>
            </w:r>
          </w:p>
        </w:tc>
        <w:tc>
          <w:tcPr>
            <w:tcW w:type="dxa" w:w="8266"/>
            <w:tcBorders>
              <w:top w:val="single" w:color="BDC3C7" w:sz="1"/>
              <w:left w:val="single" w:color="BDC3C7" w:sz="1"/>
              <w:bottom w:val="single" w:color="BDC3C7" w:sz="1"/>
              <w:right w:val="single" w:color="BDC3C7" w:sz="1"/>
            </w:tcBorders>
            <w:shd w:fill="F4F6F8" w:val="clear"/>
            <w:tcMar>
              <w:top w:type="dxa" w:w="140"/>
              <w:left w:type="dxa" w:w="200"/>
              <w:bottom w:type="dxa" w:w="140"/>
              <w:right w:type="dxa" w:w="200"/>
            </w:tcMar>
            <w:vAlign w:val="center"/>
          </w:tcPr>
          <w:p>
            <w:pPr>
              <w:spacing w:after="40" w:before="0"/>
            </w:pPr>
            <w:r>
              <w:rPr>
                <w:rFonts w:ascii="Calibri" w:cs="Calibri" w:eastAsia="Calibri" w:hAnsi="Calibri"/>
                <w:b/>
                <w:bCs/>
                <w:color w:val="0D2137"/>
                <w:sz w:val="24"/>
                <w:szCs w:val="24"/>
              </w:rPr>
              <w:t xml:space="preserve">Verificação ativa (no funil)</w:t>
            </w:r>
          </w:p>
          <w:p>
            <w:pPr>
              <w:spacing w:after="0" w:before="0" w:line="280"/>
            </w:pPr>
            <w:r>
              <w:rPr>
                <w:rFonts w:ascii="Calibri" w:cs="Calibri" w:eastAsia="Calibri" w:hAnsi="Calibri"/>
                <w:color w:val="1C1C1C"/>
                <w:sz w:val="20"/>
                <w:szCs w:val="20"/>
              </w:rPr>
              <w:t xml:space="preserve">Para alvos selecionados pelo comprador, dispara convite Compartilha RFB. Empresário que autoriza vira lead qualificado com faturamento oficial e ponto de calibração para o motor.</w:t>
            </w:r>
          </w:p>
        </w:tc>
      </w:tr>
    </w:tbl>
    <w:p>
      <w:r>
        <w:br w:type="page"/>
      </w:r>
    </w:p>
    <w:p>
      <w:pPr>
        <w:spacing w:after="0" w:before="220"/>
      </w:pPr>
    </w:p>
    <w:p>
      <w:pPr>
        <w:spacing w:after="60" w:before="0"/>
      </w:pPr>
      <w:r>
        <w:rPr>
          <w:rFonts w:ascii="Calibri" w:cs="Calibri" w:eastAsia="Calibri" w:hAnsi="Calibri"/>
          <w:b/>
          <w:bCs/>
          <w:color w:val="00A86B"/>
          <w:spacing w:val="80"/>
          <w:sz w:val="18"/>
          <w:szCs w:val="18"/>
        </w:rPr>
        <w:t xml:space="preserve">9. LIMITES HONESTOS DO MODELO</w:t>
      </w:r>
    </w:p>
    <w:p>
      <w:pPr>
        <w:pBdr>
          <w:bottom w:val="single" w:color="00A86B" w:sz="4" w:space="1"/>
        </w:pBdr>
        <w:spacing w:after="80" w:before="80"/>
      </w:pPr>
    </w:p>
    <w:p>
      <w:pPr>
        <w:spacing w:after="0" w:before="60"/>
      </w:pPr>
    </w:p>
    <w:p>
      <w:pPr>
        <w:pStyle w:val="Heading2"/>
        <w:spacing w:after="80" w:before="200"/>
      </w:pPr>
      <w:r>
        <w:rPr>
          <w:rFonts w:ascii="Calibri" w:cs="Calibri" w:eastAsia="Calibri" w:hAnsi="Calibri"/>
          <w:b/>
          <w:bCs/>
          <w:color w:val="1B4F72"/>
          <w:sz w:val="26"/>
          <w:szCs w:val="26"/>
        </w:rPr>
        <w:t xml:space="preserve">9.1 Defasagem temporal da RAIS</w:t>
      </w:r>
    </w:p>
    <w:p>
      <w:pPr>
        <w:spacing w:after="100" w:before="60" w:line="320"/>
        <w:jc w:val="both"/>
      </w:pPr>
      <w:r>
        <w:rPr>
          <w:rFonts w:ascii="Calibri" w:cs="Calibri" w:eastAsia="Calibri" w:hAnsi="Calibri"/>
          <w:color w:val="1C1C1C"/>
          <w:sz w:val="22"/>
          <w:szCs w:val="22"/>
        </w:rPr>
        <w:t xml:space="preserve">A RAIS é anual e publicada com defasagem de 12 a 18 meses. Em maio de 2026, o ano-base mais recente disponível é 2024. Para empresas com crescimento acelerado nesse intervalo, o headcount estará desatualizado. Para o caso de uso de triagem M&amp;A, essa defasagem é aceitável — o comprador sabe que está olhando um snapshot anual.</w:t>
      </w:r>
    </w:p>
    <w:p>
      <w:pPr>
        <w:pStyle w:val="Heading2"/>
        <w:spacing w:after="80" w:before="200"/>
      </w:pPr>
      <w:r>
        <w:rPr>
          <w:rFonts w:ascii="Calibri" w:cs="Calibri" w:eastAsia="Calibri" w:hAnsi="Calibri"/>
          <w:b/>
          <w:bCs/>
          <w:color w:val="1B4F72"/>
          <w:sz w:val="26"/>
          <w:szCs w:val="26"/>
        </w:rPr>
        <w:t xml:space="preserve">9.2 Setores com baixa intensidade CLT</w:t>
      </w:r>
    </w:p>
    <w:p>
      <w:pPr>
        <w:spacing w:after="100" w:before="60" w:line="320"/>
        <w:jc w:val="both"/>
      </w:pPr>
      <w:r>
        <w:rPr>
          <w:rFonts w:ascii="Calibri" w:cs="Calibri" w:eastAsia="Calibri" w:hAnsi="Calibri"/>
          <w:color w:val="1C1C1C"/>
          <w:sz w:val="22"/>
          <w:szCs w:val="22"/>
        </w:rPr>
        <w:t xml:space="preserve">Empresas de tecnologia, consultoria, escritórios profissionais e fintechs com muitos sócios em pró-labore e poucos CLTs têm headcount subestimado pela RAIS. O Match identifica corretamente o CNPJ, mas o número de vínculos não reflete o tamanho real. Para esses setores, sinalizar confiança baixa e priorizar o convite Compartilha RFB.</w:t>
      </w:r>
    </w:p>
    <w:p>
      <w:pPr>
        <w:pStyle w:val="Heading2"/>
        <w:spacing w:after="80" w:before="200"/>
      </w:pPr>
      <w:r>
        <w:rPr>
          <w:rFonts w:ascii="Calibri" w:cs="Calibri" w:eastAsia="Calibri" w:hAnsi="Calibri"/>
          <w:b/>
          <w:bCs/>
          <w:color w:val="1B4F72"/>
          <w:sz w:val="26"/>
          <w:szCs w:val="26"/>
        </w:rPr>
        <w:t xml:space="preserve">9.3 Ambiguidade do Match em prédios comerciais densos</w:t>
      </w:r>
    </w:p>
    <w:p>
      <w:pPr>
        <w:spacing w:after="100" w:before="60" w:line="320"/>
        <w:jc w:val="both"/>
      </w:pPr>
      <w:r>
        <w:rPr>
          <w:rFonts w:ascii="Calibri" w:cs="Calibri" w:eastAsia="Calibri" w:hAnsi="Calibri"/>
          <w:color w:val="1C1C1C"/>
          <w:sz w:val="22"/>
          <w:szCs w:val="22"/>
        </w:rPr>
        <w:t xml:space="preserve">Limite específico do Match RAIS (não do benchmark salarial). Em CEPs de prédios comerciais grandes em SP capital e RJ capital, a chave inclui bairro como desempate, o que resolve a maioria dos casos. Para outros municípios da região metropolitana (Niterói, Guarulhos, ABC), a chave fica restrita a CEP+CNAE+natureza+tipo, o que pode gerar ambiguidade em prédios densos. Esses casos caem no fallback ou recebem sinal de confiança baixa, com recomendação de Compartilha RFB.</w:t>
      </w:r>
    </w:p>
    <w:p>
      <w:pPr>
        <w:pStyle w:val="Heading2"/>
        <w:spacing w:after="80" w:before="200"/>
      </w:pPr>
      <w:r>
        <w:rPr>
          <w:rFonts w:ascii="Calibri" w:cs="Calibri" w:eastAsia="Calibri" w:hAnsi="Calibri"/>
          <w:b/>
          <w:bCs/>
          <w:color w:val="1B4F72"/>
          <w:sz w:val="26"/>
          <w:szCs w:val="26"/>
        </w:rPr>
        <w:t xml:space="preserve">9.4 Multiplicadores e razões em calibração inicial</w:t>
      </w:r>
    </w:p>
    <w:p>
      <w:pPr>
        <w:spacing w:after="100" w:before="60" w:line="320"/>
        <w:jc w:val="both"/>
      </w:pPr>
      <w:r>
        <w:rPr>
          <w:rFonts w:ascii="Calibri" w:cs="Calibri" w:eastAsia="Calibri" w:hAnsi="Calibri"/>
          <w:color w:val="1C1C1C"/>
          <w:sz w:val="22"/>
          <w:szCs w:val="22"/>
        </w:rPr>
        <w:t xml:space="preserve">Os multiplicadores de encargos por bloco setorial e as razões folha/receita são premissas iniciais derivadas do mercado típico brasileiro. Devem ser calibradas conforme o produto opera, usando o feedback do Compartilha RFB. No primeiro ano, esperar margem de erro maior em CNAEs onde a calibração ainda é teórica.</w:t>
      </w:r>
    </w:p>
    <w:p>
      <w:pPr>
        <w:pStyle w:val="Heading2"/>
        <w:spacing w:after="80" w:before="200"/>
      </w:pPr>
      <w:r>
        <w:rPr>
          <w:rFonts w:ascii="Calibri" w:cs="Calibri" w:eastAsia="Calibri" w:hAnsi="Calibri"/>
          <w:b/>
          <w:bCs/>
          <w:color w:val="1B4F72"/>
          <w:sz w:val="26"/>
          <w:szCs w:val="26"/>
        </w:rPr>
        <w:t xml:space="preserve">9.5 Granularidade do benchmark salarial</w:t>
      </w:r>
    </w:p>
    <w:p>
      <w:pPr>
        <w:spacing w:after="100" w:before="60" w:line="320"/>
        <w:jc w:val="both"/>
      </w:pPr>
      <w:r>
        <w:rPr>
          <w:rFonts w:ascii="Calibri" w:cs="Calibri" w:eastAsia="Calibri" w:hAnsi="Calibri"/>
          <w:color w:val="1C1C1C"/>
          <w:sz w:val="22"/>
          <w:szCs w:val="22"/>
        </w:rPr>
        <w:t xml:space="preserve">A RAIS Vínculos pública não tem CEP nem identificador de estabelecimento, então o benchmark salarial fica em CNAE × município. Em SP e RJ capital, isso é menos preciso do que seria possível com agregação por bairro — uma loja de varejo em Pinheiros paga diferente de uma loja do mesmo CNAE em Cidade Tiradentes. Como as duas caem na mesma célula da tabela de benchmark, há ruído residual.</w:t>
      </w:r>
    </w:p>
    <w:p>
      <w:pPr>
        <w:pStyle w:val="Heading2"/>
        <w:spacing w:after="80" w:before="200"/>
      </w:pPr>
      <w:r>
        <w:rPr>
          <w:rFonts w:ascii="Calibri" w:cs="Calibri" w:eastAsia="Calibri" w:hAnsi="Calibri"/>
          <w:b/>
          <w:bCs/>
          <w:color w:val="1B4F72"/>
          <w:sz w:val="26"/>
          <w:szCs w:val="26"/>
        </w:rPr>
        <w:t xml:space="preserve">9.6 Variação intra-CNAE</w:t>
      </w:r>
    </w:p>
    <w:p>
      <w:pPr>
        <w:spacing w:after="100" w:before="60" w:line="320"/>
        <w:jc w:val="both"/>
      </w:pPr>
      <w:r>
        <w:rPr>
          <w:rFonts w:ascii="Calibri" w:cs="Calibri" w:eastAsia="Calibri" w:hAnsi="Calibri"/>
          <w:color w:val="1C1C1C"/>
          <w:sz w:val="22"/>
          <w:szCs w:val="22"/>
        </w:rPr>
        <w:t xml:space="preserve">Mesmo dentro do mesmo CNAE 7 dígitos, há variação de produtividade entre empresas. Os benchmarks são médias setoriais — capturam o típico, não o extremo. O modelo é desenhado para entregar intervalos, não pontos exatos.</w:t>
      </w:r>
    </w:p>
    <w:p>
      <w:pPr>
        <w:pBdr>
          <w:left w:val="single" w:color="00A86B" w:sz="24" w:space="0"/>
        </w:pBdr>
        <w:shd w:fill="EBF5FB" w:val="clear"/>
        <w:spacing w:after="140" w:before="120"/>
        <w:ind w:left="300" w:right="300"/>
      </w:pPr>
      <w:r>
        <w:rPr>
          <w:rFonts w:ascii="Calibri" w:cs="Calibri" w:eastAsia="Calibri" w:hAnsi="Calibri"/>
          <w:b/>
          <w:bCs/>
          <w:color w:val="00A86B"/>
          <w:spacing w:val="60"/>
          <w:sz w:val="18"/>
          <w:szCs w:val="18"/>
        </w:rPr>
        <w:t xml:space="preserve">PRINCÍPIO METODOLÓGICO  </w:t>
      </w:r>
      <w:r>
        <w:rPr>
          <w:rFonts w:ascii="Calibri" w:cs="Calibri" w:eastAsia="Calibri" w:hAnsi="Calibri"/>
          <w:color w:val="1C1C1C"/>
          <w:sz w:val="21"/>
          <w:szCs w:val="21"/>
        </w:rPr>
        <w:t xml:space="preserve">O motor não pretende substituir due diligence. Ele substitui o palpite por uma triagem fundamentada com metodologia auditável. O comprador sabe exatamente de onde vem cada número, com qual margem de erro, baseado em qual fonte pública. Isso é diferente — e mais valioso para M&amp;A — do que uma faixa opaca de bureau.</w:t>
      </w:r>
    </w:p>
    <w:sectPr>
      <w:headerReference w:type="default" r:id="rId7"/>
      <w:footerReference w:type="default" r:id="rId8"/>
      <w:pgSz w:w="11906" w:h="16838" w:orient="portrait"/>
      <w:pgMar w:top="1300" w:right="130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6B" w:sz="4" w:space="4"/>
      </w:pBdr>
      <w:tabs>
        <w:tab w:val="right" w:pos="9026"/>
      </w:tabs>
      <w:spacing w:before="80"/>
    </w:pPr>
    <w:r>
      <w:rPr>
        <w:rFonts w:ascii="Calibri" w:cs="Calibri" w:eastAsia="Calibri" w:hAnsi="Calibri"/>
        <w:i/>
        <w:iCs/>
        <w:color w:val="5D6D7E"/>
        <w:sz w:val="16"/>
        <w:szCs w:val="16"/>
      </w:rPr>
      <w:t xml:space="preserve">Confidencial — uso interno</w:t>
    </w:r>
    <w:r>
      <w:rPr>
        <w:rFonts w:ascii="Calibri" w:cs="Calibri" w:eastAsia="Calibri" w:hAnsi="Calibri"/>
        <w:b/>
        <w:bCs/>
        <w:color w:val="00A86B"/>
        <w:sz w:val="16"/>
        <w:szCs w:val="16"/>
      </w:rPr>
      <w:t xml:space="preserve">	DealFlow BR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6B" w:sz="4" w:space="4"/>
      </w:pBdr>
      <w:tabs>
        <w:tab w:val="right" w:pos="9026"/>
      </w:tabs>
      <w:spacing w:after="200"/>
    </w:pPr>
    <w:r>
      <w:rPr>
        <w:rFonts w:ascii="Calibri" w:cs="Calibri" w:eastAsia="Calibri" w:hAnsi="Calibri"/>
        <w:color w:val="5D6D7E"/>
        <w:sz w:val="16"/>
        <w:szCs w:val="16"/>
      </w:rPr>
      <w:t xml:space="preserve">DEALFLOW BR — METODOLOGIA CONSOLIDADA</w:t>
    </w:r>
    <w:r>
      <w:t xml:space="preserve">	</w:t>
    </w:r>
    <w:r>
      <w:rPr>
        <w:rFonts w:ascii="Calibri" w:cs="Calibri" w:eastAsia="Calibri" w:hAnsi="Calibri"/>
        <w:b/>
        <w:bCs/>
        <w:color w:val="00A86B"/>
        <w:sz w:val="16"/>
        <w:szCs w:val="16"/>
      </w:rPr>
      <w:t xml:space="preserve">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00"/>
      <w:outlineLvl w:val="1"/>
    </w:pPr>
    <w:rPr>
      <w:rFonts w:ascii="Calibri" w:cs="Calibri" w:eastAsia="Calibri" w:hAnsi="Calibri"/>
      <w:b/>
      <w:bCs/>
      <w:color w:val="1B4F72"/>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0D21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2026-05-10T04:55:28.472Z</dcterms:created>
  <dcterms:modified xsi:type="dcterms:W3CDTF">2026-05-10T04:55:28.473Z</dcterms:modified>
</cp:coreProperties>
</file>

<file path=docProps/custom.xml><?xml version="1.0" encoding="utf-8"?>
<Properties xmlns="http://schemas.openxmlformats.org/officeDocument/2006/custom-properties" xmlns:vt="http://schemas.openxmlformats.org/officeDocument/2006/docPropsVTypes"/>
</file>