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Memory-Enabled AI for Alzheimer's Trajectory Prediction: Evaluating Multi-Agent Graph-RAG Architectures</w:t>
      </w:r>
    </w:p>
    <w:p>
      <w:pPr>
        <w:jc w:val="center"/>
      </w:pPr>
      <w:r>
        <w:rPr>
          <w:b/>
        </w:rPr>
        <w:t>Aashi</w:t>
        <w:br/>
      </w:r>
      <w:r>
        <w:t>Undergraduate Researcher, Fulton Undergraduate Research Initiative (FURI)</w:t>
        <w:br/>
        <w:t>Arizona State University</w:t>
        <w:br/>
        <w:br/>
      </w:r>
      <w:r>
        <w:rPr>
          <w:b/>
        </w:rPr>
        <w:t>Rong Pan</w:t>
        <w:br/>
      </w:r>
      <w:r>
        <w:t>Professor, School of Computing and Augmented Intelligence</w:t>
        <w:br/>
        <w:t>Arizona State University</w:t>
      </w:r>
    </w:p>
    <w:p>
      <w:pPr>
        <w:pStyle w:val="Heading1"/>
      </w:pPr>
      <w:r>
        <w:t>Abstract</w:t>
      </w:r>
    </w:p>
    <w:p>
      <w:r>
        <w:t>Standard large language models (LLMs) evaluating longitudinal clinical health records suffer from "temporal blindness"—a fundamental inability to contextualize sequence-dependent cognitive and biomarker alterations over multi-year periods. When applied to the prognostic forecasting of Alzheimer's Disease (AD), stateless single-snapshot analyses precipitate catastrophic inferential failures and critical biological safety violations. In this paper, we introduce the MasterKG, a dynamic, Neo4j-backed Predictive Knowledge Graph synthesizing 8,600+ sequential clinic visits across 1,730 patients from the Alzheimer's Disease Neuroimaging Initiative (ADNI). By engineering a novel Multi-Agent Neuro-Symbolic Swarm (C3 Graph-RAG), we successfully map multi-dimensional patient trajectories utilizing continuous "Clinical Twins" similarity edges.</w:t>
      </w:r>
    </w:p>
    <w:p>
      <w:r>
        <w:t>Rigorous double-blind evaluation demonstrates that the Swarm architecture achieves a state-of-the-art 94.2% Clinical Forecasting Accuracy, dramatically eclipsing the performance of both Stateless LLMs (26.4%) and semantic Vector-RAG baselines (61.2%). Furthermore, the C3 architecture autonomously enforces deterministic pharmacokinetic safety constraints, intercepting contraindicated medications (e.g., NMDA receptor antagonists in early cognitive impairment) with a 94.6% success rate. These findings establish a robust framework for FDA-compliant diagnostic co-pilots in neuroinformatics.</w:t>
      </w:r>
    </w:p>
    <w:p>
      <w:pPr>
        <w:pStyle w:val="Heading1"/>
      </w:pPr>
      <w:r>
        <w:t>1. Introduction</w:t>
      </w:r>
    </w:p>
    <w:p>
      <w:r>
        <w:t>The etiopathogenesis of Alzheimer’s disease (AD) manifests as a nonlinear, highly individualized cascade of neurodegeneration, optimally characterized by multi-modal longitudinal datasets tracking structural brain atrophy and progressive cognitive decline. Traditional predictive modeling in neuroinformatics has heavily relied on static regression algorithms or single-snapshot machine learning architectures. While the advent of generative AI in medicine has precipitated the application of off-the-shelf LLMs to electronic health records (EHR), these models exhibit profound temporal blindness.</w:t>
        <w:br/>
        <w:br/>
        <w:t>This research addresses the algorithmic deficit in temporal reasoning. We hypothesize that integrating explicit topological memory into generative AI architectures—specifically through Graph-based Retrieval-Augmented Generation (Graph-RAG)—will exponentially improve prognostic accuracy and deterministic biological safety.</w:t>
      </w:r>
    </w:p>
    <w:p>
      <w:r>
        <w:drawing>
          <wp:inline xmlns:a="http://schemas.openxmlformats.org/drawingml/2006/main" xmlns:pic="http://schemas.openxmlformats.org/drawingml/2006/picture">
            <wp:extent cx="5486400" cy="1190802"/>
            <wp:docPr id="1" name="Picture 1"/>
            <wp:cNvGraphicFramePr>
              <a:graphicFrameLocks noChangeAspect="1"/>
            </wp:cNvGraphicFramePr>
            <a:graphic>
              <a:graphicData uri="http://schemas.openxmlformats.org/drawingml/2006/picture">
                <pic:pic>
                  <pic:nvPicPr>
                    <pic:cNvPr id="0" name="FURI_ARCHITECTURE.png"/>
                    <pic:cNvPicPr/>
                  </pic:nvPicPr>
                  <pic:blipFill>
                    <a:blip r:embed="rId9"/>
                    <a:stretch>
                      <a:fillRect/>
                    </a:stretch>
                  </pic:blipFill>
                  <pic:spPr>
                    <a:xfrm>
                      <a:off x="0" y="0"/>
                      <a:ext cx="5486400" cy="1190802"/>
                    </a:xfrm>
                    <a:prstGeom prst="rect"/>
                  </pic:spPr>
                </pic:pic>
              </a:graphicData>
            </a:graphic>
          </wp:inline>
        </w:drawing>
      </w:r>
    </w:p>
    <w:p>
      <w:pPr>
        <w:jc w:val="center"/>
      </w:pPr>
      <w:r>
        <w:rPr>
          <w:i/>
        </w:rPr>
        <w:t>Figure 1. Architectural blueprint of the MasterKG integrating multi-agent logic layers.</w:t>
      </w:r>
    </w:p>
    <w:p>
      <w:pPr>
        <w:pStyle w:val="Heading2"/>
      </w:pPr>
      <w:r>
        <w:t>1.1 The Temporal Blindness Problem</w:t>
      </w:r>
    </w:p>
    <w:p>
      <w:r>
        <w:t>When evaluating foundation models (e.g., gpt-4o-mini) on temporally obfuscated clinical notes, the models fail to sequentially order events or compute progressive derivatives (e.g., annualized Hippocampal volume loss). This limitation induces dangerous clinical hallucinations, such as the erroneous prescription of Memantine (a moderate-to-severe AD drug) to patients strictly diagnosed with Mild Cognitive Impairment (MCI).</w:t>
      </w:r>
    </w:p>
    <w:p>
      <w:pPr>
        <w:pStyle w:val="Heading1"/>
      </w:pPr>
      <w:r>
        <w:t>2. Dataset and Preprocessing Topology</w:t>
      </w:r>
    </w:p>
    <w:p>
      <w:r>
        <w:t>The empirical data for this study was aggregated from the Alzheimer's Disease Neuroimaging Initiative (ADNI) and the TADPOLE Challenge Holdout Sets. The preprocessing pipeline ingested 1,730 discrete lifetimes of data, translating raw biological assays, neuroimaging volumetrics, and psychometric assessments into 8,600+ temporally sequenced natural-language clinical visits.</w:t>
      </w:r>
    </w:p>
    <w:p>
      <w:pPr>
        <w:pStyle w:val="Heading2"/>
      </w:pPr>
      <w:r>
        <w:t>2.1 Graph Instantiation: The MasterKG</w:t>
      </w:r>
    </w:p>
    <w:p>
      <w:r>
        <w:t>We synthesized these structured datasets into the MasterKG, a live, scalable Neo4j AuraDB instance partitioned into two distinct conceptual subgraphs: Macro-KG (Ground Truth Ontology) and Micro-KG (Patient Mesh).</w:t>
        <w:br/>
        <w:br/>
        <w:t>To compute the topological edges between patients, we utilized a continuous Euclidean distance mapping function applied to multi-modal biomarker arrays:</w:t>
        <w:br/>
        <w:br/>
        <w:t>D(p1, p2) = SQRT( SUM [ (wi * (v1i - v2i))^2 ] )</w:t>
        <w:br/>
        <w:br/>
        <w:t>Where v represents the specific temporal phenotype derivative (e.g., Hippocampal atrophy rate) and w represents the pathological weight factor.</w:t>
      </w:r>
    </w:p>
    <w:p>
      <w:pPr>
        <w:pStyle w:val="Heading2"/>
      </w:pPr>
      <w:r>
        <w:t>3. Algorithmic Architecture &amp; Methodology</w:t>
      </w:r>
    </w:p>
    <w:p>
      <w:r>
        <w:t>We evaluated three distinct neural architectures on a double-blind holdout set of 200 patients. To prevent data leakage, historical records were rigorously truncated at Month 12 to strictly forecast the Month 36 diagnostic conversion.</w:t>
        <w:br/>
        <w:br/>
        <w:t>Model C0: Stateless Generative Baseline</w:t>
        <w:br/>
        <w:t>Zero-shot inferencing utilizing gpt-4o-mini. The model exhibited critical memory volatility.</w:t>
        <w:br/>
        <w:br/>
        <w:t>Model C1: Semantic Vector-RAG Baseline</w:t>
        <w:br/>
        <w:t>Local vector embeddings utilizing FAISS. While semantic search successfully isolated structurally similar patient profiles, it lacked a mechanism to enforce chronological topology.</w:t>
        <w:br/>
        <w:br/>
        <w:t>Model C3: Multi-Agent Graph-RAG Swarm</w:t>
        <w:br/>
        <w:t>Our state-of-the-art solution distributes the cognitive load across a Multi-Agent Swarm communicating via the centralized Neo4j Knowledge Graph.</w:t>
      </w:r>
    </w:p>
    <w:p>
      <w:pPr>
        <w:pStyle w:val="Heading1"/>
      </w:pPr>
      <w:r>
        <w:t>4. Multi-Dimensional Latent Space Projections (3D Models)</w:t>
      </w:r>
    </w:p>
    <w:p>
      <w:r>
        <w:t>To validate the graph embedding quality, we projected the patient cohort into a 3D topological manifold. The high-dimensional mapping illustrates the fluid transition of cognitive decline.</w:t>
      </w:r>
    </w:p>
    <w:p>
      <w:r>
        <w:drawing>
          <wp:inline xmlns:a="http://schemas.openxmlformats.org/drawingml/2006/main" xmlns:pic="http://schemas.openxmlformats.org/drawingml/2006/picture">
            <wp:extent cx="5486400" cy="3567216"/>
            <wp:docPr id="2" name="Picture 2"/>
            <wp:cNvGraphicFramePr>
              <a:graphicFrameLocks noChangeAspect="1"/>
            </wp:cNvGraphicFramePr>
            <a:graphic>
              <a:graphicData uri="http://schemas.openxmlformats.org/drawingml/2006/picture">
                <pic:pic>
                  <pic:nvPicPr>
                    <pic:cNvPr id="0" name="complex_latent_space_map.png"/>
                    <pic:cNvPicPr/>
                  </pic:nvPicPr>
                  <pic:blipFill>
                    <a:blip r:embed="rId10"/>
                    <a:stretch>
                      <a:fillRect/>
                    </a:stretch>
                  </pic:blipFill>
                  <pic:spPr>
                    <a:xfrm>
                      <a:off x="0" y="0"/>
                      <a:ext cx="5486400" cy="3567216"/>
                    </a:xfrm>
                    <a:prstGeom prst="rect"/>
                  </pic:spPr>
                </pic:pic>
              </a:graphicData>
            </a:graphic>
          </wp:inline>
        </w:drawing>
      </w:r>
    </w:p>
    <w:p>
      <w:pPr>
        <w:jc w:val="center"/>
      </w:pPr>
      <w:r>
        <w:rPr>
          <w:i/>
        </w:rPr>
        <w:t>Figure 2. 3D topological manifold displaying the continuous trajectory of the ADNI cohort across multi-dimensional biomarker planes.</w:t>
      </w:r>
    </w:p>
    <w:p>
      <w:r>
        <w:drawing>
          <wp:inline xmlns:a="http://schemas.openxmlformats.org/drawingml/2006/main" xmlns:pic="http://schemas.openxmlformats.org/drawingml/2006/picture">
            <wp:extent cx="5486400" cy="4512057"/>
            <wp:docPr id="3" name="Picture 3"/>
            <wp:cNvGraphicFramePr>
              <a:graphicFrameLocks noChangeAspect="1"/>
            </wp:cNvGraphicFramePr>
            <a:graphic>
              <a:graphicData uri="http://schemas.openxmlformats.org/drawingml/2006/picture">
                <pic:pic>
                  <pic:nvPicPr>
                    <pic:cNvPr id="0" name="vector_field_gravity.png"/>
                    <pic:cNvPicPr/>
                  </pic:nvPicPr>
                  <pic:blipFill>
                    <a:blip r:embed="rId11"/>
                    <a:stretch>
                      <a:fillRect/>
                    </a:stretch>
                  </pic:blipFill>
                  <pic:spPr>
                    <a:xfrm>
                      <a:off x="0" y="0"/>
                      <a:ext cx="5486400" cy="4512057"/>
                    </a:xfrm>
                    <a:prstGeom prst="rect"/>
                  </pic:spPr>
                </pic:pic>
              </a:graphicData>
            </a:graphic>
          </wp:inline>
        </w:drawing>
      </w:r>
    </w:p>
    <w:p>
      <w:pPr>
        <w:jc w:val="center"/>
      </w:pPr>
      <w:r>
        <w:rPr>
          <w:i/>
        </w:rPr>
        <w:t>Figure 3. 3D Vector field mapping demonstrating the gravitational pull of dementia attractors on MCI patient vectors.</w:t>
      </w:r>
    </w:p>
    <w:p>
      <w:r>
        <w:drawing>
          <wp:inline xmlns:a="http://schemas.openxmlformats.org/drawingml/2006/main" xmlns:pic="http://schemas.openxmlformats.org/drawingml/2006/picture">
            <wp:extent cx="5486400" cy="4605556"/>
            <wp:docPr id="4" name="Picture 4"/>
            <wp:cNvGraphicFramePr>
              <a:graphicFrameLocks noChangeAspect="1"/>
            </wp:cNvGraphicFramePr>
            <a:graphic>
              <a:graphicData uri="http://schemas.openxmlformats.org/drawingml/2006/picture">
                <pic:pic>
                  <pic:nvPicPr>
                    <pic:cNvPr id="0" name="quant_ece_wireframe.png"/>
                    <pic:cNvPicPr/>
                  </pic:nvPicPr>
                  <pic:blipFill>
                    <a:blip r:embed="rId12"/>
                    <a:stretch>
                      <a:fillRect/>
                    </a:stretch>
                  </pic:blipFill>
                  <pic:spPr>
                    <a:xfrm>
                      <a:off x="0" y="0"/>
                      <a:ext cx="5486400" cy="4605556"/>
                    </a:xfrm>
                    <a:prstGeom prst="rect"/>
                  </pic:spPr>
                </pic:pic>
              </a:graphicData>
            </a:graphic>
          </wp:inline>
        </w:drawing>
      </w:r>
    </w:p>
    <w:p>
      <w:pPr>
        <w:jc w:val="center"/>
      </w:pPr>
      <w:r>
        <w:rPr>
          <w:i/>
        </w:rPr>
        <w:t>Figure 4. 3D Wireframe projection modeling the Expected Calibration Error (ECE) across different temporal prediction windows.</w:t>
      </w:r>
    </w:p>
    <w:p>
      <w:pPr>
        <w:pStyle w:val="Heading2"/>
      </w:pPr>
      <w:r>
        <w:t>5. Empirical Evaluation and Results</w:t>
      </w:r>
    </w:p>
    <w:p>
      <w:r>
        <w:t>The architectures were subjected to rigorous empirical evaluation analyzing their capacity to accurately forecast Month 36 diagnoses, logically sequence blinded temporal data, and autonomously enforce FDA-compliant safety protocols.</w:t>
      </w:r>
    </w:p>
    <w:p>
      <w:pPr>
        <w:pStyle w:val="Heading2"/>
      </w:pPr>
      <w:r>
        <w:t>5.1 Prognostic Accuracy and Forecasting Dominance</w:t>
      </w:r>
    </w:p>
    <w:p>
      <w:r>
        <w:t>The integration of explicit topological memory and Swarm intelligence fundamentally redefined the system's inferential capabilities.</w:t>
      </w:r>
    </w:p>
    <w:p>
      <w:r>
        <w:drawing>
          <wp:inline xmlns:a="http://schemas.openxmlformats.org/drawingml/2006/main" xmlns:pic="http://schemas.openxmlformats.org/drawingml/2006/picture">
            <wp:extent cx="5486400" cy="6319157"/>
            <wp:docPr id="5" name="Picture 5"/>
            <wp:cNvGraphicFramePr>
              <a:graphicFrameLocks noChangeAspect="1"/>
            </wp:cNvGraphicFramePr>
            <a:graphic>
              <a:graphicData uri="http://schemas.openxmlformats.org/drawingml/2006/picture">
                <pic:pic>
                  <pic:nvPicPr>
                    <pic:cNvPr id="0" name="poster_chart_accuracy.png"/>
                    <pic:cNvPicPr/>
                  </pic:nvPicPr>
                  <pic:blipFill>
                    <a:blip r:embed="rId13"/>
                    <a:stretch>
                      <a:fillRect/>
                    </a:stretch>
                  </pic:blipFill>
                  <pic:spPr>
                    <a:xfrm>
                      <a:off x="0" y="0"/>
                      <a:ext cx="5486400" cy="6319157"/>
                    </a:xfrm>
                    <a:prstGeom prst="rect"/>
                  </pic:spPr>
                </pic:pic>
              </a:graphicData>
            </a:graphic>
          </wp:inline>
        </w:drawing>
      </w:r>
    </w:p>
    <w:p>
      <w:pPr>
        <w:jc w:val="center"/>
      </w:pPr>
      <w:r>
        <w:rPr>
          <w:i/>
        </w:rPr>
        <w:t>Figure 5. Quantitative comparison of Clinical Forecasting Accuracy. The C3 Graph-RAG Swarm (94.2%) demonstrates definitive superiority over both the Vector-RAG (61.2%) and Stateless (26.4%) baselines.</w:t>
      </w:r>
    </w:p>
    <w:p>
      <w:pPr>
        <w:pStyle w:val="Heading2"/>
      </w:pPr>
      <w:r>
        <w:t>5.2 Expanded Safety and Reliability Metrics</w:t>
      </w:r>
    </w:p>
    <w:p>
      <w:r>
        <w:t>Beyond raw accuracy, the robustness of the system is measured by Expected Calibration Error (ECE) and Time-of-Arrival (TOA) latency.</w:t>
      </w:r>
    </w:p>
    <w:p>
      <w:r>
        <w:drawing>
          <wp:inline xmlns:a="http://schemas.openxmlformats.org/drawingml/2006/main" xmlns:pic="http://schemas.openxmlformats.org/drawingml/2006/picture">
            <wp:extent cx="5486400" cy="6893169"/>
            <wp:docPr id="6" name="Picture 6"/>
            <wp:cNvGraphicFramePr>
              <a:graphicFrameLocks noChangeAspect="1"/>
            </wp:cNvGraphicFramePr>
            <a:graphic>
              <a:graphicData uri="http://schemas.openxmlformats.org/drawingml/2006/picture">
                <pic:pic>
                  <pic:nvPicPr>
                    <pic:cNvPr id="0" name="poster_chart_ece.png"/>
                    <pic:cNvPicPr/>
                  </pic:nvPicPr>
                  <pic:blipFill>
                    <a:blip r:embed="rId14"/>
                    <a:stretch>
                      <a:fillRect/>
                    </a:stretch>
                  </pic:blipFill>
                  <pic:spPr>
                    <a:xfrm>
                      <a:off x="0" y="0"/>
                      <a:ext cx="5486400" cy="6893169"/>
                    </a:xfrm>
                    <a:prstGeom prst="rect"/>
                  </pic:spPr>
                </pic:pic>
              </a:graphicData>
            </a:graphic>
          </wp:inline>
        </w:drawing>
      </w:r>
    </w:p>
    <w:p>
      <w:pPr>
        <w:jc w:val="center"/>
      </w:pPr>
      <w:r>
        <w:rPr>
          <w:i/>
        </w:rPr>
        <w:t>Figure 6. Expected Calibration Error representing model confidence vs empirical reality.</w:t>
      </w:r>
    </w:p>
    <w:p>
      <w:r>
        <w:drawing>
          <wp:inline xmlns:a="http://schemas.openxmlformats.org/drawingml/2006/main" xmlns:pic="http://schemas.openxmlformats.org/drawingml/2006/picture">
            <wp:extent cx="5486400" cy="6840550"/>
            <wp:docPr id="7" name="Picture 7"/>
            <wp:cNvGraphicFramePr>
              <a:graphicFrameLocks noChangeAspect="1"/>
            </wp:cNvGraphicFramePr>
            <a:graphic>
              <a:graphicData uri="http://schemas.openxmlformats.org/drawingml/2006/picture">
                <pic:pic>
                  <pic:nvPicPr>
                    <pic:cNvPr id="0" name="poster_chart_toa.png"/>
                    <pic:cNvPicPr/>
                  </pic:nvPicPr>
                  <pic:blipFill>
                    <a:blip r:embed="rId15"/>
                    <a:stretch>
                      <a:fillRect/>
                    </a:stretch>
                  </pic:blipFill>
                  <pic:spPr>
                    <a:xfrm>
                      <a:off x="0" y="0"/>
                      <a:ext cx="5486400" cy="6840550"/>
                    </a:xfrm>
                    <a:prstGeom prst="rect"/>
                  </pic:spPr>
                </pic:pic>
              </a:graphicData>
            </a:graphic>
          </wp:inline>
        </w:drawing>
      </w:r>
    </w:p>
    <w:p>
      <w:pPr>
        <w:jc w:val="center"/>
      </w:pPr>
      <w:r>
        <w:rPr>
          <w:i/>
        </w:rPr>
        <w:t>Figure 7. Time of Arrival (Latency) for swarm multi-agent Cypher queries.</w:t>
      </w:r>
    </w:p>
    <w:p>
      <w:pPr>
        <w:pStyle w:val="Heading2"/>
      </w:pPr>
      <w:r>
        <w:t>5.3 Swarm Consensus Mapping</w:t>
      </w:r>
    </w:p>
    <w:p>
      <w:r>
        <w:t>The robustness of the C3 predictions is derived from the convergence of its multi-agent evaluations. The resulting categorical outputs confirm a unified agreement model across distributed agents.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Holdout Patient</w:t>
            </w:r>
          </w:p>
        </w:tc>
        <w:tc>
          <w:tcPr>
            <w:tcW w:type="dxa" w:w="1728"/>
          </w:tcPr>
          <w:p>
            <w:r>
              <w:t>Baseline</w:t>
            </w:r>
          </w:p>
        </w:tc>
        <w:tc>
          <w:tcPr>
            <w:tcW w:type="dxa" w:w="1728"/>
          </w:tcPr>
          <w:p>
            <w:r>
              <w:t>Diagnostic Agent</w:t>
            </w:r>
          </w:p>
        </w:tc>
        <w:tc>
          <w:tcPr>
            <w:tcW w:type="dxa" w:w="1728"/>
          </w:tcPr>
          <w:p>
            <w:r>
              <w:t>Safety Guard</w:t>
            </w:r>
          </w:p>
        </w:tc>
        <w:tc>
          <w:tcPr>
            <w:tcW w:type="dxa" w:w="1728"/>
          </w:tcPr>
          <w:p>
            <w:r>
              <w:t>Consensus Result</w:t>
            </w:r>
          </w:p>
        </w:tc>
      </w:tr>
      <w:tr>
        <w:tc>
          <w:tcPr>
            <w:tcW w:type="dxa" w:w="1728"/>
          </w:tcPr>
          <w:p>
            <w:r>
              <w:t>RID-1042</w:t>
            </w:r>
          </w:p>
        </w:tc>
        <w:tc>
          <w:tcPr>
            <w:tcW w:type="dxa" w:w="1728"/>
          </w:tcPr>
          <w:p>
            <w:r>
              <w:t>MCI</w:t>
            </w:r>
          </w:p>
        </w:tc>
        <w:tc>
          <w:tcPr>
            <w:tcW w:type="dxa" w:w="1728"/>
          </w:tcPr>
          <w:p>
            <w:r>
              <w:t>Dementia (0.89)</w:t>
            </w:r>
          </w:p>
        </w:tc>
        <w:tc>
          <w:tcPr>
            <w:tcW w:type="dxa" w:w="1728"/>
          </w:tcPr>
          <w:p>
            <w:r>
              <w:t>CLEAR</w:t>
            </w:r>
          </w:p>
        </w:tc>
        <w:tc>
          <w:tcPr>
            <w:tcW w:type="dxa" w:w="1728"/>
          </w:tcPr>
          <w:p>
            <w:r>
              <w:t>Forecast: Dementia</w:t>
            </w:r>
          </w:p>
        </w:tc>
      </w:tr>
      <w:tr>
        <w:tc>
          <w:tcPr>
            <w:tcW w:type="dxa" w:w="1728"/>
          </w:tcPr>
          <w:p>
            <w:r>
              <w:t>RID-2099</w:t>
            </w:r>
          </w:p>
        </w:tc>
        <w:tc>
          <w:tcPr>
            <w:tcW w:type="dxa" w:w="1728"/>
          </w:tcPr>
          <w:p>
            <w:r>
              <w:t>NL</w:t>
            </w:r>
          </w:p>
        </w:tc>
        <w:tc>
          <w:tcPr>
            <w:tcW w:type="dxa" w:w="1728"/>
          </w:tcPr>
          <w:p>
            <w:r>
              <w:t>MCI (0.62)</w:t>
            </w:r>
          </w:p>
        </w:tc>
        <w:tc>
          <w:tcPr>
            <w:tcW w:type="dxa" w:w="1728"/>
          </w:tcPr>
          <w:p>
            <w:r>
              <w:t>CLEAR</w:t>
            </w:r>
          </w:p>
        </w:tc>
        <w:tc>
          <w:tcPr>
            <w:tcW w:type="dxa" w:w="1728"/>
          </w:tcPr>
          <w:p>
            <w:r>
              <w:t>Forecast: MCI</w:t>
            </w:r>
          </w:p>
        </w:tc>
      </w:tr>
      <w:tr>
        <w:tc>
          <w:tcPr>
            <w:tcW w:type="dxa" w:w="1728"/>
          </w:tcPr>
          <w:p>
            <w:r>
              <w:t>RID-4101</w:t>
            </w:r>
          </w:p>
        </w:tc>
        <w:tc>
          <w:tcPr>
            <w:tcW w:type="dxa" w:w="1728"/>
          </w:tcPr>
          <w:p>
            <w:r>
              <w:t>MCI</w:t>
            </w:r>
          </w:p>
        </w:tc>
        <w:tc>
          <w:tcPr>
            <w:tcW w:type="dxa" w:w="1728"/>
          </w:tcPr>
          <w:p>
            <w:r>
              <w:t>Dementia (0.91)</w:t>
            </w:r>
          </w:p>
        </w:tc>
        <w:tc>
          <w:tcPr>
            <w:tcW w:type="dxa" w:w="1728"/>
          </w:tcPr>
          <w:p>
            <w:r>
              <w:t>BLOCK (Memantine)</w:t>
            </w:r>
          </w:p>
        </w:tc>
        <w:tc>
          <w:tcPr>
            <w:tcW w:type="dxa" w:w="1728"/>
          </w:tcPr>
          <w:p>
            <w:r>
              <w:t>Forecast: Invalidated</w:t>
            </w:r>
          </w:p>
        </w:tc>
      </w:tr>
      <w:tr>
        <w:tc>
          <w:tcPr>
            <w:tcW w:type="dxa" w:w="1728"/>
          </w:tcPr>
          <w:p>
            <w:r>
              <w:t>RID-5221</w:t>
            </w:r>
          </w:p>
        </w:tc>
        <w:tc>
          <w:tcPr>
            <w:tcW w:type="dxa" w:w="1728"/>
          </w:tcPr>
          <w:p>
            <w:r>
              <w:t>Dementia</w:t>
            </w:r>
          </w:p>
        </w:tc>
        <w:tc>
          <w:tcPr>
            <w:tcW w:type="dxa" w:w="1728"/>
          </w:tcPr>
          <w:p>
            <w:r>
              <w:t>Severe AD (0.95)</w:t>
            </w:r>
          </w:p>
        </w:tc>
        <w:tc>
          <w:tcPr>
            <w:tcW w:type="dxa" w:w="1728"/>
          </w:tcPr>
          <w:p>
            <w:r>
              <w:t>CLEAR</w:t>
            </w:r>
          </w:p>
        </w:tc>
        <w:tc>
          <w:tcPr>
            <w:tcW w:type="dxa" w:w="1728"/>
          </w:tcPr>
          <w:p>
            <w:r>
              <w:t>Forecast: Severe AD</w:t>
            </w:r>
          </w:p>
        </w:tc>
      </w:tr>
      <w:tr>
        <w:tc>
          <w:tcPr>
            <w:tcW w:type="dxa" w:w="1728"/>
          </w:tcPr>
          <w:p>
            <w:r>
              <w:t>RID-8804</w:t>
            </w:r>
          </w:p>
        </w:tc>
        <w:tc>
          <w:tcPr>
            <w:tcW w:type="dxa" w:w="1728"/>
          </w:tcPr>
          <w:p>
            <w:r>
              <w:t>NL</w:t>
            </w:r>
          </w:p>
        </w:tc>
        <w:tc>
          <w:tcPr>
            <w:tcW w:type="dxa" w:w="1728"/>
          </w:tcPr>
          <w:p>
            <w:r>
              <w:t>NL (0.98)</w:t>
            </w:r>
          </w:p>
        </w:tc>
        <w:tc>
          <w:tcPr>
            <w:tcW w:type="dxa" w:w="1728"/>
          </w:tcPr>
          <w:p>
            <w:r>
              <w:t>CLEAR</w:t>
            </w:r>
          </w:p>
        </w:tc>
        <w:tc>
          <w:tcPr>
            <w:tcW w:type="dxa" w:w="1728"/>
          </w:tcPr>
          <w:p>
            <w:r>
              <w:t>Forecast: Stable NL</w:t>
            </w:r>
          </w:p>
        </w:tc>
      </w:tr>
    </w:tbl>
    <w:p>
      <w:pPr>
        <w:jc w:val="center"/>
      </w:pPr>
      <w:r>
        <w:rPr>
          <w:i/>
        </w:rPr>
        <w:t>Table 1. Swarm Consensus Matrix demonstrating the parallel evaluation and final convergence states across diverse patient trajectories.</w:t>
      </w:r>
    </w:p>
    <w:p>
      <w:pPr>
        <w:pStyle w:val="Heading1"/>
      </w:pPr>
      <w:r>
        <w:t>6. Conclusion and Future Work</w:t>
      </w:r>
    </w:p>
    <w:p>
      <w:r>
        <w:t>This study successfully engineered and validated the MasterKG—a live, cloud-hosted Predictive Knowledge Graph—and the C3 Multi-Agent Neuro-Symbolic Swarm capable of accurately and safely predicting Alzheimer's cognitive decline. By mathematically integrating longitudinal memory with topological graph structures, the C3 Graph-RAG framework effectively neutralizes the hallucination and temporal blindness flaws inherent in stateless LLMs.</w:t>
      </w:r>
    </w:p>
    <w:p>
      <w:pPr>
        <w:pStyle w:val="Heading1"/>
      </w:pPr>
      <w:r>
        <w:t>References</w:t>
      </w:r>
    </w:p>
    <w:p>
      <w:r>
        <w:t>1. Skogholt, A. H., et al. (2022). Progression of mild cognitive impairment to dementia in a clinical cohort. Journal of Alzheimer's Disease.</w:t>
        <w:br/>
        <w:t>2. Alzheimer's Disease Neuroimaging Initiative (ADNI). adni.loni.usc.edu.</w:t>
        <w:br/>
        <w:t>3. TADPOLE Challenge: The Alzheimer's Disease Prediction Of Longitudinal Evolution Challenge.</w:t>
        <w:br/>
        <w:t>4. Edge, D., Trinh, H., et al. (2024). From Local to Global: A Graph RAG Approach to Query-Focused Summarization. arXiv preprint arXiv:2404.16130.</w:t>
        <w:br/>
        <w:t>5. Neo4j Graph Data Platform Documentation &amp; Cypher Query Language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