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964"/>
        </w:rPr>
        <w:t>Testing and Evaluation</w:t>
      </w:r>
    </w:p>
    <w:p>
      <w:pPr>
        <w:jc w:val="center"/>
      </w:pPr>
      <w:r>
        <w:rPr>
          <w:i/>
          <w:color w:val="606060"/>
          <w:sz w:val="24"/>
        </w:rPr>
        <w:t>Comparative Evaluation of Vision-Based Finger Tracking for Piano Interaction</w:t>
      </w:r>
    </w:p>
    <w:p/>
    <w:p>
      <w:pPr>
        <w:pStyle w:val="Heading1"/>
      </w:pPr>
      <w:r>
        <w:rPr>
          <w:color w:val="1F3964"/>
        </w:rPr>
        <w:t>1.  Overview</w:t>
      </w:r>
    </w:p>
    <w:p>
      <w:r>
        <w:t>This document covers the testing and validation of the data collection pipeline and the evaluation of research results.  It is organised into three parts:</w:t>
      </w:r>
    </w:p>
    <w:p>
      <w:pPr>
        <w:pStyle w:val="ListBullet"/>
      </w:pPr>
      <w:r>
        <w:t>Part A  (Sections 2–4):  Feature validation — testing each pipeline component before data collection began.</w:t>
      </w:r>
    </w:p>
    <w:p>
      <w:pPr>
        <w:pStyle w:val="ListBullet"/>
      </w:pPr>
      <w:r>
        <w:t>Part B  (Section 5):  Requirements evaluation — formal completion status of all functional and non-functional requirements.</w:t>
      </w:r>
    </w:p>
    <w:p>
      <w:pPr>
        <w:pStyle w:val="ListBullet"/>
      </w:pPr>
      <w:r>
        <w:t>Part C  (Sections 6–10):  Research evaluation — analysis of results across 38 participant sessions.</w:t>
      </w:r>
    </w:p>
    <w:p/>
    <w:p>
      <w:pPr>
        <w:pStyle w:val="Heading1"/>
      </w:pPr>
      <w:r>
        <w:rPr>
          <w:color w:val="1F3964"/>
        </w:rPr>
        <w:t>PART A — Feature Validation</w:t>
      </w:r>
    </w:p>
    <w:p>
      <w:r>
        <w:t>Before data collection began, each pipeline feature was individually tested to verify correct behaviour and eliminate systematic bias in the MPJPE measurements.</w:t>
      </w:r>
    </w:p>
    <w:p/>
    <w:p>
      <w:pPr>
        <w:pStyle w:val="Heading1"/>
      </w:pPr>
      <w:r>
        <w:rPr>
          <w:color w:val="1F3964"/>
        </w:rPr>
        <w:t>2.  Environmental and Participant Characterisation</w:t>
      </w:r>
    </w:p>
    <w:p>
      <w:pPr>
        <w:pStyle w:val="Heading2"/>
      </w:pPr>
      <w:r>
        <w:rPr>
          <w:color w:val="1F3964"/>
        </w:rPr>
        <w:t>2.1  Fitzpatrick Skin Type Auto-Detection</w:t>
      </w:r>
    </w:p>
    <w:p>
      <w:r>
        <w:t>Skin tone classification was implemented using the ITA (Individual Typology Angle) colorimetric method (Chardon et al., 1991).  The system samples CIELab pixel values from the palm convex hull (landmarks 0, 1, 5, 9, 13, 17) across 20 frames to estimate the participant's Fitzpatrick type automatically, removing the need for manual classification and eliminating observer bias.</w:t>
      </w:r>
    </w:p>
    <w:p/>
    <w:p>
      <w:r>
        <w:t>ITA formula:</w:t>
      </w:r>
    </w:p>
    <w:p>
      <w:r>
        <w:t xml:space="preserve">     ITA = arctan( (L* - 50) / b* )  x  (180 / pi)</w:t>
      </w:r>
    </w:p>
    <w:p>
      <w:r>
        <w:t>Where L* is perceptual lightness and b* is the yellow-blue opponent channel.  The resulting angle maps to Fitzpatrick types I-VI using the Chardon (1991) thresholds.</w:t>
      </w:r>
    </w:p>
    <w:p/>
    <w:p>
      <w:pPr>
        <w:jc w:val="center"/>
      </w:pPr>
      <w:r>
        <w:drawing>
          <wp:inline xmlns:a="http://schemas.openxmlformats.org/drawingml/2006/main" xmlns:pic="http://schemas.openxmlformats.org/drawingml/2006/picture">
            <wp:extent cx="4114800" cy="2662056"/>
            <wp:docPr id="1" name="Picture 1"/>
            <wp:cNvGraphicFramePr>
              <a:graphicFrameLocks noChangeAspect="1"/>
            </wp:cNvGraphicFramePr>
            <a:graphic>
              <a:graphicData uri="http://schemas.openxmlformats.org/drawingml/2006/picture">
                <pic:pic>
                  <pic:nvPicPr>
                    <pic:cNvPr id="0" name="p287_rId22.png"/>
                    <pic:cNvPicPr/>
                  </pic:nvPicPr>
                  <pic:blipFill>
                    <a:blip r:embed="rId9"/>
                    <a:stretch>
                      <a:fillRect/>
                    </a:stretch>
                  </pic:blipFill>
                  <pic:spPr>
                    <a:xfrm>
                      <a:off x="0" y="0"/>
                      <a:ext cx="4114800" cy="2662056"/>
                    </a:xfrm>
                    <a:prstGeom prst="rect"/>
                  </pic:spPr>
                </pic:pic>
              </a:graphicData>
            </a:graphic>
          </wp:inline>
        </w:drawing>
      </w:r>
    </w:p>
    <w:p>
      <w:pPr>
        <w:spacing w:after="160"/>
        <w:jc w:val="center"/>
      </w:pPr>
      <w:r>
        <w:rPr>
          <w:i/>
          <w:color w:val="808080"/>
          <w:sz w:val="18"/>
        </w:rPr>
        <w:t>Fig 6.2.1.a: Fitzpatrick Scale reference chart (Fitzpatrick, 1988)</w:t>
      </w:r>
    </w:p>
    <w:p>
      <w:pPr>
        <w:pStyle w:val="Heading2"/>
      </w:pPr>
      <w:r>
        <w:rPr>
          <w:color w:val="1F3964"/>
        </w:rPr>
        <w:t>2.2  Ambient Illuminance Classification</w:t>
      </w:r>
    </w:p>
    <w:p>
      <w:r>
        <w:t>Ambient lux was entered manually by the researcher at the start of each session using a mobile phone lux meter app.  Manual entry was preferred over automatic camera-based measurement to avoid introducing any measurement-induced variation across sessions.</w:t>
      </w:r>
    </w:p>
    <w:p>
      <w:r>
        <w:t>Lux thresholds (defined in config.py):</w:t>
      </w:r>
    </w:p>
    <w:tbl>
      <w:tblPr>
        <w:tblStyle w:val="TableGrid"/>
        <w:tblW w:type="auto" w:w="0"/>
        <w:tblLook w:firstColumn="1" w:firstRow="1" w:lastColumn="0" w:lastRow="0" w:noHBand="0" w:noVBand="1" w:val="04A0"/>
      </w:tblPr>
      <w:tblGrid>
        <w:gridCol w:w="4561"/>
        <w:gridCol w:w="4561"/>
      </w:tblGrid>
      <w:tr>
        <w:tc>
          <w:tcPr>
            <w:tcW w:type="dxa" w:w="2160"/>
            <w:shd w:val="clear" w:color="auto" w:fill="1F3964"/>
            <w:vAlign w:val="center"/>
          </w:tcPr>
          <w:p>
            <w:r/>
            <w:r>
              <w:rPr>
                <w:b/>
                <w:color w:val="FFFFFF"/>
                <w:sz w:val="20"/>
              </w:rPr>
              <w:t>Category</w:t>
            </w:r>
          </w:p>
        </w:tc>
        <w:tc>
          <w:tcPr>
            <w:tcW w:type="dxa" w:w="3600"/>
            <w:shd w:val="clear" w:color="auto" w:fill="1F3964"/>
            <w:vAlign w:val="center"/>
          </w:tcPr>
          <w:p>
            <w:r/>
            <w:r>
              <w:rPr>
                <w:b/>
                <w:color w:val="FFFFFF"/>
                <w:sz w:val="20"/>
              </w:rPr>
              <w:t>Lux range</w:t>
            </w:r>
          </w:p>
        </w:tc>
      </w:tr>
      <w:tr>
        <w:tc>
          <w:tcPr>
            <w:tcW w:type="dxa" w:w="2160"/>
            <w:shd w:val="clear" w:color="auto" w:fill="FFFFFF"/>
          </w:tcPr>
          <w:p>
            <w:r/>
            <w:r>
              <w:rPr>
                <w:sz w:val="19"/>
              </w:rPr>
              <w:t>Dim</w:t>
            </w:r>
          </w:p>
        </w:tc>
        <w:tc>
          <w:tcPr>
            <w:tcW w:type="dxa" w:w="3600"/>
            <w:shd w:val="clear" w:color="auto" w:fill="FFFFFF"/>
          </w:tcPr>
          <w:p>
            <w:r/>
            <w:r>
              <w:rPr>
                <w:sz w:val="19"/>
              </w:rPr>
              <w:t>&lt; 100 lux</w:t>
            </w:r>
          </w:p>
        </w:tc>
      </w:tr>
      <w:tr>
        <w:tc>
          <w:tcPr>
            <w:tcW w:type="dxa" w:w="2160"/>
            <w:shd w:val="clear" w:color="auto" w:fill="F5F7FA"/>
          </w:tcPr>
          <w:p>
            <w:r/>
            <w:r>
              <w:rPr>
                <w:sz w:val="19"/>
              </w:rPr>
              <w:t>Indoor</w:t>
            </w:r>
          </w:p>
        </w:tc>
        <w:tc>
          <w:tcPr>
            <w:tcW w:type="dxa" w:w="3600"/>
            <w:shd w:val="clear" w:color="auto" w:fill="F5F7FA"/>
          </w:tcPr>
          <w:p>
            <w:r/>
            <w:r>
              <w:rPr>
                <w:sz w:val="19"/>
              </w:rPr>
              <w:t>100 – 499 lux</w:t>
            </w:r>
          </w:p>
        </w:tc>
      </w:tr>
      <w:tr>
        <w:tc>
          <w:tcPr>
            <w:tcW w:type="dxa" w:w="2160"/>
            <w:shd w:val="clear" w:color="auto" w:fill="FFFFFF"/>
          </w:tcPr>
          <w:p>
            <w:r/>
            <w:r>
              <w:rPr>
                <w:sz w:val="19"/>
              </w:rPr>
              <w:t>Bright</w:t>
            </w:r>
          </w:p>
        </w:tc>
        <w:tc>
          <w:tcPr>
            <w:tcW w:type="dxa" w:w="3600"/>
            <w:shd w:val="clear" w:color="auto" w:fill="FFFFFF"/>
          </w:tcPr>
          <w:p>
            <w:r/>
            <w:r>
              <w:rPr>
                <w:sz w:val="19"/>
              </w:rPr>
              <w:t>&gt;= 500 lux</w:t>
            </w:r>
          </w:p>
        </w:tc>
      </w:tr>
    </w:tbl>
    <w:p/>
    <w:p>
      <w:pPr>
        <w:jc w:val="center"/>
      </w:pPr>
      <w:r>
        <w:drawing>
          <wp:inline xmlns:a="http://schemas.openxmlformats.org/drawingml/2006/main" xmlns:pic="http://schemas.openxmlformats.org/drawingml/2006/picture">
            <wp:extent cx="3200400" cy="4723386"/>
            <wp:docPr id="2" name="Picture 2"/>
            <wp:cNvGraphicFramePr>
              <a:graphicFrameLocks noChangeAspect="1"/>
            </wp:cNvGraphicFramePr>
            <a:graphic>
              <a:graphicData uri="http://schemas.openxmlformats.org/drawingml/2006/picture">
                <pic:pic>
                  <pic:nvPicPr>
                    <pic:cNvPr id="0" name="p293_rId24.png"/>
                    <pic:cNvPicPr/>
                  </pic:nvPicPr>
                  <pic:blipFill>
                    <a:blip r:embed="rId10"/>
                    <a:stretch>
                      <a:fillRect/>
                    </a:stretch>
                  </pic:blipFill>
                  <pic:spPr>
                    <a:xfrm>
                      <a:off x="0" y="0"/>
                      <a:ext cx="3200400" cy="4723386"/>
                    </a:xfrm>
                    <a:prstGeom prst="rect"/>
                  </pic:spPr>
                </pic:pic>
              </a:graphicData>
            </a:graphic>
          </wp:inline>
        </w:drawing>
      </w:r>
    </w:p>
    <w:p>
      <w:pPr>
        <w:spacing w:after="160"/>
        <w:jc w:val="center"/>
      </w:pPr>
      <w:r>
        <w:rPr>
          <w:i/>
          <w:color w:val="808080"/>
          <w:sz w:val="18"/>
        </w:rPr>
        <w:t>Fig 6.2.2.a: Mobile phone lux meter showing 14.67 lux reading</w:t>
      </w:r>
    </w:p>
    <w:p>
      <w:pPr>
        <w:pStyle w:val="Heading2"/>
      </w:pPr>
      <w:r>
        <w:rPr>
          <w:color w:val="1F3964"/>
        </w:rPr>
        <w:t>2.3  Hand Size Classification</w:t>
      </w:r>
    </w:p>
    <w:p>
      <w:r>
        <w:t>Hand size was measured manually before each session using a tape measure from the base of the palm to the tip of the middle finger with the hand spread flat.  Values ranged from 7.7 cm to 12.2 cm across all participants.  Size was recorded as a continuous variable rather than binned categories to preserve regression analysis precision.</w:t>
      </w:r>
    </w:p>
    <w:p/>
    <w:p>
      <w:pPr>
        <w:pStyle w:val="Heading1"/>
      </w:pPr>
      <w:r>
        <w:rPr>
          <w:color w:val="1F3964"/>
        </w:rPr>
        <w:t>3.  MPJPE Calibration and Bias Reduction</w:t>
      </w:r>
    </w:p>
    <w:p>
      <w:pPr>
        <w:pStyle w:val="Heading2"/>
      </w:pPr>
      <w:r>
        <w:rPr>
          <w:color w:val="1F3964"/>
        </w:rPr>
        <w:t>3.1  Horizontal-Only MPJPE</w:t>
      </w:r>
    </w:p>
    <w:p>
      <w:r>
        <w:t>The initial 2D MPJPE implementation used full Euclidean distance from fingertip to key centre.  This introduced systematic bias because fingers at rest sit higher in the frame than fingers actively pressing keys — a natural anatomical variation that penalised correct detections.</w:t>
      </w:r>
    </w:p>
    <w:p>
      <w:r>
        <w:t>The metric was revised to measure horizontal displacement only:</w:t>
      </w:r>
    </w:p>
    <w:p>
      <w:r>
        <w:t xml:space="preserve">     h_err = | tip_x  -  key_cx |</w:t>
      </w:r>
    </w:p>
    <w:p>
      <w:r>
        <w:t>This removes the vertical (depth/anatomy) component entirely.  Any fingertip Y position within the key height is treated as correct, and only horizontal misalignment contributes to the error score.</w:t>
      </w:r>
    </w:p>
    <w:p/>
    <w:p>
      <w:pPr>
        <w:jc w:val="center"/>
      </w:pPr>
      <w:r>
        <w:drawing>
          <wp:inline xmlns:a="http://schemas.openxmlformats.org/drawingml/2006/main" xmlns:pic="http://schemas.openxmlformats.org/drawingml/2006/picture">
            <wp:extent cx="5029200" cy="2506328"/>
            <wp:docPr id="3" name="Picture 3"/>
            <wp:cNvGraphicFramePr>
              <a:graphicFrameLocks noChangeAspect="1"/>
            </wp:cNvGraphicFramePr>
            <a:graphic>
              <a:graphicData uri="http://schemas.openxmlformats.org/drawingml/2006/picture">
                <pic:pic>
                  <pic:nvPicPr>
                    <pic:cNvPr id="0" name="p309_rId25.png"/>
                    <pic:cNvPicPr/>
                  </pic:nvPicPr>
                  <pic:blipFill>
                    <a:blip r:embed="rId11"/>
                    <a:stretch>
                      <a:fillRect/>
                    </a:stretch>
                  </pic:blipFill>
                  <pic:spPr>
                    <a:xfrm>
                      <a:off x="0" y="0"/>
                      <a:ext cx="5029200" cy="2506328"/>
                    </a:xfrm>
                    <a:prstGeom prst="rect"/>
                  </pic:spPr>
                </pic:pic>
              </a:graphicData>
            </a:graphic>
          </wp:inline>
        </w:drawing>
      </w:r>
    </w:p>
    <w:p>
      <w:pPr>
        <w:spacing w:after="160"/>
        <w:jc w:val="center"/>
      </w:pPr>
      <w:r>
        <w:rPr>
          <w:i/>
          <w:color w:val="808080"/>
          <w:sz w:val="18"/>
        </w:rPr>
        <w:t>Fig 6.3.1.a: MediaPipe hand landmark preview showing fingertip positions over keys</w:t>
      </w:r>
    </w:p>
    <w:p>
      <w:pPr>
        <w:pStyle w:val="Heading2"/>
      </w:pPr>
      <w:r>
        <w:rPr>
          <w:color w:val="1F3964"/>
        </w:rPr>
        <w:t>3.2  Polygon Containment for Finger Detection</w:t>
      </w:r>
    </w:p>
    <w:p>
      <w:r>
        <w:t>A key polygon is a warped quadrilateral matching the physical boundaries of each piano key in the camera view.  For each note_on event, a pointPolygonTest determines whether any detected fingertip falls inside the triggered key's polygon.  This replaced an earlier centroid-proximity approach that misclassified fingers near adjacent keys.</w:t>
      </w:r>
    </w:p>
    <w:p/>
    <w:p>
      <w:pPr>
        <w:jc w:val="center"/>
      </w:pPr>
      <w:r>
        <w:drawing>
          <wp:inline xmlns:a="http://schemas.openxmlformats.org/drawingml/2006/main" xmlns:pic="http://schemas.openxmlformats.org/drawingml/2006/picture">
            <wp:extent cx="5029200" cy="2295793"/>
            <wp:docPr id="4" name="Picture 4"/>
            <wp:cNvGraphicFramePr>
              <a:graphicFrameLocks noChangeAspect="1"/>
            </wp:cNvGraphicFramePr>
            <a:graphic>
              <a:graphicData uri="http://schemas.openxmlformats.org/drawingml/2006/picture">
                <pic:pic>
                  <pic:nvPicPr>
                    <pic:cNvPr id="0" name="p315_rId26.png"/>
                    <pic:cNvPicPr/>
                  </pic:nvPicPr>
                  <pic:blipFill>
                    <a:blip r:embed="rId12"/>
                    <a:stretch>
                      <a:fillRect/>
                    </a:stretch>
                  </pic:blipFill>
                  <pic:spPr>
                    <a:xfrm>
                      <a:off x="0" y="0"/>
                      <a:ext cx="5029200" cy="2295793"/>
                    </a:xfrm>
                    <a:prstGeom prst="rect"/>
                  </pic:spPr>
                </pic:pic>
              </a:graphicData>
            </a:graphic>
          </wp:inline>
        </w:drawing>
      </w:r>
    </w:p>
    <w:p>
      <w:pPr>
        <w:spacing w:after="160"/>
        <w:jc w:val="center"/>
      </w:pPr>
      <w:r>
        <w:rPr>
          <w:i/>
          <w:color w:val="808080"/>
          <w:sz w:val="18"/>
        </w:rPr>
        <w:t>Fig 6.3.2.b: Polygon containment mask — key boundaries drawn on camera frame</w:t>
      </w:r>
    </w:p>
    <w:p>
      <w:pPr>
        <w:jc w:val="center"/>
      </w:pPr>
      <w:r>
        <w:drawing>
          <wp:inline xmlns:a="http://schemas.openxmlformats.org/drawingml/2006/main" xmlns:pic="http://schemas.openxmlformats.org/drawingml/2006/picture">
            <wp:extent cx="5029200" cy="2710409"/>
            <wp:docPr id="5" name="Picture 5"/>
            <wp:cNvGraphicFramePr>
              <a:graphicFrameLocks noChangeAspect="1"/>
            </wp:cNvGraphicFramePr>
            <a:graphic>
              <a:graphicData uri="http://schemas.openxmlformats.org/drawingml/2006/picture">
                <pic:pic>
                  <pic:nvPicPr>
                    <pic:cNvPr id="0" name="p317_rId28.png"/>
                    <pic:cNvPicPr/>
                  </pic:nvPicPr>
                  <pic:blipFill>
                    <a:blip r:embed="rId13"/>
                    <a:stretch>
                      <a:fillRect/>
                    </a:stretch>
                  </pic:blipFill>
                  <pic:spPr>
                    <a:xfrm>
                      <a:off x="0" y="0"/>
                      <a:ext cx="5029200" cy="2710409"/>
                    </a:xfrm>
                    <a:prstGeom prst="rect"/>
                  </pic:spPr>
                </pic:pic>
              </a:graphicData>
            </a:graphic>
          </wp:inline>
        </w:drawing>
      </w:r>
    </w:p>
    <w:p>
      <w:pPr>
        <w:spacing w:after="160"/>
        <w:jc w:val="center"/>
      </w:pPr>
      <w:r>
        <w:rPr>
          <w:i/>
          <w:color w:val="808080"/>
          <w:sz w:val="18"/>
        </w:rPr>
        <w:t>Fig 6.3.2.c: Polygon containment mask preview — fingertips coloured by key match</w:t>
      </w:r>
    </w:p>
    <w:p>
      <w:pPr>
        <w:jc w:val="center"/>
      </w:pPr>
      <w:r>
        <w:drawing>
          <wp:inline xmlns:a="http://schemas.openxmlformats.org/drawingml/2006/main" xmlns:pic="http://schemas.openxmlformats.org/drawingml/2006/picture">
            <wp:extent cx="4572000" cy="3672904"/>
            <wp:docPr id="6" name="Picture 6"/>
            <wp:cNvGraphicFramePr>
              <a:graphicFrameLocks noChangeAspect="1"/>
            </wp:cNvGraphicFramePr>
            <a:graphic>
              <a:graphicData uri="http://schemas.openxmlformats.org/drawingml/2006/picture">
                <pic:pic>
                  <pic:nvPicPr>
                    <pic:cNvPr id="0" name="p319_rId29.png"/>
                    <pic:cNvPicPr/>
                  </pic:nvPicPr>
                  <pic:blipFill>
                    <a:blip r:embed="rId14"/>
                    <a:stretch>
                      <a:fillRect/>
                    </a:stretch>
                  </pic:blipFill>
                  <pic:spPr>
                    <a:xfrm>
                      <a:off x="0" y="0"/>
                      <a:ext cx="4572000" cy="3672904"/>
                    </a:xfrm>
                    <a:prstGeom prst="rect"/>
                  </pic:spPr>
                </pic:pic>
              </a:graphicData>
            </a:graphic>
          </wp:inline>
        </w:drawing>
      </w:r>
    </w:p>
    <w:p>
      <w:pPr>
        <w:spacing w:after="160"/>
        <w:jc w:val="center"/>
      </w:pPr>
      <w:r>
        <w:rPr>
          <w:i/>
          <w:color w:val="808080"/>
          <w:sz w:val="18"/>
        </w:rPr>
        <w:t>Fig 6.3.2.d: Polygon containment mask control panel</w:t>
      </w:r>
    </w:p>
    <w:p>
      <w:pPr>
        <w:pStyle w:val="Heading2"/>
      </w:pPr>
      <w:r>
        <w:rPr>
          <w:color w:val="1F3964"/>
        </w:rPr>
        <w:t>3.3  Perspective Homography Calibration</w:t>
      </w:r>
    </w:p>
    <w:p>
      <w:r>
        <w:t>The overhead tripod position produces an oblique camera angle that distorts the apparent shape of piano keys.  A homography transform was applied to warp the key grid from flat 2D space to the camera's projected perspective, ensuring the mask polygons align with the visible key boundaries even at steep viewing angles.</w:t>
      </w:r>
    </w:p>
    <w:p>
      <w:r>
        <w:t>Homography model:</w:t>
      </w:r>
    </w:p>
    <w:p>
      <w:r>
        <w:t xml:space="preserve">     [x', y', w']^T  =  H  [x, y, 1]^T</w:t>
      </w:r>
    </w:p>
    <w:p>
      <w:r>
        <w:t>where H is a 3x3 perspective transform matrix computed from the four corner drag handles in the calibration UI.  Warped polygon vertices are recovered by dehomogenisation: x_screen = x'/w',  y_screen = y'/w'.</w:t>
      </w:r>
    </w:p>
    <w:p/>
    <w:p>
      <w:pPr>
        <w:jc w:val="center"/>
      </w:pPr>
      <w:r>
        <w:drawing>
          <wp:inline xmlns:a="http://schemas.openxmlformats.org/drawingml/2006/main" xmlns:pic="http://schemas.openxmlformats.org/drawingml/2006/picture">
            <wp:extent cx="5029200" cy="2686564"/>
            <wp:docPr id="7" name="Picture 7"/>
            <wp:cNvGraphicFramePr>
              <a:graphicFrameLocks noChangeAspect="1"/>
            </wp:cNvGraphicFramePr>
            <a:graphic>
              <a:graphicData uri="http://schemas.openxmlformats.org/drawingml/2006/picture">
                <pic:pic>
                  <pic:nvPicPr>
                    <pic:cNvPr id="0" name="p332_rId32.png"/>
                    <pic:cNvPicPr/>
                  </pic:nvPicPr>
                  <pic:blipFill>
                    <a:blip r:embed="rId15"/>
                    <a:stretch>
                      <a:fillRect/>
                    </a:stretch>
                  </pic:blipFill>
                  <pic:spPr>
                    <a:xfrm>
                      <a:off x="0" y="0"/>
                      <a:ext cx="5029200" cy="2686564"/>
                    </a:xfrm>
                    <a:prstGeom prst="rect"/>
                  </pic:spPr>
                </pic:pic>
              </a:graphicData>
            </a:graphic>
          </wp:inline>
        </w:drawing>
      </w:r>
    </w:p>
    <w:p>
      <w:pPr>
        <w:spacing w:after="160"/>
        <w:jc w:val="center"/>
      </w:pPr>
      <w:r>
        <w:rPr>
          <w:i/>
          <w:color w:val="808080"/>
          <w:sz w:val="18"/>
        </w:rPr>
        <w:t>Fig 6.3.3.a: Homography calibration mask — warped overlay aligned to oblique camera view</w:t>
      </w:r>
    </w:p>
    <w:p>
      <w:pPr>
        <w:jc w:val="center"/>
      </w:pPr>
      <w:r>
        <w:drawing>
          <wp:inline xmlns:a="http://schemas.openxmlformats.org/drawingml/2006/main" xmlns:pic="http://schemas.openxmlformats.org/drawingml/2006/picture">
            <wp:extent cx="5029200" cy="2627605"/>
            <wp:docPr id="8" name="Picture 8"/>
            <wp:cNvGraphicFramePr>
              <a:graphicFrameLocks noChangeAspect="1"/>
            </wp:cNvGraphicFramePr>
            <a:graphic>
              <a:graphicData uri="http://schemas.openxmlformats.org/drawingml/2006/picture">
                <pic:pic>
                  <pic:nvPicPr>
                    <pic:cNvPr id="0" name="p335_rId33.png"/>
                    <pic:cNvPicPr/>
                  </pic:nvPicPr>
                  <pic:blipFill>
                    <a:blip r:embed="rId16"/>
                    <a:stretch>
                      <a:fillRect/>
                    </a:stretch>
                  </pic:blipFill>
                  <pic:spPr>
                    <a:xfrm>
                      <a:off x="0" y="0"/>
                      <a:ext cx="5029200" cy="2627605"/>
                    </a:xfrm>
                    <a:prstGeom prst="rect"/>
                  </pic:spPr>
                </pic:pic>
              </a:graphicData>
            </a:graphic>
          </wp:inline>
        </w:drawing>
      </w:r>
    </w:p>
    <w:p>
      <w:pPr>
        <w:spacing w:after="160"/>
        <w:jc w:val="center"/>
      </w:pPr>
      <w:r>
        <w:rPr>
          <w:i/>
          <w:color w:val="808080"/>
          <w:sz w:val="18"/>
        </w:rPr>
        <w:t>Fig 6.3.3.b: Correct fingertip detection — tip inside warped key polygon</w:t>
      </w:r>
    </w:p>
    <w:p>
      <w:pPr>
        <w:jc w:val="center"/>
      </w:pPr>
      <w:r>
        <w:drawing>
          <wp:inline xmlns:a="http://schemas.openxmlformats.org/drawingml/2006/main" xmlns:pic="http://schemas.openxmlformats.org/drawingml/2006/picture">
            <wp:extent cx="5029200" cy="2721123"/>
            <wp:docPr id="9" name="Picture 9"/>
            <wp:cNvGraphicFramePr>
              <a:graphicFrameLocks noChangeAspect="1"/>
            </wp:cNvGraphicFramePr>
            <a:graphic>
              <a:graphicData uri="http://schemas.openxmlformats.org/drawingml/2006/picture">
                <pic:pic>
                  <pic:nvPicPr>
                    <pic:cNvPr id="0" name="p336_rId34.png"/>
                    <pic:cNvPicPr/>
                  </pic:nvPicPr>
                  <pic:blipFill>
                    <a:blip r:embed="rId17"/>
                    <a:stretch>
                      <a:fillRect/>
                    </a:stretch>
                  </pic:blipFill>
                  <pic:spPr>
                    <a:xfrm>
                      <a:off x="0" y="0"/>
                      <a:ext cx="5029200" cy="2721123"/>
                    </a:xfrm>
                    <a:prstGeom prst="rect"/>
                  </pic:spPr>
                </pic:pic>
              </a:graphicData>
            </a:graphic>
          </wp:inline>
        </w:drawing>
      </w:r>
    </w:p>
    <w:p>
      <w:pPr>
        <w:spacing w:after="160"/>
        <w:jc w:val="center"/>
      </w:pPr>
      <w:r>
        <w:rPr>
          <w:i/>
          <w:color w:val="808080"/>
          <w:sz w:val="18"/>
        </w:rPr>
        <w:t>Fig 6.3.3.c: Out-of-polygon false detection — tip outside key boundary</w:t>
      </w:r>
    </w:p>
    <w:p>
      <w:pPr>
        <w:jc w:val="center"/>
      </w:pPr>
      <w:r>
        <w:drawing>
          <wp:inline xmlns:a="http://schemas.openxmlformats.org/drawingml/2006/main" xmlns:pic="http://schemas.openxmlformats.org/drawingml/2006/picture">
            <wp:extent cx="5029200" cy="2184324"/>
            <wp:docPr id="10" name="Picture 10"/>
            <wp:cNvGraphicFramePr>
              <a:graphicFrameLocks noChangeAspect="1"/>
            </wp:cNvGraphicFramePr>
            <a:graphic>
              <a:graphicData uri="http://schemas.openxmlformats.org/drawingml/2006/picture">
                <pic:pic>
                  <pic:nvPicPr>
                    <pic:cNvPr id="0" name="p338_rId35.png"/>
                    <pic:cNvPicPr/>
                  </pic:nvPicPr>
                  <pic:blipFill>
                    <a:blip r:embed="rId18"/>
                    <a:stretch>
                      <a:fillRect/>
                    </a:stretch>
                  </pic:blipFill>
                  <pic:spPr>
                    <a:xfrm>
                      <a:off x="0" y="0"/>
                      <a:ext cx="5029200" cy="2184324"/>
                    </a:xfrm>
                    <a:prstGeom prst="rect"/>
                  </pic:spPr>
                </pic:pic>
              </a:graphicData>
            </a:graphic>
          </wp:inline>
        </w:drawing>
      </w:r>
    </w:p>
    <w:p>
      <w:pPr>
        <w:spacing w:after="160"/>
        <w:jc w:val="center"/>
      </w:pPr>
      <w:r>
        <w:rPr>
          <w:i/>
          <w:color w:val="808080"/>
          <w:sz w:val="18"/>
        </w:rPr>
        <w:t>Fig 6.3.3.d: Full-depth vertical line visualisation — shows that any Y within key height is valid</w:t>
      </w:r>
    </w:p>
    <w:p>
      <w:pPr>
        <w:pStyle w:val="Heading1"/>
      </w:pPr>
      <w:r>
        <w:rPr>
          <w:color w:val="1F3964"/>
        </w:rPr>
        <w:t>4.  Pipeline Feature Tests</w:t>
      </w:r>
    </w:p>
    <w:p>
      <w:pPr>
        <w:pStyle w:val="Heading2"/>
      </w:pPr>
      <w:r>
        <w:rPr>
          <w:color w:val="1F3964"/>
        </w:rPr>
        <w:t>4.1  MIDI–Video Temporal Alignment</w:t>
      </w:r>
    </w:p>
    <w:p>
      <w:r>
        <w:t>MIDI and video timestamps were aligned using a shared time origin (rec_t0) set at the moment the SPACE key is pressed to begin recording.  The MIDI recorder runs as a background daemon thread, polling the MIDI port every 1 ms using mido's iter_pending() interface.  Each MIDI event is timestamped as (time.perf_counter() - rec_t0).  The FrameLogger records (frame_index, time.perf_counter() - rec_t0) once per writer.write(frame) call.  Analyse.py performs a binary-search lookup to find the video frame nearest in time to each MIDI note_on event.</w:t>
      </w:r>
    </w:p>
    <w:p/>
    <w:p>
      <w:pPr>
        <w:shd w:val="clear" w:color="auto" w:fill="D1ECF1"/>
        <w:pBdr>
          <w:left w:val="single" w:sz="24" w:space="6" w:color="0C5460"/>
        </w:pBdr>
        <w:spacing w:before="80" w:after="120"/>
        <w:ind w:left="227" w:right="227"/>
      </w:pPr>
      <w:r>
        <w:rPr>
          <w:b/>
          <w:color w:val="0C5460"/>
        </w:rPr>
        <w:t xml:space="preserve">FINDING  </w:t>
      </w:r>
      <w:r>
        <w:rPr>
          <w:color w:val="0C5460"/>
        </w:rPr>
        <w:t>Sub-frame temporal precision:  at 30 FPS, one frame = 33 ms.  The MIDI poll interval of 1 ms gives &lt; 3% temporal quantisation error relative to the frame window.</w:t>
      </w:r>
    </w:p>
    <w:p>
      <w:pPr>
        <w:pStyle w:val="Heading2"/>
      </w:pPr>
      <w:r>
        <w:rPr>
          <w:color w:val="1F3964"/>
        </w:rPr>
        <w:t>4.2  System Performance Statistics</w:t>
      </w:r>
    </w:p>
    <w:p>
      <w:r>
        <w:t>FPS, MediaPipe inference latency, and total frame latency were monitored in real time during each session using the StatsCollector class.  A warmup period (configurable in config.py) was excluded from rolling averages to allow the camera and model to stabilise.</w:t>
      </w:r>
    </w:p>
    <w:p/>
    <w:p>
      <w:pPr>
        <w:jc w:val="center"/>
      </w:pPr>
      <w:r>
        <w:drawing>
          <wp:inline xmlns:a="http://schemas.openxmlformats.org/drawingml/2006/main" xmlns:pic="http://schemas.openxmlformats.org/drawingml/2006/picture">
            <wp:extent cx="5029200" cy="3254188"/>
            <wp:docPr id="11" name="Picture 11"/>
            <wp:cNvGraphicFramePr>
              <a:graphicFrameLocks noChangeAspect="1"/>
            </wp:cNvGraphicFramePr>
            <a:graphic>
              <a:graphicData uri="http://schemas.openxmlformats.org/drawingml/2006/picture">
                <pic:pic>
                  <pic:nvPicPr>
                    <pic:cNvPr id="0" name="p347_rId36.png"/>
                    <pic:cNvPicPr/>
                  </pic:nvPicPr>
                  <pic:blipFill>
                    <a:blip r:embed="rId19"/>
                    <a:stretch>
                      <a:fillRect/>
                    </a:stretch>
                  </pic:blipFill>
                  <pic:spPr>
                    <a:xfrm>
                      <a:off x="0" y="0"/>
                      <a:ext cx="5029200" cy="3254188"/>
                    </a:xfrm>
                    <a:prstGeom prst="rect"/>
                  </pic:spPr>
                </pic:pic>
              </a:graphicData>
            </a:graphic>
          </wp:inline>
        </w:drawing>
      </w:r>
    </w:p>
    <w:p>
      <w:pPr>
        <w:spacing w:after="160"/>
        <w:jc w:val="center"/>
      </w:pPr>
      <w:r>
        <w:rPr>
          <w:i/>
          <w:color w:val="808080"/>
          <w:sz w:val="18"/>
        </w:rPr>
        <w:t>Fig 6.5.a: live_preview.py performance stats overlay — FPS, inference, and latency</w:t>
      </w:r>
    </w:p>
    <w:p>
      <w:pPr>
        <w:pStyle w:val="Heading2"/>
      </w:pPr>
      <w:r>
        <w:rPr>
          <w:color w:val="1F3964"/>
        </w:rPr>
        <w:t>4.3  Live MPJPE Test Results</w:t>
      </w:r>
    </w:p>
    <w:p>
      <w:r>
        <w:t>live_preview.py displays a real-time results panel after each test session.  The panel shows per-hand and per-finger MPJPE, accuracy percentage, and detection rate.</w:t>
      </w:r>
    </w:p>
    <w:p/>
    <w:p>
      <w:pPr>
        <w:jc w:val="center"/>
      </w:pPr>
      <w:r>
        <w:drawing>
          <wp:inline xmlns:a="http://schemas.openxmlformats.org/drawingml/2006/main" xmlns:pic="http://schemas.openxmlformats.org/drawingml/2006/picture">
            <wp:extent cx="5029200" cy="1528877"/>
            <wp:docPr id="12" name="Picture 12"/>
            <wp:cNvGraphicFramePr>
              <a:graphicFrameLocks noChangeAspect="1"/>
            </wp:cNvGraphicFramePr>
            <a:graphic>
              <a:graphicData uri="http://schemas.openxmlformats.org/drawingml/2006/picture">
                <pic:pic>
                  <pic:nvPicPr>
                    <pic:cNvPr id="0" name="p355_rId41.png"/>
                    <pic:cNvPicPr/>
                  </pic:nvPicPr>
                  <pic:blipFill>
                    <a:blip r:embed="rId20"/>
                    <a:stretch>
                      <a:fillRect/>
                    </a:stretch>
                  </pic:blipFill>
                  <pic:spPr>
                    <a:xfrm>
                      <a:off x="0" y="0"/>
                      <a:ext cx="5029200" cy="1528877"/>
                    </a:xfrm>
                    <a:prstGeom prst="rect"/>
                  </pic:spPr>
                </pic:pic>
              </a:graphicData>
            </a:graphic>
          </wp:inline>
        </w:drawing>
      </w:r>
    </w:p>
    <w:p>
      <w:pPr>
        <w:spacing w:after="160"/>
        <w:jc w:val="center"/>
      </w:pPr>
      <w:r>
        <w:rPr>
          <w:i/>
          <w:color w:val="808080"/>
          <w:sz w:val="18"/>
        </w:rPr>
        <w:t>Fig 6.5.b: live_preview.py end-of-session results panel — left hand breakdown</w:t>
      </w:r>
    </w:p>
    <w:p>
      <w:pPr>
        <w:jc w:val="center"/>
      </w:pPr>
      <w:r>
        <w:drawing>
          <wp:inline xmlns:a="http://schemas.openxmlformats.org/drawingml/2006/main" xmlns:pic="http://schemas.openxmlformats.org/drawingml/2006/picture">
            <wp:extent cx="5029200" cy="4095907"/>
            <wp:docPr id="13" name="Picture 13"/>
            <wp:cNvGraphicFramePr>
              <a:graphicFrameLocks noChangeAspect="1"/>
            </wp:cNvGraphicFramePr>
            <a:graphic>
              <a:graphicData uri="http://schemas.openxmlformats.org/drawingml/2006/picture">
                <pic:pic>
                  <pic:nvPicPr>
                    <pic:cNvPr id="0" name="p355_rId42.png"/>
                    <pic:cNvPicPr/>
                  </pic:nvPicPr>
                  <pic:blipFill>
                    <a:blip r:embed="rId21"/>
                    <a:stretch>
                      <a:fillRect/>
                    </a:stretch>
                  </pic:blipFill>
                  <pic:spPr>
                    <a:xfrm>
                      <a:off x="0" y="0"/>
                      <a:ext cx="5029200" cy="4095907"/>
                    </a:xfrm>
                    <a:prstGeom prst="rect"/>
                  </pic:spPr>
                </pic:pic>
              </a:graphicData>
            </a:graphic>
          </wp:inline>
        </w:drawing>
      </w:r>
    </w:p>
    <w:p>
      <w:pPr>
        <w:spacing w:after="160"/>
        <w:jc w:val="center"/>
      </w:pPr>
      <w:r>
        <w:rPr>
          <w:i/>
          <w:color w:val="808080"/>
          <w:sz w:val="18"/>
        </w:rPr>
        <w:t>Fig 6.5.b: live_preview.py end-of-session results panel — right hand breakdown</w:t>
      </w:r>
    </w:p>
    <w:p>
      <w:pPr>
        <w:pStyle w:val="Heading2"/>
      </w:pPr>
      <w:r>
        <w:rPr>
          <w:color w:val="1F3964"/>
        </w:rPr>
        <w:t>4.4  Raw Data Storage Structure</w:t>
      </w:r>
    </w:p>
    <w:p>
      <w:r>
        <w:t>Each session writes to a dedicated data/raw/p###/ folder containing the raw video, frame timestamp CSV, MIDI JSONL, standard MIDI file, and a session metadata JSON with all demographic and environmental variables.</w:t>
      </w:r>
    </w:p>
    <w:p/>
    <w:p>
      <w:pPr>
        <w:jc w:val="center"/>
      </w:pPr>
      <w:r>
        <w:drawing>
          <wp:inline xmlns:a="http://schemas.openxmlformats.org/drawingml/2006/main" xmlns:pic="http://schemas.openxmlformats.org/drawingml/2006/picture">
            <wp:extent cx="4572000" cy="2295036"/>
            <wp:docPr id="14" name="Picture 14"/>
            <wp:cNvGraphicFramePr>
              <a:graphicFrameLocks noChangeAspect="1"/>
            </wp:cNvGraphicFramePr>
            <a:graphic>
              <a:graphicData uri="http://schemas.openxmlformats.org/drawingml/2006/picture">
                <pic:pic>
                  <pic:nvPicPr>
                    <pic:cNvPr id="0" name="p368_rId43.png"/>
                    <pic:cNvPicPr/>
                  </pic:nvPicPr>
                  <pic:blipFill>
                    <a:blip r:embed="rId22"/>
                    <a:stretch>
                      <a:fillRect/>
                    </a:stretch>
                  </pic:blipFill>
                  <pic:spPr>
                    <a:xfrm>
                      <a:off x="0" y="0"/>
                      <a:ext cx="4572000" cy="2295036"/>
                    </a:xfrm>
                    <a:prstGeom prst="rect"/>
                  </pic:spPr>
                </pic:pic>
              </a:graphicData>
            </a:graphic>
          </wp:inline>
        </w:drawing>
      </w:r>
    </w:p>
    <w:p>
      <w:pPr>
        <w:spacing w:after="160"/>
        <w:jc w:val="center"/>
      </w:pPr>
      <w:r>
        <w:rPr>
          <w:i/>
          <w:color w:val="808080"/>
          <w:sz w:val="18"/>
        </w:rPr>
        <w:t>Fig 6.3.3.a: Raw data folder structure for one participant session</w:t>
      </w:r>
    </w:p>
    <w:p>
      <w:pPr>
        <w:pStyle w:val="Heading1"/>
      </w:pPr>
      <w:r>
        <w:rPr>
          <w:color w:val="1F3964"/>
        </w:rPr>
        <w:t>PART B — Requirements Evaluation</w:t>
      </w:r>
    </w:p>
    <w:p/>
    <w:p>
      <w:pPr>
        <w:pStyle w:val="Heading1"/>
      </w:pPr>
      <w:r>
        <w:rPr>
          <w:color w:val="1F3964"/>
        </w:rPr>
        <w:t>5.  Requirements Completion</w:t>
      </w:r>
    </w:p>
    <w:p>
      <w:pPr>
        <w:pStyle w:val="Heading2"/>
      </w:pPr>
      <w:r>
        <w:rPr>
          <w:color w:val="1F3964"/>
        </w:rPr>
        <w:t>5.1  Functional Requirements</w:t>
      </w:r>
    </w:p>
    <w:tbl>
      <w:tblPr>
        <w:tblStyle w:val="TableGrid"/>
        <w:tblW w:type="auto" w:w="0"/>
        <w:tblLook w:firstColumn="1" w:firstRow="1" w:lastColumn="0" w:lastRow="0" w:noHBand="0" w:noVBand="1" w:val="04A0"/>
      </w:tblPr>
      <w:tblGrid>
        <w:gridCol w:w="2280"/>
        <w:gridCol w:w="2280"/>
        <w:gridCol w:w="2280"/>
        <w:gridCol w:w="2280"/>
      </w:tblGrid>
      <w:tr>
        <w:tc>
          <w:tcPr>
            <w:tcW w:type="dxa" w:w="936"/>
            <w:shd w:val="clear" w:color="auto" w:fill="1F3964"/>
            <w:vAlign w:val="center"/>
          </w:tcPr>
          <w:p>
            <w:r/>
            <w:r>
              <w:rPr>
                <w:b/>
                <w:color w:val="FFFFFF"/>
                <w:sz w:val="20"/>
              </w:rPr>
              <w:t>#</w:t>
            </w:r>
          </w:p>
        </w:tc>
        <w:tc>
          <w:tcPr>
            <w:tcW w:type="dxa" w:w="3456"/>
            <w:shd w:val="clear" w:color="auto" w:fill="1F3964"/>
            <w:vAlign w:val="center"/>
          </w:tcPr>
          <w:p>
            <w:r/>
            <w:r>
              <w:rPr>
                <w:b/>
                <w:color w:val="FFFFFF"/>
                <w:sz w:val="20"/>
              </w:rPr>
              <w:t>Requirement</w:t>
            </w:r>
          </w:p>
        </w:tc>
        <w:tc>
          <w:tcPr>
            <w:tcW w:type="dxa" w:w="1080"/>
            <w:shd w:val="clear" w:color="auto" w:fill="1F3964"/>
            <w:vAlign w:val="center"/>
          </w:tcPr>
          <w:p>
            <w:r/>
            <w:r>
              <w:rPr>
                <w:b/>
                <w:color w:val="FFFFFF"/>
                <w:sz w:val="20"/>
              </w:rPr>
              <w:t>MoSCoW</w:t>
            </w:r>
          </w:p>
        </w:tc>
        <w:tc>
          <w:tcPr>
            <w:tcW w:type="dxa" w:w="5040"/>
            <w:shd w:val="clear" w:color="auto" w:fill="1F3964"/>
            <w:vAlign w:val="center"/>
          </w:tcPr>
          <w:p>
            <w:r/>
            <w:r>
              <w:rPr>
                <w:b/>
                <w:color w:val="FFFFFF"/>
                <w:sz w:val="20"/>
              </w:rPr>
              <w:t>Status</w:t>
            </w:r>
          </w:p>
        </w:tc>
      </w:tr>
      <w:tr>
        <w:tc>
          <w:tcPr>
            <w:tcW w:type="dxa" w:w="936"/>
            <w:shd w:val="clear" w:color="auto" w:fill="FFFFFF"/>
          </w:tcPr>
          <w:p>
            <w:r/>
            <w:r>
              <w:rPr>
                <w:sz w:val="19"/>
              </w:rPr>
              <w:t>FR-01</w:t>
            </w:r>
          </w:p>
        </w:tc>
        <w:tc>
          <w:tcPr>
            <w:tcW w:type="dxa" w:w="3456"/>
            <w:shd w:val="clear" w:color="auto" w:fill="FFFFFF"/>
          </w:tcPr>
          <w:p>
            <w:r/>
            <w:r>
              <w:rPr>
                <w:sz w:val="19"/>
              </w:rPr>
              <w:t>Finger landmark tracking via vision models</w:t>
            </w:r>
          </w:p>
        </w:tc>
        <w:tc>
          <w:tcPr>
            <w:tcW w:type="dxa" w:w="1080"/>
            <w:shd w:val="clear" w:color="auto" w:fill="FFFFFF"/>
          </w:tcPr>
          <w:p>
            <w:r/>
            <w:r>
              <w:rPr>
                <w:sz w:val="19"/>
              </w:rPr>
              <w:t>Must</w:t>
            </w:r>
          </w:p>
        </w:tc>
        <w:tc>
          <w:tcPr>
            <w:tcW w:type="dxa" w:w="5040"/>
            <w:shd w:val="clear" w:color="auto" w:fill="FFFFFF"/>
          </w:tcPr>
          <w:p>
            <w:r/>
            <w:r>
              <w:rPr>
                <w:sz w:val="19"/>
              </w:rPr>
              <w:t>Completed</w:t>
            </w:r>
          </w:p>
        </w:tc>
      </w:tr>
      <w:tr>
        <w:tc>
          <w:tcPr>
            <w:tcW w:type="dxa" w:w="936"/>
            <w:shd w:val="clear" w:color="auto" w:fill="F5F7FA"/>
          </w:tcPr>
          <w:p>
            <w:r/>
            <w:r>
              <w:rPr>
                <w:sz w:val="19"/>
              </w:rPr>
              <w:t>FR-02</w:t>
            </w:r>
          </w:p>
        </w:tc>
        <w:tc>
          <w:tcPr>
            <w:tcW w:type="dxa" w:w="3456"/>
            <w:shd w:val="clear" w:color="auto" w:fill="F5F7FA"/>
          </w:tcPr>
          <w:p>
            <w:r/>
            <w:r>
              <w:rPr>
                <w:sz w:val="19"/>
              </w:rPr>
              <w:t>MIDI ground truth capture</w:t>
            </w:r>
          </w:p>
        </w:tc>
        <w:tc>
          <w:tcPr>
            <w:tcW w:type="dxa" w:w="1080"/>
            <w:shd w:val="clear" w:color="auto" w:fill="F5F7FA"/>
          </w:tcPr>
          <w:p>
            <w:r/>
            <w:r>
              <w:rPr>
                <w:sz w:val="19"/>
              </w:rPr>
              <w:t>Must</w:t>
            </w:r>
          </w:p>
        </w:tc>
        <w:tc>
          <w:tcPr>
            <w:tcW w:type="dxa" w:w="5040"/>
            <w:shd w:val="clear" w:color="auto" w:fill="F5F7FA"/>
          </w:tcPr>
          <w:p>
            <w:r/>
            <w:r>
              <w:rPr>
                <w:sz w:val="19"/>
              </w:rPr>
              <w:t>Completed</w:t>
            </w:r>
          </w:p>
        </w:tc>
      </w:tr>
      <w:tr>
        <w:tc>
          <w:tcPr>
            <w:tcW w:type="dxa" w:w="936"/>
            <w:shd w:val="clear" w:color="auto" w:fill="FFFFFF"/>
          </w:tcPr>
          <w:p>
            <w:r/>
            <w:r>
              <w:rPr>
                <w:sz w:val="19"/>
              </w:rPr>
              <w:t>FR-03</w:t>
            </w:r>
          </w:p>
        </w:tc>
        <w:tc>
          <w:tcPr>
            <w:tcW w:type="dxa" w:w="3456"/>
            <w:shd w:val="clear" w:color="auto" w:fill="FFFFFF"/>
          </w:tcPr>
          <w:p>
            <w:r/>
            <w:r>
              <w:rPr>
                <w:sz w:val="19"/>
              </w:rPr>
              <w:t>MIDI-video temporal synchronisation</w:t>
            </w:r>
          </w:p>
        </w:tc>
        <w:tc>
          <w:tcPr>
            <w:tcW w:type="dxa" w:w="1080"/>
            <w:shd w:val="clear" w:color="auto" w:fill="FFFFFF"/>
          </w:tcPr>
          <w:p>
            <w:r/>
            <w:r>
              <w:rPr>
                <w:sz w:val="19"/>
              </w:rPr>
              <w:t>Must</w:t>
            </w:r>
          </w:p>
        </w:tc>
        <w:tc>
          <w:tcPr>
            <w:tcW w:type="dxa" w:w="5040"/>
            <w:shd w:val="clear" w:color="auto" w:fill="FFFFFF"/>
          </w:tcPr>
          <w:p>
            <w:r/>
            <w:r>
              <w:rPr>
                <w:sz w:val="19"/>
              </w:rPr>
              <w:t>Completed</w:t>
            </w:r>
          </w:p>
        </w:tc>
      </w:tr>
      <w:tr>
        <w:tc>
          <w:tcPr>
            <w:tcW w:type="dxa" w:w="936"/>
            <w:shd w:val="clear" w:color="auto" w:fill="F5F7FA"/>
          </w:tcPr>
          <w:p>
            <w:r/>
            <w:r>
              <w:rPr>
                <w:sz w:val="19"/>
              </w:rPr>
              <w:t>FR-04</w:t>
            </w:r>
          </w:p>
        </w:tc>
        <w:tc>
          <w:tcPr>
            <w:tcW w:type="dxa" w:w="3456"/>
            <w:shd w:val="clear" w:color="auto" w:fill="F5F7FA"/>
          </w:tcPr>
          <w:p>
            <w:r/>
            <w:r>
              <w:rPr>
                <w:sz w:val="19"/>
              </w:rPr>
              <w:t>Multiple open-source model support</w:t>
            </w:r>
          </w:p>
        </w:tc>
        <w:tc>
          <w:tcPr>
            <w:tcW w:type="dxa" w:w="1080"/>
            <w:shd w:val="clear" w:color="auto" w:fill="F5F7FA"/>
          </w:tcPr>
          <w:p>
            <w:r/>
            <w:r>
              <w:rPr>
                <w:sz w:val="19"/>
              </w:rPr>
              <w:t>Must</w:t>
            </w:r>
          </w:p>
        </w:tc>
        <w:tc>
          <w:tcPr>
            <w:tcW w:type="dxa" w:w="5040"/>
            <w:shd w:val="clear" w:color="auto" w:fill="F5F7FA"/>
          </w:tcPr>
          <w:p>
            <w:r/>
            <w:r>
              <w:rPr>
                <w:sz w:val="19"/>
              </w:rPr>
              <w:t>Partially completed  (MoveNet excluded)</w:t>
            </w:r>
          </w:p>
        </w:tc>
      </w:tr>
      <w:tr>
        <w:tc>
          <w:tcPr>
            <w:tcW w:type="dxa" w:w="936"/>
            <w:shd w:val="clear" w:color="auto" w:fill="FFFFFF"/>
          </w:tcPr>
          <w:p>
            <w:r/>
            <w:r>
              <w:rPr>
                <w:sz w:val="19"/>
              </w:rPr>
              <w:t>FR-05</w:t>
            </w:r>
          </w:p>
        </w:tc>
        <w:tc>
          <w:tcPr>
            <w:tcW w:type="dxa" w:w="3456"/>
            <w:shd w:val="clear" w:color="auto" w:fill="FFFFFF"/>
          </w:tcPr>
          <w:p>
            <w:r/>
            <w:r>
              <w:rPr>
                <w:sz w:val="19"/>
              </w:rPr>
              <w:t>Camera-to-keyboard spatial calibration</w:t>
            </w:r>
          </w:p>
        </w:tc>
        <w:tc>
          <w:tcPr>
            <w:tcW w:type="dxa" w:w="1080"/>
            <w:shd w:val="clear" w:color="auto" w:fill="FFFFFF"/>
          </w:tcPr>
          <w:p>
            <w:r/>
            <w:r>
              <w:rPr>
                <w:sz w:val="19"/>
              </w:rPr>
              <w:t>Must</w:t>
            </w:r>
          </w:p>
        </w:tc>
        <w:tc>
          <w:tcPr>
            <w:tcW w:type="dxa" w:w="5040"/>
            <w:shd w:val="clear" w:color="auto" w:fill="FFFFFF"/>
          </w:tcPr>
          <w:p>
            <w:r/>
            <w:r>
              <w:rPr>
                <w:sz w:val="19"/>
              </w:rPr>
              <w:t>Completed  (homography polygon mask)</w:t>
            </w:r>
          </w:p>
        </w:tc>
      </w:tr>
      <w:tr>
        <w:tc>
          <w:tcPr>
            <w:tcW w:type="dxa" w:w="936"/>
            <w:shd w:val="clear" w:color="auto" w:fill="F5F7FA"/>
          </w:tcPr>
          <w:p>
            <w:r/>
            <w:r>
              <w:rPr>
                <w:sz w:val="19"/>
              </w:rPr>
              <w:t>FR-06</w:t>
            </w:r>
          </w:p>
        </w:tc>
        <w:tc>
          <w:tcPr>
            <w:tcW w:type="dxa" w:w="3456"/>
            <w:shd w:val="clear" w:color="auto" w:fill="F5F7FA"/>
          </w:tcPr>
          <w:p>
            <w:r/>
            <w:r>
              <w:rPr>
                <w:sz w:val="19"/>
              </w:rPr>
              <w:t>Data logging system</w:t>
            </w:r>
          </w:p>
        </w:tc>
        <w:tc>
          <w:tcPr>
            <w:tcW w:type="dxa" w:w="1080"/>
            <w:shd w:val="clear" w:color="auto" w:fill="F5F7FA"/>
          </w:tcPr>
          <w:p>
            <w:r/>
            <w:r>
              <w:rPr>
                <w:sz w:val="19"/>
              </w:rPr>
              <w:t>Must</w:t>
            </w:r>
          </w:p>
        </w:tc>
        <w:tc>
          <w:tcPr>
            <w:tcW w:type="dxa" w:w="5040"/>
            <w:shd w:val="clear" w:color="auto" w:fill="F5F7FA"/>
          </w:tcPr>
          <w:p>
            <w:r/>
            <w:r>
              <w:rPr>
                <w:sz w:val="19"/>
              </w:rPr>
              <w:t>Completed  (CSV, JSONL, JSON, MP4)</w:t>
            </w:r>
          </w:p>
        </w:tc>
      </w:tr>
      <w:tr>
        <w:tc>
          <w:tcPr>
            <w:tcW w:type="dxa" w:w="936"/>
            <w:shd w:val="clear" w:color="auto" w:fill="FFFFFF"/>
          </w:tcPr>
          <w:p>
            <w:r/>
            <w:r>
              <w:rPr>
                <w:sz w:val="19"/>
              </w:rPr>
              <w:t>FR-07</w:t>
            </w:r>
          </w:p>
        </w:tc>
        <w:tc>
          <w:tcPr>
            <w:tcW w:type="dxa" w:w="3456"/>
            <w:shd w:val="clear" w:color="auto" w:fill="FFFFFF"/>
          </w:tcPr>
          <w:p>
            <w:r/>
            <w:r>
              <w:rPr>
                <w:sz w:val="19"/>
              </w:rPr>
              <w:t>Keypress event analysis</w:t>
            </w:r>
          </w:p>
        </w:tc>
        <w:tc>
          <w:tcPr>
            <w:tcW w:type="dxa" w:w="1080"/>
            <w:shd w:val="clear" w:color="auto" w:fill="FFFFFF"/>
          </w:tcPr>
          <w:p>
            <w:r/>
            <w:r>
              <w:rPr>
                <w:sz w:val="19"/>
              </w:rPr>
              <w:t>Must</w:t>
            </w:r>
          </w:p>
        </w:tc>
        <w:tc>
          <w:tcPr>
            <w:tcW w:type="dxa" w:w="5040"/>
            <w:shd w:val="clear" w:color="auto" w:fill="FFFFFF"/>
          </w:tcPr>
          <w:p>
            <w:r/>
            <w:r>
              <w:rPr>
                <w:sz w:val="19"/>
              </w:rPr>
              <w:t>Completed  (polygon containment)</w:t>
            </w:r>
          </w:p>
        </w:tc>
      </w:tr>
      <w:tr>
        <w:tc>
          <w:tcPr>
            <w:tcW w:type="dxa" w:w="936"/>
            <w:shd w:val="clear" w:color="auto" w:fill="F5F7FA"/>
          </w:tcPr>
          <w:p>
            <w:r/>
            <w:r>
              <w:rPr>
                <w:sz w:val="19"/>
              </w:rPr>
              <w:t>FR-08</w:t>
            </w:r>
          </w:p>
        </w:tc>
        <w:tc>
          <w:tcPr>
            <w:tcW w:type="dxa" w:w="3456"/>
            <w:shd w:val="clear" w:color="auto" w:fill="F5F7FA"/>
          </w:tcPr>
          <w:p>
            <w:r/>
            <w:r>
              <w:rPr>
                <w:sz w:val="19"/>
              </w:rPr>
              <w:t>Quantitative performance metrics</w:t>
            </w:r>
          </w:p>
        </w:tc>
        <w:tc>
          <w:tcPr>
            <w:tcW w:type="dxa" w:w="1080"/>
            <w:shd w:val="clear" w:color="auto" w:fill="F5F7FA"/>
          </w:tcPr>
          <w:p>
            <w:r/>
            <w:r>
              <w:rPr>
                <w:sz w:val="19"/>
              </w:rPr>
              <w:t>Must</w:t>
            </w:r>
          </w:p>
        </w:tc>
        <w:tc>
          <w:tcPr>
            <w:tcW w:type="dxa" w:w="5040"/>
            <w:shd w:val="clear" w:color="auto" w:fill="F5F7FA"/>
          </w:tcPr>
          <w:p>
            <w:r/>
            <w:r>
              <w:rPr>
                <w:sz w:val="19"/>
              </w:rPr>
              <w:t>Completed  (MPJPE, detection rate, FPS)</w:t>
            </w:r>
          </w:p>
        </w:tc>
      </w:tr>
      <w:tr>
        <w:tc>
          <w:tcPr>
            <w:tcW w:type="dxa" w:w="936"/>
            <w:shd w:val="clear" w:color="auto" w:fill="FFFFFF"/>
          </w:tcPr>
          <w:p>
            <w:r/>
            <w:r>
              <w:rPr>
                <w:sz w:val="19"/>
              </w:rPr>
              <w:t>FR-09</w:t>
            </w:r>
          </w:p>
        </w:tc>
        <w:tc>
          <w:tcPr>
            <w:tcW w:type="dxa" w:w="3456"/>
            <w:shd w:val="clear" w:color="auto" w:fill="FFFFFF"/>
          </w:tcPr>
          <w:p>
            <w:r/>
            <w:r>
              <w:rPr>
                <w:sz w:val="19"/>
              </w:rPr>
              <w:t>Controlled variation of conditions</w:t>
            </w:r>
          </w:p>
        </w:tc>
        <w:tc>
          <w:tcPr>
            <w:tcW w:type="dxa" w:w="1080"/>
            <w:shd w:val="clear" w:color="auto" w:fill="FFFFFF"/>
          </w:tcPr>
          <w:p>
            <w:r/>
            <w:r>
              <w:rPr>
                <w:sz w:val="19"/>
              </w:rPr>
              <w:t>Must</w:t>
            </w:r>
          </w:p>
        </w:tc>
        <w:tc>
          <w:tcPr>
            <w:tcW w:type="dxa" w:w="5040"/>
            <w:shd w:val="clear" w:color="auto" w:fill="FFFFFF"/>
          </w:tcPr>
          <w:p>
            <w:r/>
            <w:r>
              <w:rPr>
                <w:sz w:val="19"/>
              </w:rPr>
              <w:t>Completed  (Fitzpatrick, lux, hand size)</w:t>
            </w:r>
          </w:p>
        </w:tc>
      </w:tr>
      <w:tr>
        <w:tc>
          <w:tcPr>
            <w:tcW w:type="dxa" w:w="936"/>
            <w:shd w:val="clear" w:color="auto" w:fill="F5F7FA"/>
          </w:tcPr>
          <w:p>
            <w:r/>
            <w:r>
              <w:rPr>
                <w:sz w:val="19"/>
              </w:rPr>
              <w:t>FR-10</w:t>
            </w:r>
          </w:p>
        </w:tc>
        <w:tc>
          <w:tcPr>
            <w:tcW w:type="dxa" w:w="3456"/>
            <w:shd w:val="clear" w:color="auto" w:fill="F5F7FA"/>
          </w:tcPr>
          <w:p>
            <w:r/>
            <w:r>
              <w:rPr>
                <w:sz w:val="19"/>
              </w:rPr>
              <w:t>Statistical model comparison</w:t>
            </w:r>
          </w:p>
        </w:tc>
        <w:tc>
          <w:tcPr>
            <w:tcW w:type="dxa" w:w="1080"/>
            <w:shd w:val="clear" w:color="auto" w:fill="F5F7FA"/>
          </w:tcPr>
          <w:p>
            <w:r/>
            <w:r>
              <w:rPr>
                <w:sz w:val="19"/>
              </w:rPr>
              <w:t>Must</w:t>
            </w:r>
          </w:p>
        </w:tc>
        <w:tc>
          <w:tcPr>
            <w:tcW w:type="dxa" w:w="5040"/>
            <w:shd w:val="clear" w:color="auto" w:fill="F5F7FA"/>
          </w:tcPr>
          <w:p>
            <w:r/>
            <w:r>
              <w:rPr>
                <w:sz w:val="19"/>
              </w:rPr>
              <w:t>Completed  (descriptive stats + charts)</w:t>
            </w:r>
          </w:p>
        </w:tc>
      </w:tr>
      <w:tr>
        <w:tc>
          <w:tcPr>
            <w:tcW w:type="dxa" w:w="936"/>
            <w:shd w:val="clear" w:color="auto" w:fill="FFFFFF"/>
          </w:tcPr>
          <w:p>
            <w:r/>
            <w:r>
              <w:rPr>
                <w:sz w:val="19"/>
              </w:rPr>
              <w:t>FR-11</w:t>
            </w:r>
          </w:p>
        </w:tc>
        <w:tc>
          <w:tcPr>
            <w:tcW w:type="dxa" w:w="3456"/>
            <w:shd w:val="clear" w:color="auto" w:fill="FFFFFF"/>
          </w:tcPr>
          <w:p>
            <w:r/>
            <w:r>
              <w:rPr>
                <w:sz w:val="19"/>
              </w:rPr>
              <w:t>Model selection justification</w:t>
            </w:r>
          </w:p>
        </w:tc>
        <w:tc>
          <w:tcPr>
            <w:tcW w:type="dxa" w:w="1080"/>
            <w:shd w:val="clear" w:color="auto" w:fill="FFFFFF"/>
          </w:tcPr>
          <w:p>
            <w:r/>
            <w:r>
              <w:rPr>
                <w:sz w:val="19"/>
              </w:rPr>
              <w:t>Must</w:t>
            </w:r>
          </w:p>
        </w:tc>
        <w:tc>
          <w:tcPr>
            <w:tcW w:type="dxa" w:w="5040"/>
            <w:shd w:val="clear" w:color="auto" w:fill="FFFFFF"/>
          </w:tcPr>
          <w:p>
            <w:r/>
            <w:r>
              <w:rPr>
                <w:sz w:val="19"/>
              </w:rPr>
              <w:t>Completed  (report sections 3 and 8)</w:t>
            </w:r>
          </w:p>
        </w:tc>
      </w:tr>
      <w:tr>
        <w:tc>
          <w:tcPr>
            <w:tcW w:type="dxa" w:w="936"/>
            <w:shd w:val="clear" w:color="auto" w:fill="F5F7FA"/>
          </w:tcPr>
          <w:p>
            <w:r/>
            <w:r>
              <w:rPr>
                <w:sz w:val="19"/>
              </w:rPr>
              <w:t>FR-12</w:t>
            </w:r>
          </w:p>
        </w:tc>
        <w:tc>
          <w:tcPr>
            <w:tcW w:type="dxa" w:w="3456"/>
            <w:shd w:val="clear" w:color="auto" w:fill="F5F7FA"/>
          </w:tcPr>
          <w:p>
            <w:r/>
            <w:r>
              <w:rPr>
                <w:sz w:val="19"/>
              </w:rPr>
              <w:t>Reproducible protocol documentation</w:t>
            </w:r>
          </w:p>
        </w:tc>
        <w:tc>
          <w:tcPr>
            <w:tcW w:type="dxa" w:w="1080"/>
            <w:shd w:val="clear" w:color="auto" w:fill="F5F7FA"/>
          </w:tcPr>
          <w:p>
            <w:r/>
            <w:r>
              <w:rPr>
                <w:sz w:val="19"/>
              </w:rPr>
              <w:t>Should</w:t>
            </w:r>
          </w:p>
        </w:tc>
        <w:tc>
          <w:tcPr>
            <w:tcW w:type="dxa" w:w="5040"/>
            <w:shd w:val="clear" w:color="auto" w:fill="F5F7FA"/>
          </w:tcPr>
          <w:p>
            <w:r/>
            <w:r>
              <w:rPr>
                <w:sz w:val="19"/>
              </w:rPr>
              <w:t>Completed</w:t>
            </w:r>
          </w:p>
        </w:tc>
      </w:tr>
      <w:tr>
        <w:tc>
          <w:tcPr>
            <w:tcW w:type="dxa" w:w="936"/>
            <w:shd w:val="clear" w:color="auto" w:fill="FFFFFF"/>
          </w:tcPr>
          <w:p>
            <w:r/>
            <w:r>
              <w:rPr>
                <w:sz w:val="19"/>
              </w:rPr>
              <w:t>FR-13</w:t>
            </w:r>
          </w:p>
        </w:tc>
        <w:tc>
          <w:tcPr>
            <w:tcW w:type="dxa" w:w="3456"/>
            <w:shd w:val="clear" w:color="auto" w:fill="FFFFFF"/>
          </w:tcPr>
          <w:p>
            <w:r/>
            <w:r>
              <w:rPr>
                <w:sz w:val="19"/>
              </w:rPr>
              <w:t>Additional model evaluation</w:t>
            </w:r>
          </w:p>
        </w:tc>
        <w:tc>
          <w:tcPr>
            <w:tcW w:type="dxa" w:w="1080"/>
            <w:shd w:val="clear" w:color="auto" w:fill="FFFFFF"/>
          </w:tcPr>
          <w:p>
            <w:r/>
            <w:r>
              <w:rPr>
                <w:sz w:val="19"/>
              </w:rPr>
              <w:t>Could</w:t>
            </w:r>
          </w:p>
        </w:tc>
        <w:tc>
          <w:tcPr>
            <w:tcW w:type="dxa" w:w="5040"/>
            <w:shd w:val="clear" w:color="auto" w:fill="FFFFFF"/>
          </w:tcPr>
          <w:p>
            <w:r/>
            <w:r>
              <w:rPr>
                <w:sz w:val="19"/>
              </w:rPr>
              <w:t>Not completed  (MoveNet format mismatch)</w:t>
            </w:r>
          </w:p>
        </w:tc>
      </w:tr>
      <w:tr>
        <w:tc>
          <w:tcPr>
            <w:tcW w:type="dxa" w:w="936"/>
            <w:shd w:val="clear" w:color="auto" w:fill="F5F7FA"/>
          </w:tcPr>
          <w:p>
            <w:r/>
            <w:r>
              <w:rPr>
                <w:sz w:val="19"/>
              </w:rPr>
              <w:t>FR-14</w:t>
            </w:r>
          </w:p>
        </w:tc>
        <w:tc>
          <w:tcPr>
            <w:tcW w:type="dxa" w:w="3456"/>
            <w:shd w:val="clear" w:color="auto" w:fill="F5F7FA"/>
          </w:tcPr>
          <w:p>
            <w:r/>
            <w:r>
              <w:rPr>
                <w:sz w:val="19"/>
              </w:rPr>
              <w:t>Real-time visualisation overlay</w:t>
            </w:r>
          </w:p>
        </w:tc>
        <w:tc>
          <w:tcPr>
            <w:tcW w:type="dxa" w:w="1080"/>
            <w:shd w:val="clear" w:color="auto" w:fill="F5F7FA"/>
          </w:tcPr>
          <w:p>
            <w:r/>
            <w:r>
              <w:rPr>
                <w:sz w:val="19"/>
              </w:rPr>
              <w:t>Should</w:t>
            </w:r>
          </w:p>
        </w:tc>
        <w:tc>
          <w:tcPr>
            <w:tcW w:type="dxa" w:w="5040"/>
            <w:shd w:val="clear" w:color="auto" w:fill="F5F7FA"/>
          </w:tcPr>
          <w:p>
            <w:r/>
            <w:r>
              <w:rPr>
                <w:sz w:val="19"/>
              </w:rPr>
              <w:t>Completed  (live_preview.py)</w:t>
            </w:r>
          </w:p>
        </w:tc>
      </w:tr>
      <w:tr>
        <w:tc>
          <w:tcPr>
            <w:tcW w:type="dxa" w:w="936"/>
            <w:shd w:val="clear" w:color="auto" w:fill="FFFFFF"/>
          </w:tcPr>
          <w:p>
            <w:r/>
            <w:r>
              <w:rPr>
                <w:sz w:val="19"/>
              </w:rPr>
              <w:t>FR-15</w:t>
            </w:r>
          </w:p>
        </w:tc>
        <w:tc>
          <w:tcPr>
            <w:tcW w:type="dxa" w:w="3456"/>
            <w:shd w:val="clear" w:color="auto" w:fill="FFFFFF"/>
          </w:tcPr>
          <w:p>
            <w:r/>
            <w:r>
              <w:rPr>
                <w:sz w:val="19"/>
              </w:rPr>
              <w:t>Automatic occlusion annotation</w:t>
            </w:r>
          </w:p>
        </w:tc>
        <w:tc>
          <w:tcPr>
            <w:tcW w:type="dxa" w:w="1080"/>
            <w:shd w:val="clear" w:color="auto" w:fill="FFFFFF"/>
          </w:tcPr>
          <w:p>
            <w:r/>
            <w:r>
              <w:rPr>
                <w:sz w:val="19"/>
              </w:rPr>
              <w:t>Could</w:t>
            </w:r>
          </w:p>
        </w:tc>
        <w:tc>
          <w:tcPr>
            <w:tcW w:type="dxa" w:w="5040"/>
            <w:shd w:val="clear" w:color="auto" w:fill="FFFFFF"/>
          </w:tcPr>
          <w:p>
            <w:r/>
            <w:r>
              <w:rPr>
                <w:sz w:val="19"/>
              </w:rPr>
              <w:t>Not completed  (descoped)</w:t>
            </w:r>
          </w:p>
        </w:tc>
      </w:tr>
      <w:tr>
        <w:tc>
          <w:tcPr>
            <w:tcW w:type="dxa" w:w="936"/>
            <w:shd w:val="clear" w:color="auto" w:fill="F5F7FA"/>
          </w:tcPr>
          <w:p>
            <w:r/>
            <w:r>
              <w:rPr>
                <w:sz w:val="19"/>
              </w:rPr>
              <w:t>FR-16</w:t>
            </w:r>
          </w:p>
        </w:tc>
        <w:tc>
          <w:tcPr>
            <w:tcW w:type="dxa" w:w="3456"/>
            <w:shd w:val="clear" w:color="auto" w:fill="F5F7FA"/>
          </w:tcPr>
          <w:p>
            <w:r/>
            <w:r>
              <w:rPr>
                <w:sz w:val="19"/>
              </w:rPr>
              <w:t>3D hand pose estimation</w:t>
            </w:r>
          </w:p>
        </w:tc>
        <w:tc>
          <w:tcPr>
            <w:tcW w:type="dxa" w:w="1080"/>
            <w:shd w:val="clear" w:color="auto" w:fill="F5F7FA"/>
          </w:tcPr>
          <w:p>
            <w:r/>
            <w:r>
              <w:rPr>
                <w:sz w:val="19"/>
              </w:rPr>
              <w:t>Won't</w:t>
            </w:r>
          </w:p>
        </w:tc>
        <w:tc>
          <w:tcPr>
            <w:tcW w:type="dxa" w:w="5040"/>
            <w:shd w:val="clear" w:color="auto" w:fill="F5F7FA"/>
          </w:tcPr>
          <w:p>
            <w:r/>
            <w:r>
              <w:rPr>
                <w:sz w:val="19"/>
              </w:rPr>
              <w:t>Correctly excluded</w:t>
            </w:r>
          </w:p>
        </w:tc>
      </w:tr>
      <w:tr>
        <w:tc>
          <w:tcPr>
            <w:tcW w:type="dxa" w:w="936"/>
            <w:shd w:val="clear" w:color="auto" w:fill="FFFFFF"/>
          </w:tcPr>
          <w:p>
            <w:r/>
            <w:r>
              <w:rPr>
                <w:sz w:val="19"/>
              </w:rPr>
              <w:t>FR-17</w:t>
            </w:r>
          </w:p>
        </w:tc>
        <w:tc>
          <w:tcPr>
            <w:tcW w:type="dxa" w:w="3456"/>
            <w:shd w:val="clear" w:color="auto" w:fill="FFFFFF"/>
          </w:tcPr>
          <w:p>
            <w:r/>
            <w:r>
              <w:rPr>
                <w:sz w:val="19"/>
              </w:rPr>
              <w:t>Mobile / embedded deployment</w:t>
            </w:r>
          </w:p>
        </w:tc>
        <w:tc>
          <w:tcPr>
            <w:tcW w:type="dxa" w:w="1080"/>
            <w:shd w:val="clear" w:color="auto" w:fill="FFFFFF"/>
          </w:tcPr>
          <w:p>
            <w:r/>
            <w:r>
              <w:rPr>
                <w:sz w:val="19"/>
              </w:rPr>
              <w:t>Won't</w:t>
            </w:r>
          </w:p>
        </w:tc>
        <w:tc>
          <w:tcPr>
            <w:tcW w:type="dxa" w:w="5040"/>
            <w:shd w:val="clear" w:color="auto" w:fill="FFFFFF"/>
          </w:tcPr>
          <w:p>
            <w:r/>
            <w:r>
              <w:rPr>
                <w:sz w:val="19"/>
              </w:rPr>
              <w:t>Correctly excluded</w:t>
            </w:r>
          </w:p>
        </w:tc>
      </w:tr>
      <w:tr>
        <w:tc>
          <w:tcPr>
            <w:tcW w:type="dxa" w:w="936"/>
            <w:shd w:val="clear" w:color="auto" w:fill="F5F7FA"/>
          </w:tcPr>
          <w:p>
            <w:r/>
            <w:r>
              <w:rPr>
                <w:sz w:val="19"/>
              </w:rPr>
              <w:t>FR-18</w:t>
            </w:r>
          </w:p>
        </w:tc>
        <w:tc>
          <w:tcPr>
            <w:tcW w:type="dxa" w:w="3456"/>
            <w:shd w:val="clear" w:color="auto" w:fill="F5F7FA"/>
          </w:tcPr>
          <w:p>
            <w:r/>
            <w:r>
              <w:rPr>
                <w:sz w:val="19"/>
              </w:rPr>
              <w:t>Multi-camera tracking</w:t>
            </w:r>
          </w:p>
        </w:tc>
        <w:tc>
          <w:tcPr>
            <w:tcW w:type="dxa" w:w="1080"/>
            <w:shd w:val="clear" w:color="auto" w:fill="F5F7FA"/>
          </w:tcPr>
          <w:p>
            <w:r/>
            <w:r>
              <w:rPr>
                <w:sz w:val="19"/>
              </w:rPr>
              <w:t>Won't</w:t>
            </w:r>
          </w:p>
        </w:tc>
        <w:tc>
          <w:tcPr>
            <w:tcW w:type="dxa" w:w="5040"/>
            <w:shd w:val="clear" w:color="auto" w:fill="F5F7FA"/>
          </w:tcPr>
          <w:p>
            <w:r/>
            <w:r>
              <w:rPr>
                <w:sz w:val="19"/>
              </w:rPr>
              <w:t>Correctly excluded</w:t>
            </w:r>
          </w:p>
        </w:tc>
      </w:tr>
      <w:tr>
        <w:tc>
          <w:tcPr>
            <w:tcW w:type="dxa" w:w="936"/>
            <w:shd w:val="clear" w:color="auto" w:fill="FFFFFF"/>
          </w:tcPr>
          <w:p>
            <w:r/>
            <w:r>
              <w:rPr>
                <w:sz w:val="19"/>
              </w:rPr>
              <w:t>FR-19</w:t>
            </w:r>
          </w:p>
        </w:tc>
        <w:tc>
          <w:tcPr>
            <w:tcW w:type="dxa" w:w="3456"/>
            <w:shd w:val="clear" w:color="auto" w:fill="FFFFFF"/>
          </w:tcPr>
          <w:p>
            <w:r/>
            <w:r>
              <w:rPr>
                <w:sz w:val="19"/>
              </w:rPr>
              <w:t>Real-time audio feedback</w:t>
            </w:r>
          </w:p>
        </w:tc>
        <w:tc>
          <w:tcPr>
            <w:tcW w:type="dxa" w:w="1080"/>
            <w:shd w:val="clear" w:color="auto" w:fill="FFFFFF"/>
          </w:tcPr>
          <w:p>
            <w:r/>
            <w:r>
              <w:rPr>
                <w:sz w:val="19"/>
              </w:rPr>
              <w:t>Won't</w:t>
            </w:r>
          </w:p>
        </w:tc>
        <w:tc>
          <w:tcPr>
            <w:tcW w:type="dxa" w:w="5040"/>
            <w:shd w:val="clear" w:color="auto" w:fill="FFFFFF"/>
          </w:tcPr>
          <w:p>
            <w:r/>
            <w:r>
              <w:rPr>
                <w:sz w:val="19"/>
              </w:rPr>
              <w:t>Correctly excluded</w:t>
            </w:r>
          </w:p>
        </w:tc>
      </w:tr>
    </w:tbl>
    <w:p/>
    <w:p>
      <w:pPr>
        <w:pStyle w:val="Heading2"/>
      </w:pPr>
      <w:r>
        <w:rPr>
          <w:color w:val="1F3964"/>
        </w:rPr>
        <w:t>5.2  Non-Functional Requirements</w:t>
      </w:r>
    </w:p>
    <w:tbl>
      <w:tblPr>
        <w:tblStyle w:val="TableGrid"/>
        <w:tblW w:type="auto" w:w="0"/>
        <w:tblLook w:firstColumn="1" w:firstRow="1" w:lastColumn="0" w:lastRow="0" w:noHBand="0" w:noVBand="1" w:val="04A0"/>
      </w:tblPr>
      <w:tblGrid>
        <w:gridCol w:w="2280"/>
        <w:gridCol w:w="2280"/>
        <w:gridCol w:w="2280"/>
        <w:gridCol w:w="2280"/>
      </w:tblGrid>
      <w:tr>
        <w:tc>
          <w:tcPr>
            <w:tcW w:type="dxa" w:w="936"/>
            <w:shd w:val="clear" w:color="auto" w:fill="1F3964"/>
            <w:vAlign w:val="center"/>
          </w:tcPr>
          <w:p>
            <w:r/>
            <w:r>
              <w:rPr>
                <w:b/>
                <w:color w:val="FFFFFF"/>
                <w:sz w:val="20"/>
              </w:rPr>
              <w:t>#</w:t>
            </w:r>
          </w:p>
        </w:tc>
        <w:tc>
          <w:tcPr>
            <w:tcW w:type="dxa" w:w="4032"/>
            <w:shd w:val="clear" w:color="auto" w:fill="1F3964"/>
            <w:vAlign w:val="center"/>
          </w:tcPr>
          <w:p>
            <w:r/>
            <w:r>
              <w:rPr>
                <w:b/>
                <w:color w:val="FFFFFF"/>
                <w:sz w:val="20"/>
              </w:rPr>
              <w:t>Requirement</w:t>
            </w:r>
          </w:p>
        </w:tc>
        <w:tc>
          <w:tcPr>
            <w:tcW w:type="dxa" w:w="1080"/>
            <w:shd w:val="clear" w:color="auto" w:fill="1F3964"/>
            <w:vAlign w:val="center"/>
          </w:tcPr>
          <w:p>
            <w:r/>
            <w:r>
              <w:rPr>
                <w:b/>
                <w:color w:val="FFFFFF"/>
                <w:sz w:val="20"/>
              </w:rPr>
              <w:t>MoSCoW</w:t>
            </w:r>
          </w:p>
        </w:tc>
        <w:tc>
          <w:tcPr>
            <w:tcW w:type="dxa" w:w="4464"/>
            <w:shd w:val="clear" w:color="auto" w:fill="1F3964"/>
            <w:vAlign w:val="center"/>
          </w:tcPr>
          <w:p>
            <w:r/>
            <w:r>
              <w:rPr>
                <w:b/>
                <w:color w:val="FFFFFF"/>
                <w:sz w:val="20"/>
              </w:rPr>
              <w:t>Status</w:t>
            </w:r>
          </w:p>
        </w:tc>
      </w:tr>
      <w:tr>
        <w:tc>
          <w:tcPr>
            <w:tcW w:type="dxa" w:w="936"/>
            <w:shd w:val="clear" w:color="auto" w:fill="FFFFFF"/>
          </w:tcPr>
          <w:p>
            <w:r/>
            <w:r>
              <w:rPr>
                <w:sz w:val="19"/>
              </w:rPr>
              <w:t>NFR-01</w:t>
            </w:r>
          </w:p>
        </w:tc>
        <w:tc>
          <w:tcPr>
            <w:tcW w:type="dxa" w:w="4032"/>
            <w:shd w:val="clear" w:color="auto" w:fill="FFFFFF"/>
          </w:tcPr>
          <w:p>
            <w:r/>
            <w:r>
              <w:rPr>
                <w:sz w:val="19"/>
              </w:rPr>
              <w:t>Research-focused prototype</w:t>
            </w:r>
          </w:p>
        </w:tc>
        <w:tc>
          <w:tcPr>
            <w:tcW w:type="dxa" w:w="1080"/>
            <w:shd w:val="clear" w:color="auto" w:fill="FFFFFF"/>
          </w:tcPr>
          <w:p>
            <w:r/>
            <w:r>
              <w:rPr>
                <w:sz w:val="19"/>
              </w:rPr>
              <w:t>Must</w:t>
            </w:r>
          </w:p>
        </w:tc>
        <w:tc>
          <w:tcPr>
            <w:tcW w:type="dxa" w:w="4464"/>
            <w:shd w:val="clear" w:color="auto" w:fill="FFFFFF"/>
          </w:tcPr>
          <w:p>
            <w:r/>
            <w:r>
              <w:rPr>
                <w:sz w:val="19"/>
              </w:rPr>
              <w:t>Completed</w:t>
            </w:r>
          </w:p>
        </w:tc>
      </w:tr>
      <w:tr>
        <w:tc>
          <w:tcPr>
            <w:tcW w:type="dxa" w:w="936"/>
            <w:shd w:val="clear" w:color="auto" w:fill="F5F7FA"/>
          </w:tcPr>
          <w:p>
            <w:r/>
            <w:r>
              <w:rPr>
                <w:sz w:val="19"/>
              </w:rPr>
              <w:t>NFR-02</w:t>
            </w:r>
          </w:p>
        </w:tc>
        <w:tc>
          <w:tcPr>
            <w:tcW w:type="dxa" w:w="4032"/>
            <w:shd w:val="clear" w:color="auto" w:fill="F5F7FA"/>
          </w:tcPr>
          <w:p>
            <w:r/>
            <w:r>
              <w:rPr>
                <w:sz w:val="19"/>
              </w:rPr>
              <w:t>Fair and controlled comparison conditions</w:t>
            </w:r>
          </w:p>
        </w:tc>
        <w:tc>
          <w:tcPr>
            <w:tcW w:type="dxa" w:w="1080"/>
            <w:shd w:val="clear" w:color="auto" w:fill="F5F7FA"/>
          </w:tcPr>
          <w:p>
            <w:r/>
            <w:r>
              <w:rPr>
                <w:sz w:val="19"/>
              </w:rPr>
              <w:t>Must</w:t>
            </w:r>
          </w:p>
        </w:tc>
        <w:tc>
          <w:tcPr>
            <w:tcW w:type="dxa" w:w="4464"/>
            <w:shd w:val="clear" w:color="auto" w:fill="F5F7FA"/>
          </w:tcPr>
          <w:p>
            <w:r/>
            <w:r>
              <w:rPr>
                <w:sz w:val="19"/>
              </w:rPr>
              <w:t>Completed</w:t>
            </w:r>
          </w:p>
        </w:tc>
      </w:tr>
      <w:tr>
        <w:tc>
          <w:tcPr>
            <w:tcW w:type="dxa" w:w="936"/>
            <w:shd w:val="clear" w:color="auto" w:fill="FFFFFF"/>
          </w:tcPr>
          <w:p>
            <w:r/>
            <w:r>
              <w:rPr>
                <w:sz w:val="19"/>
              </w:rPr>
              <w:t>NFR-03</w:t>
            </w:r>
          </w:p>
        </w:tc>
        <w:tc>
          <w:tcPr>
            <w:tcW w:type="dxa" w:w="4032"/>
            <w:shd w:val="clear" w:color="auto" w:fill="FFFFFF"/>
          </w:tcPr>
          <w:p>
            <w:r/>
            <w:r>
              <w:rPr>
                <w:sz w:val="19"/>
              </w:rPr>
              <w:t>Python + open-source libraries only</w:t>
            </w:r>
          </w:p>
        </w:tc>
        <w:tc>
          <w:tcPr>
            <w:tcW w:type="dxa" w:w="1080"/>
            <w:shd w:val="clear" w:color="auto" w:fill="FFFFFF"/>
          </w:tcPr>
          <w:p>
            <w:r/>
            <w:r>
              <w:rPr>
                <w:sz w:val="19"/>
              </w:rPr>
              <w:t>Must</w:t>
            </w:r>
          </w:p>
        </w:tc>
        <w:tc>
          <w:tcPr>
            <w:tcW w:type="dxa" w:w="4464"/>
            <w:shd w:val="clear" w:color="auto" w:fill="FFFFFF"/>
          </w:tcPr>
          <w:p>
            <w:r/>
            <w:r>
              <w:rPr>
                <w:sz w:val="19"/>
              </w:rPr>
              <w:t>Completed</w:t>
            </w:r>
          </w:p>
        </w:tc>
      </w:tr>
      <w:tr>
        <w:tc>
          <w:tcPr>
            <w:tcW w:type="dxa" w:w="936"/>
            <w:shd w:val="clear" w:color="auto" w:fill="F5F7FA"/>
          </w:tcPr>
          <w:p>
            <w:r/>
            <w:r>
              <w:rPr>
                <w:sz w:val="19"/>
              </w:rPr>
              <w:t>NFR-04</w:t>
            </w:r>
          </w:p>
        </w:tc>
        <w:tc>
          <w:tcPr>
            <w:tcW w:type="dxa" w:w="4032"/>
            <w:shd w:val="clear" w:color="auto" w:fill="F5F7FA"/>
          </w:tcPr>
          <w:p>
            <w:r/>
            <w:r>
              <w:rPr>
                <w:sz w:val="19"/>
              </w:rPr>
              <w:t>Ethical compliance and participant protection</w:t>
            </w:r>
          </w:p>
        </w:tc>
        <w:tc>
          <w:tcPr>
            <w:tcW w:type="dxa" w:w="1080"/>
            <w:shd w:val="clear" w:color="auto" w:fill="F5F7FA"/>
          </w:tcPr>
          <w:p>
            <w:r/>
            <w:r>
              <w:rPr>
                <w:sz w:val="19"/>
              </w:rPr>
              <w:t>Must</w:t>
            </w:r>
          </w:p>
        </w:tc>
        <w:tc>
          <w:tcPr>
            <w:tcW w:type="dxa" w:w="4464"/>
            <w:shd w:val="clear" w:color="auto" w:fill="F5F7FA"/>
          </w:tcPr>
          <w:p>
            <w:r/>
            <w:r>
              <w:rPr>
                <w:sz w:val="19"/>
              </w:rPr>
              <w:t>Completed  (ethics stages 1 and 2)</w:t>
            </w:r>
          </w:p>
        </w:tc>
      </w:tr>
      <w:tr>
        <w:tc>
          <w:tcPr>
            <w:tcW w:type="dxa" w:w="936"/>
            <w:shd w:val="clear" w:color="auto" w:fill="FFFFFF"/>
          </w:tcPr>
          <w:p>
            <w:r/>
            <w:r>
              <w:rPr>
                <w:sz w:val="19"/>
              </w:rPr>
              <w:t>NFR-05</w:t>
            </w:r>
          </w:p>
        </w:tc>
        <w:tc>
          <w:tcPr>
            <w:tcW w:type="dxa" w:w="4032"/>
            <w:shd w:val="clear" w:color="auto" w:fill="FFFFFF"/>
          </w:tcPr>
          <w:p>
            <w:r/>
            <w:r>
              <w:rPr>
                <w:sz w:val="19"/>
              </w:rPr>
              <w:t>Real-time performance &gt;= 15-20 FPS</w:t>
            </w:r>
          </w:p>
        </w:tc>
        <w:tc>
          <w:tcPr>
            <w:tcW w:type="dxa" w:w="1080"/>
            <w:shd w:val="clear" w:color="auto" w:fill="FFFFFF"/>
          </w:tcPr>
          <w:p>
            <w:r/>
            <w:r>
              <w:rPr>
                <w:sz w:val="19"/>
              </w:rPr>
              <w:t>Should</w:t>
            </w:r>
          </w:p>
        </w:tc>
        <w:tc>
          <w:tcPr>
            <w:tcW w:type="dxa" w:w="4464"/>
            <w:shd w:val="clear" w:color="auto" w:fill="FFFFFF"/>
          </w:tcPr>
          <w:p>
            <w:r/>
            <w:r>
              <w:rPr>
                <w:sz w:val="19"/>
              </w:rPr>
              <w:t>Completed  (30 FPS sustained)</w:t>
            </w:r>
          </w:p>
        </w:tc>
      </w:tr>
      <w:tr>
        <w:tc>
          <w:tcPr>
            <w:tcW w:type="dxa" w:w="936"/>
            <w:shd w:val="clear" w:color="auto" w:fill="F5F7FA"/>
          </w:tcPr>
          <w:p>
            <w:r/>
            <w:r>
              <w:rPr>
                <w:sz w:val="19"/>
              </w:rPr>
              <w:t>NFR-06</w:t>
            </w:r>
          </w:p>
        </w:tc>
        <w:tc>
          <w:tcPr>
            <w:tcW w:type="dxa" w:w="4032"/>
            <w:shd w:val="clear" w:color="auto" w:fill="F5F7FA"/>
          </w:tcPr>
          <w:p>
            <w:r/>
            <w:r>
              <w:rPr>
                <w:sz w:val="19"/>
              </w:rPr>
              <w:t>Code quality and reproducibility</w:t>
            </w:r>
          </w:p>
        </w:tc>
        <w:tc>
          <w:tcPr>
            <w:tcW w:type="dxa" w:w="1080"/>
            <w:shd w:val="clear" w:color="auto" w:fill="F5F7FA"/>
          </w:tcPr>
          <w:p>
            <w:r/>
            <w:r>
              <w:rPr>
                <w:sz w:val="19"/>
              </w:rPr>
              <w:t>Should</w:t>
            </w:r>
          </w:p>
        </w:tc>
        <w:tc>
          <w:tcPr>
            <w:tcW w:type="dxa" w:w="4464"/>
            <w:shd w:val="clear" w:color="auto" w:fill="F5F7FA"/>
          </w:tcPr>
          <w:p>
            <w:r/>
            <w:r>
              <w:rPr>
                <w:sz w:val="19"/>
              </w:rPr>
              <w:t>Completed</w:t>
            </w:r>
          </w:p>
        </w:tc>
      </w:tr>
      <w:tr>
        <w:tc>
          <w:tcPr>
            <w:tcW w:type="dxa" w:w="936"/>
            <w:shd w:val="clear" w:color="auto" w:fill="FFFFFF"/>
          </w:tcPr>
          <w:p>
            <w:r/>
            <w:r>
              <w:rPr>
                <w:sz w:val="19"/>
              </w:rPr>
              <w:t>NFR-07</w:t>
            </w:r>
          </w:p>
        </w:tc>
        <w:tc>
          <w:tcPr>
            <w:tcW w:type="dxa" w:w="4032"/>
            <w:shd w:val="clear" w:color="auto" w:fill="FFFFFF"/>
          </w:tcPr>
          <w:p>
            <w:r/>
            <w:r>
              <w:rPr>
                <w:sz w:val="19"/>
              </w:rPr>
              <w:t>Basic robustness and error handling</w:t>
            </w:r>
          </w:p>
        </w:tc>
        <w:tc>
          <w:tcPr>
            <w:tcW w:type="dxa" w:w="1080"/>
            <w:shd w:val="clear" w:color="auto" w:fill="FFFFFF"/>
          </w:tcPr>
          <w:p>
            <w:r/>
            <w:r>
              <w:rPr>
                <w:sz w:val="19"/>
              </w:rPr>
              <w:t>Could</w:t>
            </w:r>
          </w:p>
        </w:tc>
        <w:tc>
          <w:tcPr>
            <w:tcW w:type="dxa" w:w="4464"/>
            <w:shd w:val="clear" w:color="auto" w:fill="FFFFFF"/>
          </w:tcPr>
          <w:p>
            <w:r/>
            <w:r>
              <w:rPr>
                <w:sz w:val="19"/>
              </w:rPr>
              <w:t>Completed</w:t>
            </w:r>
          </w:p>
        </w:tc>
      </w:tr>
    </w:tbl>
    <w:p/>
    <w:p>
      <w:pPr>
        <w:shd w:val="clear" w:color="auto" w:fill="D6EAD6"/>
        <w:pBdr>
          <w:left w:val="single" w:sz="24" w:space="6" w:color="1A5C2A"/>
        </w:pBdr>
        <w:spacing w:before="80" w:after="120"/>
        <w:ind w:left="227" w:right="227"/>
      </w:pPr>
      <w:r>
        <w:rPr>
          <w:b/>
          <w:color w:val="1A5C2A"/>
        </w:rPr>
        <w:t xml:space="preserve">RESULT  </w:t>
      </w:r>
      <w:r>
        <w:rPr>
          <w:color w:val="1A5C2A"/>
        </w:rPr>
        <w:t>All 11 Must requirements are completed.  FR-04 is partially completed — MediaPipe and OpenPose are both integrated; MoveNet was excluded because its output format is incompatible with the 21-keypoint landmark schema used throughout the pipeline.</w:t>
      </w:r>
    </w:p>
    <w:p>
      <w:pPr>
        <w:pStyle w:val="Heading2"/>
      </w:pPr>
      <w:r>
        <w:rPr>
          <w:color w:val="1F3964"/>
        </w:rPr>
        <w:t>5.3  Prototype Benchmark Application</w:t>
      </w:r>
    </w:p>
    <w:p>
      <w:r>
        <w:t>A prototype studio-style GUI was developed to allow researchers to switch between pipeline scripts using on-screen buttons rather than terminal commands.  This was evaluated as a potential future tool to improve usability during data collection sessions.</w:t>
      </w:r>
    </w:p>
    <w:p/>
    <w:p>
      <w:pPr>
        <w:jc w:val="center"/>
      </w:pPr>
      <w:r>
        <w:drawing>
          <wp:inline xmlns:a="http://schemas.openxmlformats.org/drawingml/2006/main" xmlns:pic="http://schemas.openxmlformats.org/drawingml/2006/picture">
            <wp:extent cx="5029200" cy="2701983"/>
            <wp:docPr id="15" name="Picture 15"/>
            <wp:cNvGraphicFramePr>
              <a:graphicFrameLocks noChangeAspect="1"/>
            </wp:cNvGraphicFramePr>
            <a:graphic>
              <a:graphicData uri="http://schemas.openxmlformats.org/drawingml/2006/picture">
                <pic:pic>
                  <pic:nvPicPr>
                    <pic:cNvPr id="0" name="p382_rId44.png"/>
                    <pic:cNvPicPr/>
                  </pic:nvPicPr>
                  <pic:blipFill>
                    <a:blip r:embed="rId23"/>
                    <a:stretch>
                      <a:fillRect/>
                    </a:stretch>
                  </pic:blipFill>
                  <pic:spPr>
                    <a:xfrm>
                      <a:off x="0" y="0"/>
                      <a:ext cx="5029200" cy="2701983"/>
                    </a:xfrm>
                    <a:prstGeom prst="rect"/>
                  </pic:spPr>
                </pic:pic>
              </a:graphicData>
            </a:graphic>
          </wp:inline>
        </w:drawing>
      </w:r>
    </w:p>
    <w:p>
      <w:pPr>
        <w:spacing w:after="160"/>
        <w:jc w:val="center"/>
      </w:pPr>
      <w:r>
        <w:rPr>
          <w:i/>
          <w:color w:val="808080"/>
          <w:sz w:val="18"/>
        </w:rPr>
        <w:t>Fig 7.3.a: Prototype benchmark application UI design</w:t>
      </w:r>
    </w:p>
    <w:p/>
    <w:p>
      <w:pPr>
        <w:pStyle w:val="Heading1"/>
      </w:pPr>
      <w:r>
        <w:rPr>
          <w:color w:val="1F3964"/>
        </w:rPr>
        <w:t>PART C — Research Evaluation</w:t>
      </w:r>
    </w:p>
    <w:p>
      <w:r>
        <w:t>38 participant sessions were completed.  89,560 video frames, 9,557 MIDI events, and 4,777 note-on events were processed.  Participants covered Fitzpatrick types II–V, with the majority in types III and IV.  All sessions were conducted indoors under Dim or Indoor lighting.</w:t>
      </w:r>
    </w:p>
    <w:p/>
    <w:p>
      <w:pPr>
        <w:jc w:val="center"/>
      </w:pPr>
      <w:r>
        <w:drawing>
          <wp:inline xmlns:a="http://schemas.openxmlformats.org/drawingml/2006/main" xmlns:pic="http://schemas.openxmlformats.org/drawingml/2006/picture">
            <wp:extent cx="5029200" cy="1858198"/>
            <wp:docPr id="16" name="Picture 16"/>
            <wp:cNvGraphicFramePr>
              <a:graphicFrameLocks noChangeAspect="1"/>
            </wp:cNvGraphicFramePr>
            <a:graphic>
              <a:graphicData uri="http://schemas.openxmlformats.org/drawingml/2006/picture">
                <pic:pic>
                  <pic:nvPicPr>
                    <pic:cNvPr id="0" name="p388_rId45.png"/>
                    <pic:cNvPicPr/>
                  </pic:nvPicPr>
                  <pic:blipFill>
                    <a:blip r:embed="rId24"/>
                    <a:stretch>
                      <a:fillRect/>
                    </a:stretch>
                  </pic:blipFill>
                  <pic:spPr>
                    <a:xfrm>
                      <a:off x="0" y="0"/>
                      <a:ext cx="5029200" cy="1858198"/>
                    </a:xfrm>
                    <a:prstGeom prst="rect"/>
                  </pic:spPr>
                </pic:pic>
              </a:graphicData>
            </a:graphic>
          </wp:inline>
        </w:drawing>
      </w:r>
    </w:p>
    <w:p>
      <w:pPr>
        <w:spacing w:after="160"/>
        <w:jc w:val="center"/>
      </w:pPr>
      <w:r>
        <w:rPr>
          <w:i/>
          <w:color w:val="808080"/>
          <w:sz w:val="18"/>
        </w:rPr>
        <w:t>Fig 8.a: Dataset diversity charts — Fitzpatrick type, lux, and hand size distributions</w:t>
      </w:r>
    </w:p>
    <w:p>
      <w:pPr>
        <w:pStyle w:val="Heading1"/>
      </w:pPr>
      <w:r>
        <w:rPr>
          <w:color w:val="1F3964"/>
        </w:rPr>
        <w:t>6.  Model Detection Rate</w:t>
      </w:r>
    </w:p>
    <w:p>
      <w:pPr>
        <w:pStyle w:val="Heading2"/>
      </w:pPr>
      <w:r>
        <w:rPr>
          <w:color w:val="1F3964"/>
        </w:rPr>
        <w:t>6.1  Overall Detection Rate</w:t>
      </w:r>
    </w:p>
    <w:p>
      <w:r>
        <w:t>Detection rate is the proportion of note_on events where at least one fingertip landmark was found inside the triggered key's polygon.</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304"/>
            <w:shd w:val="clear" w:color="auto" w:fill="1F3964"/>
            <w:vAlign w:val="center"/>
          </w:tcPr>
          <w:p>
            <w:r/>
            <w:r>
              <w:rPr>
                <w:b/>
                <w:color w:val="FFFFFF"/>
                <w:sz w:val="20"/>
              </w:rPr>
              <w:t>Outcome</w:t>
            </w:r>
          </w:p>
        </w:tc>
        <w:tc>
          <w:tcPr>
            <w:tcW w:type="dxa" w:w="1728"/>
            <w:shd w:val="clear" w:color="auto" w:fill="1F3964"/>
            <w:vAlign w:val="center"/>
          </w:tcPr>
          <w:p>
            <w:r/>
            <w:r>
              <w:rPr>
                <w:b/>
                <w:color w:val="FFFFFF"/>
                <w:sz w:val="20"/>
              </w:rPr>
              <w:t>MediaPipe (n)</w:t>
            </w:r>
          </w:p>
        </w:tc>
        <w:tc>
          <w:tcPr>
            <w:tcW w:type="dxa" w:w="1872"/>
            <w:shd w:val="clear" w:color="auto" w:fill="1F3964"/>
            <w:vAlign w:val="center"/>
          </w:tcPr>
          <w:p>
            <w:r/>
            <w:r>
              <w:rPr>
                <w:b/>
                <w:color w:val="FFFFFF"/>
                <w:sz w:val="20"/>
              </w:rPr>
              <w:t>MediaPipe (%)</w:t>
            </w:r>
          </w:p>
        </w:tc>
        <w:tc>
          <w:tcPr>
            <w:tcW w:type="dxa" w:w="1728"/>
            <w:shd w:val="clear" w:color="auto" w:fill="1F3964"/>
            <w:vAlign w:val="center"/>
          </w:tcPr>
          <w:p>
            <w:r/>
            <w:r>
              <w:rPr>
                <w:b/>
                <w:color w:val="FFFFFF"/>
                <w:sz w:val="20"/>
              </w:rPr>
              <w:t>OpenPose (n)</w:t>
            </w:r>
          </w:p>
        </w:tc>
        <w:tc>
          <w:tcPr>
            <w:tcW w:type="dxa" w:w="1872"/>
            <w:shd w:val="clear" w:color="auto" w:fill="1F3964"/>
            <w:vAlign w:val="center"/>
          </w:tcPr>
          <w:p>
            <w:r/>
            <w:r>
              <w:rPr>
                <w:b/>
                <w:color w:val="FFFFFF"/>
                <w:sz w:val="20"/>
              </w:rPr>
              <w:t>OpenPose (%)</w:t>
            </w:r>
          </w:p>
        </w:tc>
      </w:tr>
      <w:tr>
        <w:tc>
          <w:tcPr>
            <w:tcW w:type="dxa" w:w="2304"/>
            <w:shd w:val="clear" w:color="auto" w:fill="FFFFFF"/>
          </w:tcPr>
          <w:p>
            <w:r/>
            <w:r>
              <w:rPr>
                <w:sz w:val="19"/>
              </w:rPr>
              <w:t>Matched</w:t>
            </w:r>
          </w:p>
        </w:tc>
        <w:tc>
          <w:tcPr>
            <w:tcW w:type="dxa" w:w="1728"/>
            <w:shd w:val="clear" w:color="auto" w:fill="FFFFFF"/>
          </w:tcPr>
          <w:p>
            <w:r/>
            <w:r>
              <w:rPr>
                <w:sz w:val="19"/>
              </w:rPr>
              <w:t>3,017</w:t>
            </w:r>
          </w:p>
        </w:tc>
        <w:tc>
          <w:tcPr>
            <w:tcW w:type="dxa" w:w="1872"/>
            <w:shd w:val="clear" w:color="auto" w:fill="FFFFFF"/>
          </w:tcPr>
          <w:p>
            <w:r/>
            <w:r>
              <w:rPr>
                <w:sz w:val="19"/>
              </w:rPr>
              <w:t>63.3</w:t>
            </w:r>
          </w:p>
        </w:tc>
        <w:tc>
          <w:tcPr>
            <w:tcW w:type="dxa" w:w="1728"/>
            <w:shd w:val="clear" w:color="auto" w:fill="FFFFFF"/>
          </w:tcPr>
          <w:p>
            <w:r/>
            <w:r>
              <w:rPr>
                <w:sz w:val="19"/>
              </w:rPr>
              <w:t>388</w:t>
            </w:r>
          </w:p>
        </w:tc>
        <w:tc>
          <w:tcPr>
            <w:tcW w:type="dxa" w:w="1872"/>
            <w:shd w:val="clear" w:color="auto" w:fill="FFFFFF"/>
          </w:tcPr>
          <w:p>
            <w:r/>
            <w:r>
              <w:rPr>
                <w:sz w:val="19"/>
              </w:rPr>
              <w:t>8.1</w:t>
            </w:r>
          </w:p>
        </w:tc>
      </w:tr>
      <w:tr>
        <w:tc>
          <w:tcPr>
            <w:tcW w:type="dxa" w:w="2304"/>
            <w:shd w:val="clear" w:color="auto" w:fill="F5F7FA"/>
          </w:tcPr>
          <w:p>
            <w:r/>
            <w:r>
              <w:rPr>
                <w:sz w:val="19"/>
              </w:rPr>
              <w:t>Detection fail</w:t>
            </w:r>
          </w:p>
        </w:tc>
        <w:tc>
          <w:tcPr>
            <w:tcW w:type="dxa" w:w="1728"/>
            <w:shd w:val="clear" w:color="auto" w:fill="F5F7FA"/>
          </w:tcPr>
          <w:p>
            <w:r/>
            <w:r>
              <w:rPr>
                <w:sz w:val="19"/>
              </w:rPr>
              <w:t>1,370</w:t>
            </w:r>
          </w:p>
        </w:tc>
        <w:tc>
          <w:tcPr>
            <w:tcW w:type="dxa" w:w="1872"/>
            <w:shd w:val="clear" w:color="auto" w:fill="F5F7FA"/>
          </w:tcPr>
          <w:p>
            <w:r/>
            <w:r>
              <w:rPr>
                <w:sz w:val="19"/>
              </w:rPr>
              <w:t>28.7</w:t>
            </w:r>
          </w:p>
        </w:tc>
        <w:tc>
          <w:tcPr>
            <w:tcW w:type="dxa" w:w="1728"/>
            <w:shd w:val="clear" w:color="auto" w:fill="F5F7FA"/>
          </w:tcPr>
          <w:p>
            <w:r/>
            <w:r>
              <w:rPr>
                <w:sz w:val="19"/>
              </w:rPr>
              <w:t>1,039</w:t>
            </w:r>
          </w:p>
        </w:tc>
        <w:tc>
          <w:tcPr>
            <w:tcW w:type="dxa" w:w="1872"/>
            <w:shd w:val="clear" w:color="auto" w:fill="F5F7FA"/>
          </w:tcPr>
          <w:p>
            <w:r/>
            <w:r>
              <w:rPr>
                <w:sz w:val="19"/>
              </w:rPr>
              <w:t>21.8</w:t>
            </w:r>
          </w:p>
        </w:tc>
      </w:tr>
      <w:tr>
        <w:tc>
          <w:tcPr>
            <w:tcW w:type="dxa" w:w="2304"/>
            <w:shd w:val="clear" w:color="auto" w:fill="FFFFFF"/>
          </w:tcPr>
          <w:p>
            <w:r/>
            <w:r>
              <w:rPr>
                <w:sz w:val="19"/>
              </w:rPr>
              <w:t>Missed</w:t>
            </w:r>
          </w:p>
        </w:tc>
        <w:tc>
          <w:tcPr>
            <w:tcW w:type="dxa" w:w="1728"/>
            <w:shd w:val="clear" w:color="auto" w:fill="FFFFFF"/>
          </w:tcPr>
          <w:p>
            <w:r/>
            <w:r>
              <w:rPr>
                <w:sz w:val="19"/>
              </w:rPr>
              <w:t>390</w:t>
            </w:r>
          </w:p>
        </w:tc>
        <w:tc>
          <w:tcPr>
            <w:tcW w:type="dxa" w:w="1872"/>
            <w:shd w:val="clear" w:color="auto" w:fill="FFFFFF"/>
          </w:tcPr>
          <w:p>
            <w:r/>
            <w:r>
              <w:rPr>
                <w:sz w:val="19"/>
              </w:rPr>
              <w:t>8.2</w:t>
            </w:r>
          </w:p>
        </w:tc>
        <w:tc>
          <w:tcPr>
            <w:tcW w:type="dxa" w:w="1728"/>
            <w:shd w:val="clear" w:color="auto" w:fill="FFFFFF"/>
          </w:tcPr>
          <w:p>
            <w:r/>
            <w:r>
              <w:rPr>
                <w:sz w:val="19"/>
              </w:rPr>
              <w:t>3,350</w:t>
            </w:r>
          </w:p>
        </w:tc>
        <w:tc>
          <w:tcPr>
            <w:tcW w:type="dxa" w:w="1872"/>
            <w:shd w:val="clear" w:color="auto" w:fill="FFFFFF"/>
          </w:tcPr>
          <w:p>
            <w:r/>
            <w:r>
              <w:rPr>
                <w:sz w:val="19"/>
              </w:rPr>
              <w:t>70.3</w:t>
            </w:r>
          </w:p>
        </w:tc>
      </w:tr>
      <w:tr>
        <w:tc>
          <w:tcPr>
            <w:tcW w:type="dxa" w:w="2304"/>
            <w:shd w:val="clear" w:color="auto" w:fill="F5F7FA"/>
          </w:tcPr>
          <w:p>
            <w:r/>
            <w:r>
              <w:rPr>
                <w:sz w:val="19"/>
              </w:rPr>
              <w:t>Total note-on</w:t>
            </w:r>
          </w:p>
        </w:tc>
        <w:tc>
          <w:tcPr>
            <w:tcW w:type="dxa" w:w="1728"/>
            <w:shd w:val="clear" w:color="auto" w:fill="F5F7FA"/>
          </w:tcPr>
          <w:p>
            <w:r/>
            <w:r>
              <w:rPr>
                <w:sz w:val="19"/>
              </w:rPr>
              <w:t>4,777</w:t>
            </w:r>
          </w:p>
        </w:tc>
        <w:tc>
          <w:tcPr>
            <w:tcW w:type="dxa" w:w="1872"/>
            <w:shd w:val="clear" w:color="auto" w:fill="F5F7FA"/>
          </w:tcPr>
          <w:p>
            <w:r/>
            <w:r>
              <w:rPr>
                <w:sz w:val="19"/>
              </w:rPr>
              <w:t>100</w:t>
            </w:r>
          </w:p>
        </w:tc>
        <w:tc>
          <w:tcPr>
            <w:tcW w:type="dxa" w:w="1728"/>
            <w:shd w:val="clear" w:color="auto" w:fill="F5F7FA"/>
          </w:tcPr>
          <w:p>
            <w:r/>
            <w:r>
              <w:rPr>
                <w:sz w:val="19"/>
              </w:rPr>
              <w:t>4,777</w:t>
            </w:r>
          </w:p>
        </w:tc>
        <w:tc>
          <w:tcPr>
            <w:tcW w:type="dxa" w:w="1872"/>
            <w:shd w:val="clear" w:color="auto" w:fill="F5F7FA"/>
          </w:tcPr>
          <w:p>
            <w:r/>
            <w:r>
              <w:rPr>
                <w:sz w:val="19"/>
              </w:rPr>
              <w:t>100</w:t>
            </w:r>
          </w:p>
        </w:tc>
      </w:tr>
    </w:tbl>
    <w:p/>
    <w:p>
      <w:pPr>
        <w:jc w:val="center"/>
      </w:pPr>
      <w:r>
        <w:drawing>
          <wp:inline xmlns:a="http://schemas.openxmlformats.org/drawingml/2006/main" xmlns:pic="http://schemas.openxmlformats.org/drawingml/2006/picture">
            <wp:extent cx="5029200" cy="4164451"/>
            <wp:docPr id="17" name="Picture 17"/>
            <wp:cNvGraphicFramePr>
              <a:graphicFrameLocks noChangeAspect="1"/>
            </wp:cNvGraphicFramePr>
            <a:graphic>
              <a:graphicData uri="http://schemas.openxmlformats.org/drawingml/2006/picture">
                <pic:pic>
                  <pic:nvPicPr>
                    <pic:cNvPr id="0" name="p397_rId46.png"/>
                    <pic:cNvPicPr/>
                  </pic:nvPicPr>
                  <pic:blipFill>
                    <a:blip r:embed="rId25"/>
                    <a:stretch>
                      <a:fillRect/>
                    </a:stretch>
                  </pic:blipFill>
                  <pic:spPr>
                    <a:xfrm>
                      <a:off x="0" y="0"/>
                      <a:ext cx="5029200" cy="4164451"/>
                    </a:xfrm>
                    <a:prstGeom prst="rect"/>
                  </pic:spPr>
                </pic:pic>
              </a:graphicData>
            </a:graphic>
          </wp:inline>
        </w:drawing>
      </w:r>
    </w:p>
    <w:p>
      <w:pPr>
        <w:spacing w:after="160"/>
        <w:jc w:val="center"/>
      </w:pPr>
      <w:r>
        <w:rPr>
          <w:i/>
          <w:color w:val="808080"/>
          <w:sz w:val="18"/>
        </w:rPr>
        <w:t>Fig 8.1.1.a: MediaPipe vs OpenPose detection rate comparison chart</w:t>
      </w:r>
    </w:p>
    <w:p>
      <w:pPr>
        <w:shd w:val="clear" w:color="auto" w:fill="D1ECF1"/>
        <w:pBdr>
          <w:left w:val="single" w:sz="24" w:space="6" w:color="0C5460"/>
        </w:pBdr>
        <w:spacing w:before="80" w:after="120"/>
        <w:ind w:left="227" w:right="227"/>
      </w:pPr>
      <w:r>
        <w:rPr>
          <w:b/>
          <w:color w:val="0C5460"/>
        </w:rPr>
        <w:t xml:space="preserve">FINDING  </w:t>
      </w:r>
      <w:r>
        <w:rPr>
          <w:color w:val="0C5460"/>
        </w:rPr>
        <w:t>MediaPipe detected landmarks in 91.8% of events (matched + detection_fail).  OpenPose only detected landmarks in 29.7% of events, because it requires a tightly cropped hand image as input — the full-scene video feed used here is not its intended use case.</w:t>
      </w:r>
    </w:p>
    <w:p>
      <w:pPr>
        <w:pStyle w:val="Heading2"/>
      </w:pPr>
      <w:r>
        <w:rPr>
          <w:color w:val="1F3964"/>
        </w:rPr>
        <w:t>6.2  Per-Hand and Per-Finger Detection Rate</w:t>
      </w:r>
    </w:p>
    <w:p>
      <w:r>
        <w:t>MediaPipe showed consistent per-finger detection across both hands with the thumb achieving the highest match rate.  OpenPose detection was too sparse to produce reliable per-finger statistics.</w:t>
      </w:r>
    </w:p>
    <w:p/>
    <w:p>
      <w:pPr>
        <w:jc w:val="center"/>
      </w:pPr>
      <w:r>
        <w:drawing>
          <wp:inline xmlns:a="http://schemas.openxmlformats.org/drawingml/2006/main" xmlns:pic="http://schemas.openxmlformats.org/drawingml/2006/picture">
            <wp:extent cx="5029200" cy="4170140"/>
            <wp:docPr id="18" name="Picture 18"/>
            <wp:cNvGraphicFramePr>
              <a:graphicFrameLocks noChangeAspect="1"/>
            </wp:cNvGraphicFramePr>
            <a:graphic>
              <a:graphicData uri="http://schemas.openxmlformats.org/drawingml/2006/picture">
                <pic:pic>
                  <pic:nvPicPr>
                    <pic:cNvPr id="0" name="p404_rId47.png"/>
                    <pic:cNvPicPr/>
                  </pic:nvPicPr>
                  <pic:blipFill>
                    <a:blip r:embed="rId26"/>
                    <a:stretch>
                      <a:fillRect/>
                    </a:stretch>
                  </pic:blipFill>
                  <pic:spPr>
                    <a:xfrm>
                      <a:off x="0" y="0"/>
                      <a:ext cx="5029200" cy="4170140"/>
                    </a:xfrm>
                    <a:prstGeom prst="rect"/>
                  </pic:spPr>
                </pic:pic>
              </a:graphicData>
            </a:graphic>
          </wp:inline>
        </w:drawing>
      </w:r>
    </w:p>
    <w:p>
      <w:pPr>
        <w:spacing w:after="160"/>
        <w:jc w:val="center"/>
      </w:pPr>
      <w:r>
        <w:rPr>
          <w:i/>
          <w:color w:val="808080"/>
          <w:sz w:val="18"/>
        </w:rPr>
        <w:t>Fig 8.1.3.a: Per-hand and per-finger detection rate for MediaPipe</w:t>
      </w:r>
    </w:p>
    <w:p>
      <w:pPr>
        <w:jc w:val="center"/>
      </w:pPr>
      <w:r>
        <w:drawing>
          <wp:inline xmlns:a="http://schemas.openxmlformats.org/drawingml/2006/main" xmlns:pic="http://schemas.openxmlformats.org/drawingml/2006/picture">
            <wp:extent cx="5029200" cy="3100774"/>
            <wp:docPr id="19" name="Picture 19"/>
            <wp:cNvGraphicFramePr>
              <a:graphicFrameLocks noChangeAspect="1"/>
            </wp:cNvGraphicFramePr>
            <a:graphic>
              <a:graphicData uri="http://schemas.openxmlformats.org/drawingml/2006/picture">
                <pic:pic>
                  <pic:nvPicPr>
                    <pic:cNvPr id="0" name="p408_rId48.png"/>
                    <pic:cNvPicPr/>
                  </pic:nvPicPr>
                  <pic:blipFill>
                    <a:blip r:embed="rId27"/>
                    <a:stretch>
                      <a:fillRect/>
                    </a:stretch>
                  </pic:blipFill>
                  <pic:spPr>
                    <a:xfrm>
                      <a:off x="0" y="0"/>
                      <a:ext cx="5029200" cy="3100774"/>
                    </a:xfrm>
                    <a:prstGeom prst="rect"/>
                  </pic:spPr>
                </pic:pic>
              </a:graphicData>
            </a:graphic>
          </wp:inline>
        </w:drawing>
      </w:r>
    </w:p>
    <w:p>
      <w:pPr>
        <w:spacing w:after="160"/>
        <w:jc w:val="center"/>
      </w:pPr>
      <w:r>
        <w:rPr>
          <w:i/>
          <w:color w:val="808080"/>
          <w:sz w:val="18"/>
        </w:rPr>
        <w:t>Fig 8.1.3.c: Per-finger detection rate for OpenPose (low n — limited reliability)</w:t>
      </w:r>
    </w:p>
    <w:p>
      <w:pPr>
        <w:pStyle w:val="Heading2"/>
      </w:pPr>
      <w:r>
        <w:rPr>
          <w:color w:val="1F3964"/>
        </w:rPr>
        <w:t>6.3  Detection-Fail Rate by Skin Tone</w:t>
      </w:r>
    </w:p>
    <w:p>
      <w:r>
        <w:t>Detection-Fail Rate (DFR) measures cases where landmarks were detected but no tip landed inside the key polygon — indicating positioning error rather than complete model failure.</w:t>
      </w:r>
    </w:p>
    <w:tbl>
      <w:tblPr>
        <w:tblStyle w:val="TableGrid"/>
        <w:tblW w:type="auto" w:w="0"/>
        <w:tblLook w:firstColumn="1" w:firstRow="1" w:lastColumn="0" w:lastRow="0" w:noHBand="0" w:noVBand="1" w:val="04A0"/>
      </w:tblPr>
      <w:tblGrid>
        <w:gridCol w:w="3041"/>
        <w:gridCol w:w="3041"/>
        <w:gridCol w:w="3041"/>
      </w:tblGrid>
      <w:tr>
        <w:tc>
          <w:tcPr>
            <w:tcW w:type="dxa" w:w="2592"/>
            <w:shd w:val="clear" w:color="auto" w:fill="1F3964"/>
            <w:vAlign w:val="center"/>
          </w:tcPr>
          <w:p>
            <w:r/>
            <w:r>
              <w:rPr>
                <w:b/>
                <w:color w:val="FFFFFF"/>
                <w:sz w:val="20"/>
              </w:rPr>
              <w:t>Fitzpatrick Type</w:t>
            </w:r>
          </w:p>
        </w:tc>
        <w:tc>
          <w:tcPr>
            <w:tcW w:type="dxa" w:w="2880"/>
            <w:shd w:val="clear" w:color="auto" w:fill="1F3964"/>
            <w:vAlign w:val="center"/>
          </w:tcPr>
          <w:p>
            <w:r/>
            <w:r>
              <w:rPr>
                <w:b/>
                <w:color w:val="FFFFFF"/>
                <w:sz w:val="20"/>
              </w:rPr>
              <w:t>MediaPipe DFR %</w:t>
            </w:r>
          </w:p>
        </w:tc>
        <w:tc>
          <w:tcPr>
            <w:tcW w:type="dxa" w:w="2880"/>
            <w:shd w:val="clear" w:color="auto" w:fill="1F3964"/>
            <w:vAlign w:val="center"/>
          </w:tcPr>
          <w:p>
            <w:r/>
            <w:r>
              <w:rPr>
                <w:b/>
                <w:color w:val="FFFFFF"/>
                <w:sz w:val="20"/>
              </w:rPr>
              <w:t>OpenPose DFR %</w:t>
            </w:r>
          </w:p>
        </w:tc>
      </w:tr>
      <w:tr>
        <w:tc>
          <w:tcPr>
            <w:tcW w:type="dxa" w:w="2592"/>
            <w:shd w:val="clear" w:color="auto" w:fill="FFFFFF"/>
          </w:tcPr>
          <w:p>
            <w:r/>
            <w:r>
              <w:rPr>
                <w:sz w:val="19"/>
              </w:rPr>
              <w:t>Type II</w:t>
            </w:r>
          </w:p>
        </w:tc>
        <w:tc>
          <w:tcPr>
            <w:tcW w:type="dxa" w:w="2880"/>
            <w:shd w:val="clear" w:color="auto" w:fill="FFFFFF"/>
          </w:tcPr>
          <w:p>
            <w:r/>
            <w:r>
              <w:rPr>
                <w:sz w:val="19"/>
              </w:rPr>
              <w:t>16.8</w:t>
            </w:r>
          </w:p>
        </w:tc>
        <w:tc>
          <w:tcPr>
            <w:tcW w:type="dxa" w:w="2880"/>
            <w:shd w:val="clear" w:color="auto" w:fill="FFFFFF"/>
          </w:tcPr>
          <w:p>
            <w:r/>
            <w:r>
              <w:rPr>
                <w:sz w:val="19"/>
              </w:rPr>
              <w:t>44.1</w:t>
            </w:r>
          </w:p>
        </w:tc>
      </w:tr>
      <w:tr>
        <w:tc>
          <w:tcPr>
            <w:tcW w:type="dxa" w:w="2592"/>
            <w:shd w:val="clear" w:color="auto" w:fill="F5F7FA"/>
          </w:tcPr>
          <w:p>
            <w:r/>
            <w:r>
              <w:rPr>
                <w:sz w:val="19"/>
              </w:rPr>
              <w:t>Type III</w:t>
            </w:r>
          </w:p>
        </w:tc>
        <w:tc>
          <w:tcPr>
            <w:tcW w:type="dxa" w:w="2880"/>
            <w:shd w:val="clear" w:color="auto" w:fill="F5F7FA"/>
          </w:tcPr>
          <w:p>
            <w:r/>
            <w:r>
              <w:rPr>
                <w:sz w:val="19"/>
              </w:rPr>
              <w:t>32.8</w:t>
            </w:r>
          </w:p>
        </w:tc>
        <w:tc>
          <w:tcPr>
            <w:tcW w:type="dxa" w:w="2880"/>
            <w:shd w:val="clear" w:color="auto" w:fill="F5F7FA"/>
          </w:tcPr>
          <w:p>
            <w:r/>
            <w:r>
              <w:rPr>
                <w:sz w:val="19"/>
              </w:rPr>
              <w:t>15.5</w:t>
            </w:r>
          </w:p>
        </w:tc>
      </w:tr>
      <w:tr>
        <w:tc>
          <w:tcPr>
            <w:tcW w:type="dxa" w:w="2592"/>
            <w:shd w:val="clear" w:color="auto" w:fill="FFFFFF"/>
          </w:tcPr>
          <w:p>
            <w:r/>
            <w:r>
              <w:rPr>
                <w:sz w:val="19"/>
              </w:rPr>
              <w:t>Type IV</w:t>
            </w:r>
          </w:p>
        </w:tc>
        <w:tc>
          <w:tcPr>
            <w:tcW w:type="dxa" w:w="2880"/>
            <w:shd w:val="clear" w:color="auto" w:fill="FFFFFF"/>
          </w:tcPr>
          <w:p>
            <w:r/>
            <w:r>
              <w:rPr>
                <w:sz w:val="19"/>
              </w:rPr>
              <w:t>26.4</w:t>
            </w:r>
          </w:p>
        </w:tc>
        <w:tc>
          <w:tcPr>
            <w:tcW w:type="dxa" w:w="2880"/>
            <w:shd w:val="clear" w:color="auto" w:fill="FFFFFF"/>
          </w:tcPr>
          <w:p>
            <w:r/>
            <w:r>
              <w:rPr>
                <w:sz w:val="19"/>
              </w:rPr>
              <w:t>25.2</w:t>
            </w:r>
          </w:p>
        </w:tc>
      </w:tr>
      <w:tr>
        <w:tc>
          <w:tcPr>
            <w:tcW w:type="dxa" w:w="2592"/>
            <w:shd w:val="clear" w:color="auto" w:fill="F5F7FA"/>
          </w:tcPr>
          <w:p>
            <w:r/>
            <w:r>
              <w:rPr>
                <w:sz w:val="19"/>
              </w:rPr>
              <w:t>Type V</w:t>
            </w:r>
          </w:p>
        </w:tc>
        <w:tc>
          <w:tcPr>
            <w:tcW w:type="dxa" w:w="2880"/>
            <w:shd w:val="clear" w:color="auto" w:fill="F5F7FA"/>
          </w:tcPr>
          <w:p>
            <w:r/>
            <w:r>
              <w:rPr>
                <w:sz w:val="19"/>
              </w:rPr>
              <w:t>30.5</w:t>
            </w:r>
          </w:p>
        </w:tc>
        <w:tc>
          <w:tcPr>
            <w:tcW w:type="dxa" w:w="2880"/>
            <w:shd w:val="clear" w:color="auto" w:fill="F5F7FA"/>
          </w:tcPr>
          <w:p>
            <w:r/>
            <w:r>
              <w:rPr>
                <w:sz w:val="19"/>
              </w:rPr>
              <w:t>31.2</w:t>
            </w:r>
          </w:p>
        </w:tc>
      </w:tr>
    </w:tbl>
    <w:p/>
    <w:p>
      <w:pPr>
        <w:jc w:val="center"/>
      </w:pPr>
      <w:r>
        <w:drawing>
          <wp:inline xmlns:a="http://schemas.openxmlformats.org/drawingml/2006/main" xmlns:pic="http://schemas.openxmlformats.org/drawingml/2006/picture">
            <wp:extent cx="5029200" cy="3531140"/>
            <wp:docPr id="20" name="Picture 20"/>
            <wp:cNvGraphicFramePr>
              <a:graphicFrameLocks noChangeAspect="1"/>
            </wp:cNvGraphicFramePr>
            <a:graphic>
              <a:graphicData uri="http://schemas.openxmlformats.org/drawingml/2006/picture">
                <pic:pic>
                  <pic:nvPicPr>
                    <pic:cNvPr id="0" name="p413_rId49.png"/>
                    <pic:cNvPicPr/>
                  </pic:nvPicPr>
                  <pic:blipFill>
                    <a:blip r:embed="rId28"/>
                    <a:stretch>
                      <a:fillRect/>
                    </a:stretch>
                  </pic:blipFill>
                  <pic:spPr>
                    <a:xfrm>
                      <a:off x="0" y="0"/>
                      <a:ext cx="5029200" cy="3531140"/>
                    </a:xfrm>
                    <a:prstGeom prst="rect"/>
                  </pic:spPr>
                </pic:pic>
              </a:graphicData>
            </a:graphic>
          </wp:inline>
        </w:drawing>
      </w:r>
    </w:p>
    <w:p>
      <w:pPr>
        <w:spacing w:after="160"/>
        <w:jc w:val="center"/>
      </w:pPr>
      <w:r>
        <w:rPr>
          <w:i/>
          <w:color w:val="808080"/>
          <w:sz w:val="18"/>
        </w:rPr>
        <w:t>Fig 8.1.4.a: Detection-fail rate by Fitzpatrick skin tone type</w:t>
      </w:r>
    </w:p>
    <w:p>
      <w:pPr>
        <w:shd w:val="clear" w:color="auto" w:fill="D1ECF1"/>
        <w:pBdr>
          <w:left w:val="single" w:sz="24" w:space="6" w:color="0C5460"/>
        </w:pBdr>
        <w:spacing w:before="80" w:after="120"/>
        <w:ind w:left="227" w:right="227"/>
      </w:pPr>
      <w:r>
        <w:rPr>
          <w:b/>
          <w:color w:val="0C5460"/>
        </w:rPr>
        <w:t xml:space="preserve">FINDING  </w:t>
      </w:r>
      <w:r>
        <w:rPr>
          <w:color w:val="0C5460"/>
        </w:rPr>
        <w:t>No consistent upward or downward trend with skin tone is visible for MediaPipe.  The lowest DFR (16.8%) occurs at Type II, and the highest (32.8%) at Type III — suggesting no systematic skin-tone bias.</w:t>
      </w:r>
    </w:p>
    <w:p>
      <w:pPr>
        <w:pStyle w:val="Heading2"/>
      </w:pPr>
      <w:r>
        <w:rPr>
          <w:color w:val="1F3964"/>
        </w:rPr>
        <w:t>6.4  Detection-Fail Rate by Lighting Condition</w:t>
      </w:r>
    </w:p>
    <w:tbl>
      <w:tblPr>
        <w:tblStyle w:val="TableGrid"/>
        <w:tblW w:type="auto" w:w="0"/>
        <w:tblLook w:firstColumn="1" w:firstRow="1" w:lastColumn="0" w:lastRow="0" w:noHBand="0" w:noVBand="1" w:val="04A0"/>
      </w:tblPr>
      <w:tblGrid>
        <w:gridCol w:w="3041"/>
        <w:gridCol w:w="3041"/>
        <w:gridCol w:w="3041"/>
      </w:tblGrid>
      <w:tr>
        <w:tc>
          <w:tcPr>
            <w:tcW w:type="dxa" w:w="3168"/>
            <w:shd w:val="clear" w:color="auto" w:fill="1F3964"/>
            <w:vAlign w:val="center"/>
          </w:tcPr>
          <w:p>
            <w:r/>
            <w:r>
              <w:rPr>
                <w:b/>
                <w:color w:val="FFFFFF"/>
                <w:sz w:val="20"/>
              </w:rPr>
              <w:t>Lighting</w:t>
            </w:r>
          </w:p>
        </w:tc>
        <w:tc>
          <w:tcPr>
            <w:tcW w:type="dxa" w:w="2880"/>
            <w:shd w:val="clear" w:color="auto" w:fill="1F3964"/>
            <w:vAlign w:val="center"/>
          </w:tcPr>
          <w:p>
            <w:r/>
            <w:r>
              <w:rPr>
                <w:b/>
                <w:color w:val="FFFFFF"/>
                <w:sz w:val="20"/>
              </w:rPr>
              <w:t>MediaPipe DFR %</w:t>
            </w:r>
          </w:p>
        </w:tc>
        <w:tc>
          <w:tcPr>
            <w:tcW w:type="dxa" w:w="2880"/>
            <w:shd w:val="clear" w:color="auto" w:fill="1F3964"/>
            <w:vAlign w:val="center"/>
          </w:tcPr>
          <w:p>
            <w:r/>
            <w:r>
              <w:rPr>
                <w:b/>
                <w:color w:val="FFFFFF"/>
                <w:sz w:val="20"/>
              </w:rPr>
              <w:t>OpenPose DFR %</w:t>
            </w:r>
          </w:p>
        </w:tc>
      </w:tr>
      <w:tr>
        <w:tc>
          <w:tcPr>
            <w:tcW w:type="dxa" w:w="3168"/>
            <w:shd w:val="clear" w:color="auto" w:fill="FFFFFF"/>
          </w:tcPr>
          <w:p>
            <w:r/>
            <w:r>
              <w:rPr>
                <w:sz w:val="19"/>
              </w:rPr>
              <w:t>Dim (&lt;100 lux)</w:t>
            </w:r>
          </w:p>
        </w:tc>
        <w:tc>
          <w:tcPr>
            <w:tcW w:type="dxa" w:w="2880"/>
            <w:shd w:val="clear" w:color="auto" w:fill="FFFFFF"/>
          </w:tcPr>
          <w:p>
            <w:r/>
            <w:r>
              <w:rPr>
                <w:sz w:val="19"/>
              </w:rPr>
              <w:t>28.6</w:t>
            </w:r>
          </w:p>
        </w:tc>
        <w:tc>
          <w:tcPr>
            <w:tcW w:type="dxa" w:w="2880"/>
            <w:shd w:val="clear" w:color="auto" w:fill="FFFFFF"/>
          </w:tcPr>
          <w:p>
            <w:r/>
            <w:r>
              <w:rPr>
                <w:sz w:val="19"/>
              </w:rPr>
              <w:t>21.7</w:t>
            </w:r>
          </w:p>
        </w:tc>
      </w:tr>
      <w:tr>
        <w:tc>
          <w:tcPr>
            <w:tcW w:type="dxa" w:w="3168"/>
            <w:shd w:val="clear" w:color="auto" w:fill="F5F7FA"/>
          </w:tcPr>
          <w:p>
            <w:r/>
            <w:r>
              <w:rPr>
                <w:sz w:val="19"/>
              </w:rPr>
              <w:t>Indoor (100-499 lux)</w:t>
            </w:r>
          </w:p>
        </w:tc>
        <w:tc>
          <w:tcPr>
            <w:tcW w:type="dxa" w:w="2880"/>
            <w:shd w:val="clear" w:color="auto" w:fill="F5F7FA"/>
          </w:tcPr>
          <w:p>
            <w:r/>
            <w:r>
              <w:rPr>
                <w:sz w:val="19"/>
              </w:rPr>
              <w:t>28.7</w:t>
            </w:r>
          </w:p>
        </w:tc>
        <w:tc>
          <w:tcPr>
            <w:tcW w:type="dxa" w:w="2880"/>
            <w:shd w:val="clear" w:color="auto" w:fill="F5F7FA"/>
          </w:tcPr>
          <w:p>
            <w:r/>
            <w:r>
              <w:rPr>
                <w:sz w:val="19"/>
              </w:rPr>
              <w:t>29.9</w:t>
            </w:r>
          </w:p>
        </w:tc>
      </w:tr>
      <w:tr>
        <w:tc>
          <w:tcPr>
            <w:tcW w:type="dxa" w:w="3168"/>
            <w:shd w:val="clear" w:color="auto" w:fill="FFFFFF"/>
          </w:tcPr>
          <w:p>
            <w:r/>
            <w:r>
              <w:rPr>
                <w:sz w:val="19"/>
              </w:rPr>
              <w:t>Bright (&gt;=500 lux)</w:t>
            </w:r>
          </w:p>
        </w:tc>
        <w:tc>
          <w:tcPr>
            <w:tcW w:type="dxa" w:w="2880"/>
            <w:shd w:val="clear" w:color="auto" w:fill="FFFFFF"/>
          </w:tcPr>
          <w:p>
            <w:r/>
            <w:r>
              <w:rPr>
                <w:sz w:val="19"/>
              </w:rPr>
              <w:t>—</w:t>
            </w:r>
          </w:p>
        </w:tc>
        <w:tc>
          <w:tcPr>
            <w:tcW w:type="dxa" w:w="2880"/>
            <w:shd w:val="clear" w:color="auto" w:fill="FFFFFF"/>
          </w:tcPr>
          <w:p>
            <w:r/>
            <w:r>
              <w:rPr>
                <w:sz w:val="19"/>
              </w:rPr>
              <w:t>—</w:t>
            </w:r>
          </w:p>
        </w:tc>
      </w:tr>
    </w:tbl>
    <w:p/>
    <w:p>
      <w:pPr>
        <w:jc w:val="center"/>
      </w:pPr>
      <w:r>
        <w:drawing>
          <wp:inline xmlns:a="http://schemas.openxmlformats.org/drawingml/2006/main" xmlns:pic="http://schemas.openxmlformats.org/drawingml/2006/picture">
            <wp:extent cx="5029200" cy="2740801"/>
            <wp:docPr id="21" name="Picture 21"/>
            <wp:cNvGraphicFramePr>
              <a:graphicFrameLocks noChangeAspect="1"/>
            </wp:cNvGraphicFramePr>
            <a:graphic>
              <a:graphicData uri="http://schemas.openxmlformats.org/drawingml/2006/picture">
                <pic:pic>
                  <pic:nvPicPr>
                    <pic:cNvPr id="0" name="p422_rId50.png"/>
                    <pic:cNvPicPr/>
                  </pic:nvPicPr>
                  <pic:blipFill>
                    <a:blip r:embed="rId29"/>
                    <a:stretch>
                      <a:fillRect/>
                    </a:stretch>
                  </pic:blipFill>
                  <pic:spPr>
                    <a:xfrm>
                      <a:off x="0" y="0"/>
                      <a:ext cx="5029200" cy="2740801"/>
                    </a:xfrm>
                    <a:prstGeom prst="rect"/>
                  </pic:spPr>
                </pic:pic>
              </a:graphicData>
            </a:graphic>
          </wp:inline>
        </w:drawing>
      </w:r>
    </w:p>
    <w:p>
      <w:pPr>
        <w:spacing w:after="160"/>
        <w:jc w:val="center"/>
      </w:pPr>
      <w:r>
        <w:rPr>
          <w:i/>
          <w:color w:val="808080"/>
          <w:sz w:val="18"/>
        </w:rPr>
        <w:t>Fig 8.1.5.a: Detection-fail rate by lighting condition</w:t>
      </w:r>
    </w:p>
    <w:p>
      <w:pPr>
        <w:shd w:val="clear" w:color="auto" w:fill="D1ECF1"/>
        <w:pBdr>
          <w:left w:val="single" w:sz="24" w:space="6" w:color="0C5460"/>
        </w:pBdr>
        <w:spacing w:before="80" w:after="120"/>
        <w:ind w:left="227" w:right="227"/>
      </w:pPr>
      <w:r>
        <w:rPr>
          <w:b/>
          <w:color w:val="0C5460"/>
        </w:rPr>
        <w:t xml:space="preserve">FINDING  </w:t>
      </w:r>
      <w:r>
        <w:rPr>
          <w:color w:val="0C5460"/>
        </w:rPr>
        <w:t>MediaPipe showed effectively zero difference between Dim and Indoor conditions (28.6% vs 28.7%).  Bright conditions were not represented in the dataset — all sessions were conducted indoors.</w:t>
      </w:r>
    </w:p>
    <w:p>
      <w:pPr>
        <w:pStyle w:val="Heading1"/>
      </w:pPr>
      <w:r>
        <w:rPr>
          <w:color w:val="1F3964"/>
        </w:rPr>
        <w:t>7.  MPJPE Results</w:t>
      </w:r>
    </w:p>
    <w:p>
      <w:pPr>
        <w:pStyle w:val="Heading2"/>
      </w:pPr>
      <w:r>
        <w:rPr>
          <w:color w:val="1F3964"/>
        </w:rPr>
        <w:t>7.1  Overall Model Comparison</w:t>
      </w:r>
    </w:p>
    <w:p>
      <w:r>
        <w:t>MPJPE is only computed over matched events (fingertip inside polygon).  OpenPose's lower MPJPE (5.87 px vs 6.07 px) is calculated on only 8.1% of total events, making direct comparison misleading — MediaPipe's result covers 63.3% of all events.</w:t>
      </w:r>
    </w:p>
    <w:tbl>
      <w:tblPr>
        <w:tblStyle w:val="TableGrid"/>
        <w:tblW w:type="auto" w:w="0"/>
        <w:tblLook w:firstColumn="1" w:firstRow="1" w:lastColumn="0" w:lastRow="0" w:noHBand="0" w:noVBand="1" w:val="04A0"/>
      </w:tblPr>
      <w:tblGrid>
        <w:gridCol w:w="3041"/>
        <w:gridCol w:w="3041"/>
        <w:gridCol w:w="3041"/>
      </w:tblGrid>
      <w:tr>
        <w:tc>
          <w:tcPr>
            <w:tcW w:type="dxa" w:w="3600"/>
            <w:shd w:val="clear" w:color="auto" w:fill="1F3964"/>
            <w:vAlign w:val="center"/>
          </w:tcPr>
          <w:p>
            <w:r/>
            <w:r>
              <w:rPr>
                <w:b/>
                <w:color w:val="FFFFFF"/>
                <w:sz w:val="20"/>
              </w:rPr>
              <w:t>Metric</w:t>
            </w:r>
          </w:p>
        </w:tc>
        <w:tc>
          <w:tcPr>
            <w:tcW w:type="dxa" w:w="2880"/>
            <w:shd w:val="clear" w:color="auto" w:fill="1F3964"/>
            <w:vAlign w:val="center"/>
          </w:tcPr>
          <w:p>
            <w:r/>
            <w:r>
              <w:rPr>
                <w:b/>
                <w:color w:val="FFFFFF"/>
                <w:sz w:val="20"/>
              </w:rPr>
              <w:t>MediaPipe</w:t>
            </w:r>
          </w:p>
        </w:tc>
        <w:tc>
          <w:tcPr>
            <w:tcW w:type="dxa" w:w="2880"/>
            <w:shd w:val="clear" w:color="auto" w:fill="1F3964"/>
            <w:vAlign w:val="center"/>
          </w:tcPr>
          <w:p>
            <w:r/>
            <w:r>
              <w:rPr>
                <w:b/>
                <w:color w:val="FFFFFF"/>
                <w:sz w:val="20"/>
              </w:rPr>
              <w:t>OpenPose</w:t>
            </w:r>
          </w:p>
        </w:tc>
      </w:tr>
      <w:tr>
        <w:tc>
          <w:tcPr>
            <w:tcW w:type="dxa" w:w="3600"/>
            <w:shd w:val="clear" w:color="auto" w:fill="FFFFFF"/>
          </w:tcPr>
          <w:p>
            <w:r/>
            <w:r>
              <w:rPr>
                <w:sz w:val="19"/>
              </w:rPr>
              <w:t>Mean MPJPE (px)</w:t>
            </w:r>
          </w:p>
        </w:tc>
        <w:tc>
          <w:tcPr>
            <w:tcW w:type="dxa" w:w="2880"/>
            <w:shd w:val="clear" w:color="auto" w:fill="FFFFFF"/>
          </w:tcPr>
          <w:p>
            <w:r/>
            <w:r>
              <w:rPr>
                <w:sz w:val="19"/>
              </w:rPr>
              <w:t>6.07</w:t>
            </w:r>
          </w:p>
        </w:tc>
        <w:tc>
          <w:tcPr>
            <w:tcW w:type="dxa" w:w="2880"/>
            <w:shd w:val="clear" w:color="auto" w:fill="FFFFFF"/>
          </w:tcPr>
          <w:p>
            <w:r/>
            <w:r>
              <w:rPr>
                <w:sz w:val="19"/>
              </w:rPr>
              <w:t>5.87</w:t>
            </w:r>
          </w:p>
        </w:tc>
      </w:tr>
      <w:tr>
        <w:tc>
          <w:tcPr>
            <w:tcW w:type="dxa" w:w="3600"/>
            <w:shd w:val="clear" w:color="auto" w:fill="F5F7FA"/>
          </w:tcPr>
          <w:p>
            <w:r/>
            <w:r>
              <w:rPr>
                <w:sz w:val="19"/>
              </w:rPr>
              <w:t>Median MPJPE (px)</w:t>
            </w:r>
          </w:p>
        </w:tc>
        <w:tc>
          <w:tcPr>
            <w:tcW w:type="dxa" w:w="2880"/>
            <w:shd w:val="clear" w:color="auto" w:fill="F5F7FA"/>
          </w:tcPr>
          <w:p>
            <w:r/>
            <w:r>
              <w:rPr>
                <w:sz w:val="19"/>
              </w:rPr>
              <w:t>5.1</w:t>
            </w:r>
          </w:p>
        </w:tc>
        <w:tc>
          <w:tcPr>
            <w:tcW w:type="dxa" w:w="2880"/>
            <w:shd w:val="clear" w:color="auto" w:fill="F5F7FA"/>
          </w:tcPr>
          <w:p>
            <w:r/>
            <w:r>
              <w:rPr>
                <w:sz w:val="19"/>
              </w:rPr>
              <w:t>4.9</w:t>
            </w:r>
          </w:p>
        </w:tc>
      </w:tr>
      <w:tr>
        <w:tc>
          <w:tcPr>
            <w:tcW w:type="dxa" w:w="3600"/>
            <w:shd w:val="clear" w:color="auto" w:fill="FFFFFF"/>
          </w:tcPr>
          <w:p>
            <w:r/>
            <w:r>
              <w:rPr>
                <w:sz w:val="19"/>
              </w:rPr>
              <w:t>Detection rate (%)</w:t>
            </w:r>
          </w:p>
        </w:tc>
        <w:tc>
          <w:tcPr>
            <w:tcW w:type="dxa" w:w="2880"/>
            <w:shd w:val="clear" w:color="auto" w:fill="FFFFFF"/>
          </w:tcPr>
          <w:p>
            <w:r/>
            <w:r>
              <w:rPr>
                <w:sz w:val="19"/>
              </w:rPr>
              <w:t>63.3</w:t>
            </w:r>
          </w:p>
        </w:tc>
        <w:tc>
          <w:tcPr>
            <w:tcW w:type="dxa" w:w="2880"/>
            <w:shd w:val="clear" w:color="auto" w:fill="FFFFFF"/>
          </w:tcPr>
          <w:p>
            <w:r/>
            <w:r>
              <w:rPr>
                <w:sz w:val="19"/>
              </w:rPr>
              <w:t>8.1</w:t>
            </w:r>
          </w:p>
        </w:tc>
      </w:tr>
      <w:tr>
        <w:tc>
          <w:tcPr>
            <w:tcW w:type="dxa" w:w="3600"/>
            <w:shd w:val="clear" w:color="auto" w:fill="F5F7FA"/>
          </w:tcPr>
          <w:p>
            <w:r/>
            <w:r>
              <w:rPr>
                <w:sz w:val="19"/>
              </w:rPr>
              <w:t>Events matched (n)</w:t>
            </w:r>
          </w:p>
        </w:tc>
        <w:tc>
          <w:tcPr>
            <w:tcW w:type="dxa" w:w="2880"/>
            <w:shd w:val="clear" w:color="auto" w:fill="F5F7FA"/>
          </w:tcPr>
          <w:p>
            <w:r/>
            <w:r>
              <w:rPr>
                <w:sz w:val="19"/>
              </w:rPr>
              <w:t>3,017</w:t>
            </w:r>
          </w:p>
        </w:tc>
        <w:tc>
          <w:tcPr>
            <w:tcW w:type="dxa" w:w="2880"/>
            <w:shd w:val="clear" w:color="auto" w:fill="F5F7FA"/>
          </w:tcPr>
          <w:p>
            <w:r/>
            <w:r>
              <w:rPr>
                <w:sz w:val="19"/>
              </w:rPr>
              <w:t>388</w:t>
            </w:r>
          </w:p>
        </w:tc>
      </w:tr>
    </w:tbl>
    <w:p/>
    <w:p>
      <w:pPr>
        <w:jc w:val="center"/>
      </w:pPr>
      <w:r>
        <w:drawing>
          <wp:inline xmlns:a="http://schemas.openxmlformats.org/drawingml/2006/main" xmlns:pic="http://schemas.openxmlformats.org/drawingml/2006/picture">
            <wp:extent cx="5029200" cy="4147383"/>
            <wp:docPr id="22" name="Picture 22"/>
            <wp:cNvGraphicFramePr>
              <a:graphicFrameLocks noChangeAspect="1"/>
            </wp:cNvGraphicFramePr>
            <a:graphic>
              <a:graphicData uri="http://schemas.openxmlformats.org/drawingml/2006/picture">
                <pic:pic>
                  <pic:nvPicPr>
                    <pic:cNvPr id="0" name="p437_rId51.png"/>
                    <pic:cNvPicPr/>
                  </pic:nvPicPr>
                  <pic:blipFill>
                    <a:blip r:embed="rId30"/>
                    <a:stretch>
                      <a:fillRect/>
                    </a:stretch>
                  </pic:blipFill>
                  <pic:spPr>
                    <a:xfrm>
                      <a:off x="0" y="0"/>
                      <a:ext cx="5029200" cy="4147383"/>
                    </a:xfrm>
                    <a:prstGeom prst="rect"/>
                  </pic:spPr>
                </pic:pic>
              </a:graphicData>
            </a:graphic>
          </wp:inline>
        </w:drawing>
      </w:r>
    </w:p>
    <w:p>
      <w:pPr>
        <w:spacing w:after="160"/>
        <w:jc w:val="center"/>
      </w:pPr>
      <w:r>
        <w:rPr>
          <w:i/>
          <w:color w:val="808080"/>
          <w:sz w:val="18"/>
        </w:rPr>
        <w:t>Fig 8.2.1.a: Overall MPJPE comparison — MediaPipe vs OpenPose</w:t>
      </w:r>
    </w:p>
    <w:p>
      <w:pPr>
        <w:pStyle w:val="Heading2"/>
      </w:pPr>
      <w:r>
        <w:rPr>
          <w:color w:val="1F3964"/>
        </w:rPr>
        <w:t>7.2  2D Mask Perspective Limitation</w:t>
      </w:r>
    </w:p>
    <w:p>
      <w:r>
        <w:t>When the camera is angled overhead, black keys further from the camera appear narrower and offset relative to their physical position.  The 2D polygon mask cannot fully compensate for this 3D key geometry.  Both models were tested against the same mask, so the bias is consistent and the comparative result remains valid.</w:t>
      </w:r>
    </w:p>
    <w:p/>
    <w:p>
      <w:pPr>
        <w:jc w:val="center"/>
      </w:pPr>
      <w:r>
        <w:drawing>
          <wp:inline xmlns:a="http://schemas.openxmlformats.org/drawingml/2006/main" xmlns:pic="http://schemas.openxmlformats.org/drawingml/2006/picture">
            <wp:extent cx="5029200" cy="5623367"/>
            <wp:docPr id="23" name="Picture 23"/>
            <wp:cNvGraphicFramePr>
              <a:graphicFrameLocks noChangeAspect="1"/>
            </wp:cNvGraphicFramePr>
            <a:graphic>
              <a:graphicData uri="http://schemas.openxmlformats.org/drawingml/2006/picture">
                <pic:pic>
                  <pic:nvPicPr>
                    <pic:cNvPr id="0" name="p444_rId52.png"/>
                    <pic:cNvPicPr/>
                  </pic:nvPicPr>
                  <pic:blipFill>
                    <a:blip r:embed="rId31"/>
                    <a:stretch>
                      <a:fillRect/>
                    </a:stretch>
                  </pic:blipFill>
                  <pic:spPr>
                    <a:xfrm>
                      <a:off x="0" y="0"/>
                      <a:ext cx="5029200" cy="5623367"/>
                    </a:xfrm>
                    <a:prstGeom prst="rect"/>
                  </pic:spPr>
                </pic:pic>
              </a:graphicData>
            </a:graphic>
          </wp:inline>
        </w:drawing>
      </w:r>
    </w:p>
    <w:p>
      <w:pPr>
        <w:spacing w:after="160"/>
        <w:jc w:val="center"/>
      </w:pPr>
      <w:r>
        <w:rPr>
          <w:i/>
          <w:color w:val="808080"/>
          <w:sz w:val="18"/>
        </w:rPr>
        <w:t>Fig 8.2.2.a: Black key 2D calibration mask misalignment due to camera perspective</w:t>
      </w:r>
    </w:p>
    <w:p>
      <w:pPr>
        <w:pStyle w:val="Heading2"/>
      </w:pPr>
      <w:r>
        <w:rPr>
          <w:color w:val="1F3964"/>
        </w:rPr>
        <w:t>7.3  MediaPipe Per-Finger MPJPE</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2160"/>
            <w:shd w:val="clear" w:color="auto" w:fill="1F3964"/>
            <w:vAlign w:val="center"/>
          </w:tcPr>
          <w:p>
            <w:r/>
            <w:r>
              <w:rPr>
                <w:b/>
                <w:color w:val="FFFFFF"/>
                <w:sz w:val="20"/>
              </w:rPr>
              <w:t>Hand</w:t>
            </w:r>
          </w:p>
        </w:tc>
        <w:tc>
          <w:tcPr>
            <w:tcW w:type="dxa" w:w="1440"/>
            <w:shd w:val="clear" w:color="auto" w:fill="1F3964"/>
            <w:vAlign w:val="center"/>
          </w:tcPr>
          <w:p>
            <w:r/>
            <w:r>
              <w:rPr>
                <w:b/>
                <w:color w:val="FFFFFF"/>
                <w:sz w:val="20"/>
              </w:rPr>
              <w:t>Thumb</w:t>
            </w:r>
          </w:p>
        </w:tc>
        <w:tc>
          <w:tcPr>
            <w:tcW w:type="dxa" w:w="1440"/>
            <w:shd w:val="clear" w:color="auto" w:fill="1F3964"/>
            <w:vAlign w:val="center"/>
          </w:tcPr>
          <w:p>
            <w:r/>
            <w:r>
              <w:rPr>
                <w:b/>
                <w:color w:val="FFFFFF"/>
                <w:sz w:val="20"/>
              </w:rPr>
              <w:t>Index</w:t>
            </w:r>
          </w:p>
        </w:tc>
        <w:tc>
          <w:tcPr>
            <w:tcW w:type="dxa" w:w="1440"/>
            <w:shd w:val="clear" w:color="auto" w:fill="1F3964"/>
            <w:vAlign w:val="center"/>
          </w:tcPr>
          <w:p>
            <w:r/>
            <w:r>
              <w:rPr>
                <w:b/>
                <w:color w:val="FFFFFF"/>
                <w:sz w:val="20"/>
              </w:rPr>
              <w:t>Middle</w:t>
            </w:r>
          </w:p>
        </w:tc>
        <w:tc>
          <w:tcPr>
            <w:tcW w:type="dxa" w:w="1440"/>
            <w:shd w:val="clear" w:color="auto" w:fill="1F3964"/>
            <w:vAlign w:val="center"/>
          </w:tcPr>
          <w:p>
            <w:r/>
            <w:r>
              <w:rPr>
                <w:b/>
                <w:color w:val="FFFFFF"/>
                <w:sz w:val="20"/>
              </w:rPr>
              <w:t>Ring</w:t>
            </w:r>
          </w:p>
        </w:tc>
        <w:tc>
          <w:tcPr>
            <w:tcW w:type="dxa" w:w="1440"/>
            <w:shd w:val="clear" w:color="auto" w:fill="1F3964"/>
            <w:vAlign w:val="center"/>
          </w:tcPr>
          <w:p>
            <w:r/>
            <w:r>
              <w:rPr>
                <w:b/>
                <w:color w:val="FFFFFF"/>
                <w:sz w:val="20"/>
              </w:rPr>
              <w:t>Pinky</w:t>
            </w:r>
          </w:p>
        </w:tc>
      </w:tr>
      <w:tr>
        <w:tc>
          <w:tcPr>
            <w:tcW w:type="dxa" w:w="2160"/>
            <w:shd w:val="clear" w:color="auto" w:fill="FFFFFF"/>
          </w:tcPr>
          <w:p>
            <w:r/>
            <w:r>
              <w:rPr>
                <w:sz w:val="19"/>
              </w:rPr>
              <w:t>Left  (MPJPE px)</w:t>
            </w:r>
          </w:p>
        </w:tc>
        <w:tc>
          <w:tcPr>
            <w:tcW w:type="dxa" w:w="1440"/>
            <w:shd w:val="clear" w:color="auto" w:fill="FFFFFF"/>
          </w:tcPr>
          <w:p>
            <w:r/>
            <w:r>
              <w:rPr>
                <w:sz w:val="19"/>
              </w:rPr>
              <w:t>5.7</w:t>
            </w:r>
          </w:p>
        </w:tc>
        <w:tc>
          <w:tcPr>
            <w:tcW w:type="dxa" w:w="1440"/>
            <w:shd w:val="clear" w:color="auto" w:fill="FFFFFF"/>
          </w:tcPr>
          <w:p>
            <w:r/>
            <w:r>
              <w:rPr>
                <w:sz w:val="19"/>
              </w:rPr>
              <w:t>5.8</w:t>
            </w:r>
          </w:p>
        </w:tc>
        <w:tc>
          <w:tcPr>
            <w:tcW w:type="dxa" w:w="1440"/>
            <w:shd w:val="clear" w:color="auto" w:fill="FFFFFF"/>
          </w:tcPr>
          <w:p>
            <w:r/>
            <w:r>
              <w:rPr>
                <w:sz w:val="19"/>
              </w:rPr>
              <w:t>6.5</w:t>
            </w:r>
          </w:p>
        </w:tc>
        <w:tc>
          <w:tcPr>
            <w:tcW w:type="dxa" w:w="1440"/>
            <w:shd w:val="clear" w:color="auto" w:fill="FFFFFF"/>
          </w:tcPr>
          <w:p>
            <w:r/>
            <w:r>
              <w:rPr>
                <w:sz w:val="19"/>
              </w:rPr>
              <w:t>6.6</w:t>
            </w:r>
          </w:p>
        </w:tc>
        <w:tc>
          <w:tcPr>
            <w:tcW w:type="dxa" w:w="1440"/>
            <w:shd w:val="clear" w:color="auto" w:fill="FFFFFF"/>
          </w:tcPr>
          <w:p>
            <w:r/>
            <w:r>
              <w:rPr>
                <w:sz w:val="19"/>
              </w:rPr>
              <w:t>5.5</w:t>
            </w:r>
          </w:p>
        </w:tc>
      </w:tr>
      <w:tr>
        <w:tc>
          <w:tcPr>
            <w:tcW w:type="dxa" w:w="2160"/>
            <w:shd w:val="clear" w:color="auto" w:fill="F5F7FA"/>
          </w:tcPr>
          <w:p>
            <w:r/>
            <w:r>
              <w:rPr>
                <w:sz w:val="19"/>
              </w:rPr>
              <w:t>Right (MPJPE px)</w:t>
            </w:r>
          </w:p>
        </w:tc>
        <w:tc>
          <w:tcPr>
            <w:tcW w:type="dxa" w:w="1440"/>
            <w:shd w:val="clear" w:color="auto" w:fill="F5F7FA"/>
          </w:tcPr>
          <w:p>
            <w:r/>
            <w:r>
              <w:rPr>
                <w:sz w:val="19"/>
              </w:rPr>
              <w:t>5.7</w:t>
            </w:r>
          </w:p>
        </w:tc>
        <w:tc>
          <w:tcPr>
            <w:tcW w:type="dxa" w:w="1440"/>
            <w:shd w:val="clear" w:color="auto" w:fill="F5F7FA"/>
          </w:tcPr>
          <w:p>
            <w:r/>
            <w:r>
              <w:rPr>
                <w:sz w:val="19"/>
              </w:rPr>
              <w:t>5.8</w:t>
            </w:r>
          </w:p>
        </w:tc>
        <w:tc>
          <w:tcPr>
            <w:tcW w:type="dxa" w:w="1440"/>
            <w:shd w:val="clear" w:color="auto" w:fill="F5F7FA"/>
          </w:tcPr>
          <w:p>
            <w:r/>
            <w:r>
              <w:rPr>
                <w:sz w:val="19"/>
              </w:rPr>
              <w:t>6.4</w:t>
            </w:r>
          </w:p>
        </w:tc>
        <w:tc>
          <w:tcPr>
            <w:tcW w:type="dxa" w:w="1440"/>
            <w:shd w:val="clear" w:color="auto" w:fill="F5F7FA"/>
          </w:tcPr>
          <w:p>
            <w:r/>
            <w:r>
              <w:rPr>
                <w:sz w:val="19"/>
              </w:rPr>
              <w:t>6.6</w:t>
            </w:r>
          </w:p>
        </w:tc>
        <w:tc>
          <w:tcPr>
            <w:tcW w:type="dxa" w:w="1440"/>
            <w:shd w:val="clear" w:color="auto" w:fill="F5F7FA"/>
          </w:tcPr>
          <w:p>
            <w:r/>
            <w:r>
              <w:rPr>
                <w:sz w:val="19"/>
              </w:rPr>
              <w:t>5.3</w:t>
            </w:r>
          </w:p>
        </w:tc>
      </w:tr>
    </w:tbl>
    <w:p/>
    <w:p>
      <w:pPr>
        <w:jc w:val="center"/>
      </w:pPr>
      <w:r>
        <w:drawing>
          <wp:inline xmlns:a="http://schemas.openxmlformats.org/drawingml/2006/main" xmlns:pic="http://schemas.openxmlformats.org/drawingml/2006/picture">
            <wp:extent cx="5029200" cy="1785800"/>
            <wp:docPr id="24" name="Picture 24"/>
            <wp:cNvGraphicFramePr>
              <a:graphicFrameLocks noChangeAspect="1"/>
            </wp:cNvGraphicFramePr>
            <a:graphic>
              <a:graphicData uri="http://schemas.openxmlformats.org/drawingml/2006/picture">
                <pic:pic>
                  <pic:nvPicPr>
                    <pic:cNvPr id="0" name="p450_rId54.png"/>
                    <pic:cNvPicPr/>
                  </pic:nvPicPr>
                  <pic:blipFill>
                    <a:blip r:embed="rId32"/>
                    <a:stretch>
                      <a:fillRect/>
                    </a:stretch>
                  </pic:blipFill>
                  <pic:spPr>
                    <a:xfrm>
                      <a:off x="0" y="0"/>
                      <a:ext cx="5029200" cy="1785800"/>
                    </a:xfrm>
                    <a:prstGeom prst="rect"/>
                  </pic:spPr>
                </pic:pic>
              </a:graphicData>
            </a:graphic>
          </wp:inline>
        </w:drawing>
      </w:r>
    </w:p>
    <w:p>
      <w:pPr>
        <w:spacing w:after="160"/>
        <w:jc w:val="center"/>
      </w:pPr>
      <w:r>
        <w:rPr>
          <w:i/>
          <w:color w:val="808080"/>
          <w:sz w:val="18"/>
        </w:rPr>
        <w:t>Fig 8.2.3.b: Per-finger MPJPE breakdown for MediaPipe — Left and Right hands</w:t>
      </w:r>
    </w:p>
    <w:p>
      <w:pPr>
        <w:jc w:val="center"/>
      </w:pPr>
      <w:r>
        <w:drawing>
          <wp:inline xmlns:a="http://schemas.openxmlformats.org/drawingml/2006/main" xmlns:pic="http://schemas.openxmlformats.org/drawingml/2006/picture">
            <wp:extent cx="5029200" cy="4170140"/>
            <wp:docPr id="25" name="Picture 25"/>
            <wp:cNvGraphicFramePr>
              <a:graphicFrameLocks noChangeAspect="1"/>
            </wp:cNvGraphicFramePr>
            <a:graphic>
              <a:graphicData uri="http://schemas.openxmlformats.org/drawingml/2006/picture">
                <pic:pic>
                  <pic:nvPicPr>
                    <pic:cNvPr id="0" name="p404_rId47.png"/>
                    <pic:cNvPicPr/>
                  </pic:nvPicPr>
                  <pic:blipFill>
                    <a:blip r:embed="rId26"/>
                    <a:stretch>
                      <a:fillRect/>
                    </a:stretch>
                  </pic:blipFill>
                  <pic:spPr>
                    <a:xfrm>
                      <a:off x="0" y="0"/>
                      <a:ext cx="5029200" cy="4170140"/>
                    </a:xfrm>
                    <a:prstGeom prst="rect"/>
                  </pic:spPr>
                </pic:pic>
              </a:graphicData>
            </a:graphic>
          </wp:inline>
        </w:drawing>
      </w:r>
    </w:p>
    <w:p>
      <w:pPr>
        <w:spacing w:after="160"/>
        <w:jc w:val="center"/>
      </w:pPr>
      <w:r>
        <w:rPr>
          <w:i/>
          <w:color w:val="808080"/>
          <w:sz w:val="18"/>
        </w:rPr>
        <w:t>Fig 8.2.3.d: MediaPipe per-hand polygon hit rate</w:t>
      </w:r>
    </w:p>
    <w:p>
      <w:pPr>
        <w:shd w:val="clear" w:color="auto" w:fill="D1ECF1"/>
        <w:pBdr>
          <w:left w:val="single" w:sz="24" w:space="6" w:color="0C5460"/>
        </w:pBdr>
        <w:spacing w:before="80" w:after="120"/>
        <w:ind w:left="227" w:right="227"/>
      </w:pPr>
      <w:r>
        <w:rPr>
          <w:b/>
          <w:color w:val="0C5460"/>
        </w:rPr>
        <w:t xml:space="preserve">FINDING  </w:t>
      </w:r>
      <w:r>
        <w:rPr>
          <w:color w:val="0C5460"/>
        </w:rPr>
        <w:t>Ring and Middle fingers consistently show the highest MPJPE across both hands (6.5-6.6 px), consistent with their anatomical tendency to move in coordination rather than independently.</w:t>
      </w:r>
    </w:p>
    <w:p>
      <w:pPr>
        <w:pStyle w:val="Heading2"/>
      </w:pPr>
      <w:r>
        <w:rPr>
          <w:color w:val="1F3964"/>
        </w:rPr>
        <w:t>7.4  OpenPose Per-Finger MPJPE</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2160"/>
            <w:shd w:val="clear" w:color="auto" w:fill="1F3964"/>
            <w:vAlign w:val="center"/>
          </w:tcPr>
          <w:p>
            <w:r/>
            <w:r>
              <w:rPr>
                <w:b/>
                <w:color w:val="FFFFFF"/>
                <w:sz w:val="20"/>
              </w:rPr>
              <w:t>Finger</w:t>
            </w:r>
          </w:p>
        </w:tc>
        <w:tc>
          <w:tcPr>
            <w:tcW w:type="dxa" w:w="1440"/>
            <w:shd w:val="clear" w:color="auto" w:fill="1F3964"/>
            <w:vAlign w:val="center"/>
          </w:tcPr>
          <w:p>
            <w:r/>
            <w:r>
              <w:rPr>
                <w:b/>
                <w:color w:val="FFFFFF"/>
                <w:sz w:val="20"/>
              </w:rPr>
              <w:t>Thumb</w:t>
            </w:r>
          </w:p>
        </w:tc>
        <w:tc>
          <w:tcPr>
            <w:tcW w:type="dxa" w:w="1440"/>
            <w:shd w:val="clear" w:color="auto" w:fill="1F3964"/>
            <w:vAlign w:val="center"/>
          </w:tcPr>
          <w:p>
            <w:r/>
            <w:r>
              <w:rPr>
                <w:b/>
                <w:color w:val="FFFFFF"/>
                <w:sz w:val="20"/>
              </w:rPr>
              <w:t>Index</w:t>
            </w:r>
          </w:p>
        </w:tc>
        <w:tc>
          <w:tcPr>
            <w:tcW w:type="dxa" w:w="1440"/>
            <w:shd w:val="clear" w:color="auto" w:fill="1F3964"/>
            <w:vAlign w:val="center"/>
          </w:tcPr>
          <w:p>
            <w:r/>
            <w:r>
              <w:rPr>
                <w:b/>
                <w:color w:val="FFFFFF"/>
                <w:sz w:val="20"/>
              </w:rPr>
              <w:t>Middle</w:t>
            </w:r>
          </w:p>
        </w:tc>
        <w:tc>
          <w:tcPr>
            <w:tcW w:type="dxa" w:w="1440"/>
            <w:shd w:val="clear" w:color="auto" w:fill="1F3964"/>
            <w:vAlign w:val="center"/>
          </w:tcPr>
          <w:p>
            <w:r/>
            <w:r>
              <w:rPr>
                <w:b/>
                <w:color w:val="FFFFFF"/>
                <w:sz w:val="20"/>
              </w:rPr>
              <w:t>Ring</w:t>
            </w:r>
          </w:p>
        </w:tc>
        <w:tc>
          <w:tcPr>
            <w:tcW w:type="dxa" w:w="1440"/>
            <w:shd w:val="clear" w:color="auto" w:fill="1F3964"/>
            <w:vAlign w:val="center"/>
          </w:tcPr>
          <w:p>
            <w:r/>
            <w:r>
              <w:rPr>
                <w:b/>
                <w:color w:val="FFFFFF"/>
                <w:sz w:val="20"/>
              </w:rPr>
              <w:t>Pinky</w:t>
            </w:r>
          </w:p>
        </w:tc>
      </w:tr>
      <w:tr>
        <w:tc>
          <w:tcPr>
            <w:tcW w:type="dxa" w:w="2160"/>
            <w:shd w:val="clear" w:color="auto" w:fill="FFFFFF"/>
          </w:tcPr>
          <w:p>
            <w:r/>
            <w:r>
              <w:rPr>
                <w:sz w:val="19"/>
              </w:rPr>
              <w:t>MPJPE (px)</w:t>
            </w:r>
          </w:p>
        </w:tc>
        <w:tc>
          <w:tcPr>
            <w:tcW w:type="dxa" w:w="1440"/>
            <w:shd w:val="clear" w:color="auto" w:fill="FFFFFF"/>
          </w:tcPr>
          <w:p>
            <w:r/>
            <w:r>
              <w:rPr>
                <w:sz w:val="19"/>
              </w:rPr>
              <w:t>6.9</w:t>
            </w:r>
          </w:p>
        </w:tc>
        <w:tc>
          <w:tcPr>
            <w:tcW w:type="dxa" w:w="1440"/>
            <w:shd w:val="clear" w:color="auto" w:fill="FFFFFF"/>
          </w:tcPr>
          <w:p>
            <w:r/>
            <w:r>
              <w:rPr>
                <w:sz w:val="19"/>
              </w:rPr>
              <w:t>5.8</w:t>
            </w:r>
          </w:p>
        </w:tc>
        <w:tc>
          <w:tcPr>
            <w:tcW w:type="dxa" w:w="1440"/>
            <w:shd w:val="clear" w:color="auto" w:fill="FFFFFF"/>
          </w:tcPr>
          <w:p>
            <w:r/>
            <w:r>
              <w:rPr>
                <w:sz w:val="19"/>
              </w:rPr>
              <w:t>6.1</w:t>
            </w:r>
          </w:p>
        </w:tc>
        <w:tc>
          <w:tcPr>
            <w:tcW w:type="dxa" w:w="1440"/>
            <w:shd w:val="clear" w:color="auto" w:fill="FFFFFF"/>
          </w:tcPr>
          <w:p>
            <w:r/>
            <w:r>
              <w:rPr>
                <w:sz w:val="19"/>
              </w:rPr>
              <w:t>6.1</w:t>
            </w:r>
          </w:p>
        </w:tc>
        <w:tc>
          <w:tcPr>
            <w:tcW w:type="dxa" w:w="1440"/>
            <w:shd w:val="clear" w:color="auto" w:fill="FFFFFF"/>
          </w:tcPr>
          <w:p>
            <w:r/>
            <w:r>
              <w:rPr>
                <w:sz w:val="19"/>
              </w:rPr>
              <w:t>4.4</w:t>
            </w:r>
          </w:p>
        </w:tc>
      </w:tr>
    </w:tbl>
    <w:p/>
    <w:p>
      <w:pPr>
        <w:jc w:val="center"/>
      </w:pPr>
      <w:r>
        <w:drawing>
          <wp:inline xmlns:a="http://schemas.openxmlformats.org/drawingml/2006/main" xmlns:pic="http://schemas.openxmlformats.org/drawingml/2006/picture">
            <wp:extent cx="5029200" cy="3599234"/>
            <wp:docPr id="26" name="Picture 26"/>
            <wp:cNvGraphicFramePr>
              <a:graphicFrameLocks noChangeAspect="1"/>
            </wp:cNvGraphicFramePr>
            <a:graphic>
              <a:graphicData uri="http://schemas.openxmlformats.org/drawingml/2006/picture">
                <pic:pic>
                  <pic:nvPicPr>
                    <pic:cNvPr id="0" name="p457_rId55.png"/>
                    <pic:cNvPicPr/>
                  </pic:nvPicPr>
                  <pic:blipFill>
                    <a:blip r:embed="rId33"/>
                    <a:stretch>
                      <a:fillRect/>
                    </a:stretch>
                  </pic:blipFill>
                  <pic:spPr>
                    <a:xfrm>
                      <a:off x="0" y="0"/>
                      <a:ext cx="5029200" cy="3599234"/>
                    </a:xfrm>
                    <a:prstGeom prst="rect"/>
                  </pic:spPr>
                </pic:pic>
              </a:graphicData>
            </a:graphic>
          </wp:inline>
        </w:drawing>
      </w:r>
    </w:p>
    <w:p>
      <w:pPr>
        <w:spacing w:after="160"/>
        <w:jc w:val="center"/>
      </w:pPr>
      <w:r>
        <w:rPr>
          <w:i/>
          <w:color w:val="808080"/>
          <w:sz w:val="18"/>
        </w:rPr>
        <w:t>Fig 8.2.4.b: OpenPose per-finger MPJPE — both hands combined</w:t>
      </w:r>
    </w:p>
    <w:p>
      <w:pPr>
        <w:shd w:val="clear" w:color="auto" w:fill="D1ECF1"/>
        <w:pBdr>
          <w:left w:val="single" w:sz="24" w:space="6" w:color="0C5460"/>
        </w:pBdr>
        <w:spacing w:before="80" w:after="120"/>
        <w:ind w:left="227" w:right="227"/>
      </w:pPr>
      <w:r>
        <w:rPr>
          <w:b/>
          <w:color w:val="0C5460"/>
        </w:rPr>
        <w:t xml:space="preserve">FINDING  </w:t>
      </w:r>
      <w:r>
        <w:rPr>
          <w:color w:val="0C5460"/>
        </w:rPr>
        <w:t>OpenPose shows the inverse pattern to MediaPipe: highest MPJPE at the Thumb (6.9 px), lowest at Pinky (4.4 px).  This may reflect the different cropping strategy used for OpenPose inference.</w:t>
      </w:r>
    </w:p>
    <w:p>
      <w:pPr>
        <w:pStyle w:val="Heading1"/>
      </w:pPr>
      <w:r>
        <w:rPr>
          <w:color w:val="1F3964"/>
        </w:rPr>
        <w:t>8.  Effect of Skin Tone on MPJPE</w:t>
      </w:r>
    </w:p>
    <w:tbl>
      <w:tblPr>
        <w:tblStyle w:val="TableGrid"/>
        <w:tblW w:type="auto" w:w="0"/>
        <w:tblLook w:firstColumn="1" w:firstRow="1" w:lastColumn="0" w:lastRow="0" w:noHBand="0" w:noVBand="1" w:val="04A0"/>
      </w:tblPr>
      <w:tblGrid>
        <w:gridCol w:w="3041"/>
        <w:gridCol w:w="3041"/>
        <w:gridCol w:w="3041"/>
      </w:tblGrid>
      <w:tr>
        <w:tc>
          <w:tcPr>
            <w:tcW w:type="dxa" w:w="2880"/>
            <w:shd w:val="clear" w:color="auto" w:fill="1F3964"/>
            <w:vAlign w:val="center"/>
          </w:tcPr>
          <w:p>
            <w:r/>
            <w:r>
              <w:rPr>
                <w:b/>
                <w:color w:val="FFFFFF"/>
                <w:sz w:val="20"/>
              </w:rPr>
              <w:t>Fitzpatrick Type</w:t>
            </w:r>
          </w:p>
        </w:tc>
        <w:tc>
          <w:tcPr>
            <w:tcW w:type="dxa" w:w="3168"/>
            <w:shd w:val="clear" w:color="auto" w:fill="1F3964"/>
            <w:vAlign w:val="center"/>
          </w:tcPr>
          <w:p>
            <w:r/>
            <w:r>
              <w:rPr>
                <w:b/>
                <w:color w:val="FFFFFF"/>
                <w:sz w:val="20"/>
              </w:rPr>
              <w:t>MediaPipe MPJPE (px)</w:t>
            </w:r>
          </w:p>
        </w:tc>
        <w:tc>
          <w:tcPr>
            <w:tcW w:type="dxa" w:w="3168"/>
            <w:shd w:val="clear" w:color="auto" w:fill="1F3964"/>
            <w:vAlign w:val="center"/>
          </w:tcPr>
          <w:p>
            <w:r/>
            <w:r>
              <w:rPr>
                <w:b/>
                <w:color w:val="FFFFFF"/>
                <w:sz w:val="20"/>
              </w:rPr>
              <w:t>OpenPose MPJPE (px)</w:t>
            </w:r>
          </w:p>
        </w:tc>
      </w:tr>
      <w:tr>
        <w:tc>
          <w:tcPr>
            <w:tcW w:type="dxa" w:w="2880"/>
            <w:shd w:val="clear" w:color="auto" w:fill="FFFFFF"/>
          </w:tcPr>
          <w:p>
            <w:r/>
            <w:r>
              <w:rPr>
                <w:sz w:val="19"/>
              </w:rPr>
              <w:t>Type II</w:t>
            </w:r>
          </w:p>
        </w:tc>
        <w:tc>
          <w:tcPr>
            <w:tcW w:type="dxa" w:w="3168"/>
            <w:shd w:val="clear" w:color="auto" w:fill="FFFFFF"/>
          </w:tcPr>
          <w:p>
            <w:r/>
            <w:r>
              <w:rPr>
                <w:sz w:val="19"/>
              </w:rPr>
              <w:t>5.51</w:t>
            </w:r>
          </w:p>
        </w:tc>
        <w:tc>
          <w:tcPr>
            <w:tcW w:type="dxa" w:w="3168"/>
            <w:shd w:val="clear" w:color="auto" w:fill="FFFFFF"/>
          </w:tcPr>
          <w:p>
            <w:r/>
            <w:r>
              <w:rPr>
                <w:sz w:val="19"/>
              </w:rPr>
              <w:t>6.41</w:t>
            </w:r>
          </w:p>
        </w:tc>
      </w:tr>
      <w:tr>
        <w:tc>
          <w:tcPr>
            <w:tcW w:type="dxa" w:w="2880"/>
            <w:shd w:val="clear" w:color="auto" w:fill="F5F7FA"/>
          </w:tcPr>
          <w:p>
            <w:r/>
            <w:r>
              <w:rPr>
                <w:sz w:val="19"/>
              </w:rPr>
              <w:t>Type III</w:t>
            </w:r>
          </w:p>
        </w:tc>
        <w:tc>
          <w:tcPr>
            <w:tcW w:type="dxa" w:w="3168"/>
            <w:shd w:val="clear" w:color="auto" w:fill="F5F7FA"/>
          </w:tcPr>
          <w:p>
            <w:r/>
            <w:r>
              <w:rPr>
                <w:sz w:val="19"/>
              </w:rPr>
              <w:t>6.02</w:t>
            </w:r>
          </w:p>
        </w:tc>
        <w:tc>
          <w:tcPr>
            <w:tcW w:type="dxa" w:w="3168"/>
            <w:shd w:val="clear" w:color="auto" w:fill="F5F7FA"/>
          </w:tcPr>
          <w:p>
            <w:r/>
            <w:r>
              <w:rPr>
                <w:sz w:val="19"/>
              </w:rPr>
              <w:t>5.70</w:t>
            </w:r>
          </w:p>
        </w:tc>
      </w:tr>
      <w:tr>
        <w:tc>
          <w:tcPr>
            <w:tcW w:type="dxa" w:w="2880"/>
            <w:shd w:val="clear" w:color="auto" w:fill="FFFFFF"/>
          </w:tcPr>
          <w:p>
            <w:r/>
            <w:r>
              <w:rPr>
                <w:sz w:val="19"/>
              </w:rPr>
              <w:t>Type IV</w:t>
            </w:r>
          </w:p>
        </w:tc>
        <w:tc>
          <w:tcPr>
            <w:tcW w:type="dxa" w:w="3168"/>
            <w:shd w:val="clear" w:color="auto" w:fill="FFFFFF"/>
          </w:tcPr>
          <w:p>
            <w:r/>
            <w:r>
              <w:rPr>
                <w:sz w:val="19"/>
              </w:rPr>
              <w:t>6.39</w:t>
            </w:r>
          </w:p>
        </w:tc>
        <w:tc>
          <w:tcPr>
            <w:tcW w:type="dxa" w:w="3168"/>
            <w:shd w:val="clear" w:color="auto" w:fill="FFFFFF"/>
          </w:tcPr>
          <w:p>
            <w:r/>
            <w:r>
              <w:rPr>
                <w:sz w:val="19"/>
              </w:rPr>
              <w:t>5.53</w:t>
            </w:r>
          </w:p>
        </w:tc>
      </w:tr>
      <w:tr>
        <w:tc>
          <w:tcPr>
            <w:tcW w:type="dxa" w:w="2880"/>
            <w:shd w:val="clear" w:color="auto" w:fill="F5F7FA"/>
          </w:tcPr>
          <w:p>
            <w:r/>
            <w:r>
              <w:rPr>
                <w:sz w:val="19"/>
              </w:rPr>
              <w:t>Type V</w:t>
            </w:r>
          </w:p>
        </w:tc>
        <w:tc>
          <w:tcPr>
            <w:tcW w:type="dxa" w:w="3168"/>
            <w:shd w:val="clear" w:color="auto" w:fill="F5F7FA"/>
          </w:tcPr>
          <w:p>
            <w:r/>
            <w:r>
              <w:rPr>
                <w:sz w:val="19"/>
              </w:rPr>
              <w:t>5.96</w:t>
            </w:r>
          </w:p>
        </w:tc>
        <w:tc>
          <w:tcPr>
            <w:tcW w:type="dxa" w:w="3168"/>
            <w:shd w:val="clear" w:color="auto" w:fill="F5F7FA"/>
          </w:tcPr>
          <w:p>
            <w:r/>
            <w:r>
              <w:rPr>
                <w:sz w:val="19"/>
              </w:rPr>
              <w:t>6.34</w:t>
            </w:r>
          </w:p>
        </w:tc>
      </w:tr>
    </w:tbl>
    <w:p/>
    <w:p>
      <w:pPr>
        <w:jc w:val="center"/>
      </w:pPr>
      <w:r>
        <w:drawing>
          <wp:inline xmlns:a="http://schemas.openxmlformats.org/drawingml/2006/main" xmlns:pic="http://schemas.openxmlformats.org/drawingml/2006/picture">
            <wp:extent cx="5029200" cy="3545732"/>
            <wp:docPr id="27" name="Picture 27"/>
            <wp:cNvGraphicFramePr>
              <a:graphicFrameLocks noChangeAspect="1"/>
            </wp:cNvGraphicFramePr>
            <a:graphic>
              <a:graphicData uri="http://schemas.openxmlformats.org/drawingml/2006/picture">
                <pic:pic>
                  <pic:nvPicPr>
                    <pic:cNvPr id="0" name="p476_rId56.png"/>
                    <pic:cNvPicPr/>
                  </pic:nvPicPr>
                  <pic:blipFill>
                    <a:blip r:embed="rId34"/>
                    <a:stretch>
                      <a:fillRect/>
                    </a:stretch>
                  </pic:blipFill>
                  <pic:spPr>
                    <a:xfrm>
                      <a:off x="0" y="0"/>
                      <a:ext cx="5029200" cy="3545732"/>
                    </a:xfrm>
                    <a:prstGeom prst="rect"/>
                  </pic:spPr>
                </pic:pic>
              </a:graphicData>
            </a:graphic>
          </wp:inline>
        </w:drawing>
      </w:r>
    </w:p>
    <w:p>
      <w:pPr>
        <w:spacing w:after="160"/>
        <w:jc w:val="center"/>
      </w:pPr>
      <w:r>
        <w:rPr>
          <w:i/>
          <w:color w:val="808080"/>
          <w:sz w:val="18"/>
        </w:rPr>
        <w:t>Fig 8.3.2.b: Mean MPJPE per Fitzpatrick type — MediaPipe and OpenPose</w:t>
      </w:r>
    </w:p>
    <w:p>
      <w:pPr>
        <w:shd w:val="clear" w:color="auto" w:fill="D1ECF1"/>
        <w:pBdr>
          <w:left w:val="single" w:sz="24" w:space="6" w:color="0C5460"/>
        </w:pBdr>
        <w:spacing w:before="80" w:after="120"/>
        <w:ind w:left="227" w:right="227"/>
      </w:pPr>
      <w:r>
        <w:rPr>
          <w:b/>
          <w:color w:val="0C5460"/>
        </w:rPr>
        <w:t xml:space="preserve">FINDING  </w:t>
      </w:r>
      <w:r>
        <w:rPr>
          <w:color w:val="0C5460"/>
        </w:rPr>
        <w:t>MediaPipe shows a mild upward trend from Type II (5.51 px) to Type IV (6.39 px), but the difference is small.  Types I and VI were not represented in the dataset.  OpenPose shows no consistent trend.</w:t>
      </w:r>
    </w:p>
    <w:p>
      <w:pPr>
        <w:pStyle w:val="Heading1"/>
      </w:pPr>
      <w:r>
        <w:rPr>
          <w:color w:val="1F3964"/>
        </w:rPr>
        <w:t>9.  Effect of Lighting on MPJPE</w:t>
      </w:r>
    </w:p>
    <w:tbl>
      <w:tblPr>
        <w:tblStyle w:val="TableGrid"/>
        <w:tblW w:type="auto" w:w="0"/>
        <w:tblLook w:firstColumn="1" w:firstRow="1" w:lastColumn="0" w:lastRow="0" w:noHBand="0" w:noVBand="1" w:val="04A0"/>
      </w:tblPr>
      <w:tblGrid>
        <w:gridCol w:w="3041"/>
        <w:gridCol w:w="3041"/>
        <w:gridCol w:w="3041"/>
      </w:tblGrid>
      <w:tr>
        <w:tc>
          <w:tcPr>
            <w:tcW w:type="dxa" w:w="2880"/>
            <w:shd w:val="clear" w:color="auto" w:fill="1F3964"/>
            <w:vAlign w:val="center"/>
          </w:tcPr>
          <w:p>
            <w:r/>
            <w:r>
              <w:rPr>
                <w:b/>
                <w:color w:val="FFFFFF"/>
                <w:sz w:val="20"/>
              </w:rPr>
              <w:t>Condition</w:t>
            </w:r>
          </w:p>
        </w:tc>
        <w:tc>
          <w:tcPr>
            <w:tcW w:type="dxa" w:w="4032"/>
            <w:shd w:val="clear" w:color="auto" w:fill="1F3964"/>
            <w:vAlign w:val="center"/>
          </w:tcPr>
          <w:p>
            <w:r/>
            <w:r>
              <w:rPr>
                <w:b/>
                <w:color w:val="FFFFFF"/>
                <w:sz w:val="20"/>
              </w:rPr>
              <w:t>MediaPipe (px)</w:t>
            </w:r>
          </w:p>
        </w:tc>
        <w:tc>
          <w:tcPr>
            <w:tcW w:type="dxa" w:w="2880"/>
            <w:shd w:val="clear" w:color="auto" w:fill="1F3964"/>
            <w:vAlign w:val="center"/>
          </w:tcPr>
          <w:p>
            <w:r/>
            <w:r>
              <w:rPr>
                <w:b/>
                <w:color w:val="FFFFFF"/>
                <w:sz w:val="20"/>
              </w:rPr>
              <w:t>OpenPose (px)</w:t>
            </w:r>
          </w:p>
        </w:tc>
      </w:tr>
      <w:tr>
        <w:tc>
          <w:tcPr>
            <w:tcW w:type="dxa" w:w="2880"/>
            <w:shd w:val="clear" w:color="auto" w:fill="FFFFFF"/>
          </w:tcPr>
          <w:p>
            <w:r/>
            <w:r>
              <w:rPr>
                <w:sz w:val="19"/>
              </w:rPr>
              <w:t>Dim (&lt;100 lux)</w:t>
            </w:r>
          </w:p>
        </w:tc>
        <w:tc>
          <w:tcPr>
            <w:tcW w:type="dxa" w:w="4032"/>
            <w:shd w:val="clear" w:color="auto" w:fill="FFFFFF"/>
          </w:tcPr>
          <w:p>
            <w:r/>
            <w:r>
              <w:rPr>
                <w:sz w:val="19"/>
              </w:rPr>
              <w:t>6.03 (SD=1.16, n=28)</w:t>
            </w:r>
          </w:p>
        </w:tc>
        <w:tc>
          <w:tcPr>
            <w:tcW w:type="dxa" w:w="2880"/>
            <w:shd w:val="clear" w:color="auto" w:fill="FFFFFF"/>
          </w:tcPr>
          <w:p>
            <w:r/>
            <w:r>
              <w:rPr>
                <w:sz w:val="19"/>
              </w:rPr>
              <w:t>6.17</w:t>
            </w:r>
          </w:p>
        </w:tc>
      </w:tr>
      <w:tr>
        <w:tc>
          <w:tcPr>
            <w:tcW w:type="dxa" w:w="2880"/>
            <w:shd w:val="clear" w:color="auto" w:fill="F5F7FA"/>
          </w:tcPr>
          <w:p>
            <w:r/>
            <w:r>
              <w:rPr>
                <w:sz w:val="19"/>
              </w:rPr>
              <w:t>Indoor (100-499 lux)</w:t>
            </w:r>
          </w:p>
        </w:tc>
        <w:tc>
          <w:tcPr>
            <w:tcW w:type="dxa" w:w="4032"/>
            <w:shd w:val="clear" w:color="auto" w:fill="F5F7FA"/>
          </w:tcPr>
          <w:p>
            <w:r/>
            <w:r>
              <w:rPr>
                <w:sz w:val="19"/>
              </w:rPr>
              <w:t>6.08 (SD=1.01, n=10)</w:t>
            </w:r>
          </w:p>
        </w:tc>
        <w:tc>
          <w:tcPr>
            <w:tcW w:type="dxa" w:w="2880"/>
            <w:shd w:val="clear" w:color="auto" w:fill="F5F7FA"/>
          </w:tcPr>
          <w:p>
            <w:r/>
            <w:r>
              <w:rPr>
                <w:sz w:val="19"/>
              </w:rPr>
              <w:t>5.04</w:t>
            </w:r>
          </w:p>
        </w:tc>
      </w:tr>
    </w:tbl>
    <w:p/>
    <w:p>
      <w:pPr>
        <w:jc w:val="center"/>
      </w:pPr>
      <w:r>
        <w:drawing>
          <wp:inline xmlns:a="http://schemas.openxmlformats.org/drawingml/2006/main" xmlns:pic="http://schemas.openxmlformats.org/drawingml/2006/picture">
            <wp:extent cx="5029200" cy="2755881"/>
            <wp:docPr id="28" name="Picture 28"/>
            <wp:cNvGraphicFramePr>
              <a:graphicFrameLocks noChangeAspect="1"/>
            </wp:cNvGraphicFramePr>
            <a:graphic>
              <a:graphicData uri="http://schemas.openxmlformats.org/drawingml/2006/picture">
                <pic:pic>
                  <pic:nvPicPr>
                    <pic:cNvPr id="0" name="p489_rId57.png"/>
                    <pic:cNvPicPr/>
                  </pic:nvPicPr>
                  <pic:blipFill>
                    <a:blip r:embed="rId35"/>
                    <a:stretch>
                      <a:fillRect/>
                    </a:stretch>
                  </pic:blipFill>
                  <pic:spPr>
                    <a:xfrm>
                      <a:off x="0" y="0"/>
                      <a:ext cx="5029200" cy="2755881"/>
                    </a:xfrm>
                    <a:prstGeom prst="rect"/>
                  </pic:spPr>
                </pic:pic>
              </a:graphicData>
            </a:graphic>
          </wp:inline>
        </w:drawing>
      </w:r>
    </w:p>
    <w:p>
      <w:pPr>
        <w:spacing w:after="160"/>
        <w:jc w:val="center"/>
      </w:pPr>
      <w:r>
        <w:rPr>
          <w:i/>
          <w:color w:val="808080"/>
          <w:sz w:val="18"/>
        </w:rPr>
        <w:t>Fig 8.4.2.b: Mean MPJPE per lighting category — MediaPipe and OpenPose</w:t>
      </w:r>
    </w:p>
    <w:p>
      <w:pPr>
        <w:jc w:val="center"/>
      </w:pPr>
      <w:r>
        <w:drawing>
          <wp:inline xmlns:a="http://schemas.openxmlformats.org/drawingml/2006/main" xmlns:pic="http://schemas.openxmlformats.org/drawingml/2006/picture">
            <wp:extent cx="5029200" cy="2755881"/>
            <wp:docPr id="29" name="Picture 29"/>
            <wp:cNvGraphicFramePr>
              <a:graphicFrameLocks noChangeAspect="1"/>
            </wp:cNvGraphicFramePr>
            <a:graphic>
              <a:graphicData uri="http://schemas.openxmlformats.org/drawingml/2006/picture">
                <pic:pic>
                  <pic:nvPicPr>
                    <pic:cNvPr id="0" name="p491_rId58.png"/>
                    <pic:cNvPicPr/>
                  </pic:nvPicPr>
                  <pic:blipFill>
                    <a:blip r:embed="rId36"/>
                    <a:stretch>
                      <a:fillRect/>
                    </a:stretch>
                  </pic:blipFill>
                  <pic:spPr>
                    <a:xfrm>
                      <a:off x="0" y="0"/>
                      <a:ext cx="5029200" cy="2755881"/>
                    </a:xfrm>
                    <a:prstGeom prst="rect"/>
                  </pic:spPr>
                </pic:pic>
              </a:graphicData>
            </a:graphic>
          </wp:inline>
        </w:drawing>
      </w:r>
    </w:p>
    <w:p>
      <w:pPr>
        <w:spacing w:after="160"/>
        <w:jc w:val="center"/>
      </w:pPr>
      <w:r>
        <w:rPr>
          <w:i/>
          <w:color w:val="808080"/>
          <w:sz w:val="18"/>
        </w:rPr>
        <w:t>Fig 8.4.2.c: MPJPE vs lux level scatter plot</w:t>
      </w:r>
    </w:p>
    <w:p>
      <w:pPr>
        <w:shd w:val="clear" w:color="auto" w:fill="D1ECF1"/>
        <w:pBdr>
          <w:left w:val="single" w:sz="24" w:space="6" w:color="0C5460"/>
        </w:pBdr>
        <w:spacing w:before="80" w:after="120"/>
        <w:ind w:left="227" w:right="227"/>
      </w:pPr>
      <w:r>
        <w:rPr>
          <w:b/>
          <w:color w:val="0C5460"/>
        </w:rPr>
        <w:t xml:space="preserve">FINDING  </w:t>
      </w:r>
      <w:r>
        <w:rPr>
          <w:color w:val="0C5460"/>
        </w:rPr>
        <w:t>MediaPipe showed no meaningful difference between Dim and Indoor conditions (6.03 vs 6.08 px).  OpenPose showed more variation (6.17 vs 5.04 px) but with a small indoor sample (n=10).  Bright conditions (&gt;=500 lux) were not represented.</w:t>
      </w:r>
    </w:p>
    <w:p>
      <w:pPr>
        <w:pStyle w:val="Heading1"/>
      </w:pPr>
      <w:r>
        <w:rPr>
          <w:color w:val="1F3964"/>
        </w:rPr>
        <w:t>10.  Effect of Hand Size on MPJPE</w:t>
      </w:r>
    </w:p>
    <w:tbl>
      <w:tblPr>
        <w:tblStyle w:val="TableGrid"/>
        <w:tblW w:type="auto" w:w="0"/>
        <w:tblLook w:firstColumn="1" w:firstRow="1" w:lastColumn="0" w:lastRow="0" w:noHBand="0" w:noVBand="1" w:val="04A0"/>
      </w:tblPr>
      <w:tblGrid>
        <w:gridCol w:w="3041"/>
        <w:gridCol w:w="3041"/>
        <w:gridCol w:w="3041"/>
      </w:tblGrid>
      <w:tr>
        <w:tc>
          <w:tcPr>
            <w:tcW w:type="dxa" w:w="3600"/>
            <w:shd w:val="clear" w:color="auto" w:fill="1F3964"/>
            <w:vAlign w:val="center"/>
          </w:tcPr>
          <w:p>
            <w:r/>
            <w:r>
              <w:rPr>
                <w:b/>
                <w:color w:val="FFFFFF"/>
                <w:sz w:val="20"/>
              </w:rPr>
              <w:t>Metric</w:t>
            </w:r>
          </w:p>
        </w:tc>
        <w:tc>
          <w:tcPr>
            <w:tcW w:type="dxa" w:w="2880"/>
            <w:shd w:val="clear" w:color="auto" w:fill="1F3964"/>
            <w:vAlign w:val="center"/>
          </w:tcPr>
          <w:p>
            <w:r/>
            <w:r>
              <w:rPr>
                <w:b/>
                <w:color w:val="FFFFFF"/>
                <w:sz w:val="20"/>
              </w:rPr>
              <w:t>MediaPipe</w:t>
            </w:r>
          </w:p>
        </w:tc>
        <w:tc>
          <w:tcPr>
            <w:tcW w:type="dxa" w:w="2880"/>
            <w:shd w:val="clear" w:color="auto" w:fill="1F3964"/>
            <w:vAlign w:val="center"/>
          </w:tcPr>
          <w:p>
            <w:r/>
            <w:r>
              <w:rPr>
                <w:b/>
                <w:color w:val="FFFFFF"/>
                <w:sz w:val="20"/>
              </w:rPr>
              <w:t>OpenPose</w:t>
            </w:r>
          </w:p>
        </w:tc>
      </w:tr>
      <w:tr>
        <w:tc>
          <w:tcPr>
            <w:tcW w:type="dxa" w:w="3600"/>
            <w:shd w:val="clear" w:color="auto" w:fill="FFFFFF"/>
          </w:tcPr>
          <w:p>
            <w:r/>
            <w:r>
              <w:rPr>
                <w:sz w:val="19"/>
              </w:rPr>
              <w:t>Regression slope (px/cm)</w:t>
            </w:r>
          </w:p>
        </w:tc>
        <w:tc>
          <w:tcPr>
            <w:tcW w:type="dxa" w:w="2880"/>
            <w:shd w:val="clear" w:color="auto" w:fill="FFFFFF"/>
          </w:tcPr>
          <w:p>
            <w:r/>
            <w:r>
              <w:rPr>
                <w:sz w:val="19"/>
              </w:rPr>
              <w:t>0.162</w:t>
            </w:r>
          </w:p>
        </w:tc>
        <w:tc>
          <w:tcPr>
            <w:tcW w:type="dxa" w:w="2880"/>
            <w:shd w:val="clear" w:color="auto" w:fill="FFFFFF"/>
          </w:tcPr>
          <w:p>
            <w:r/>
            <w:r>
              <w:rPr>
                <w:sz w:val="19"/>
              </w:rPr>
              <w:t>0.336</w:t>
            </w:r>
          </w:p>
        </w:tc>
      </w:tr>
      <w:tr>
        <w:tc>
          <w:tcPr>
            <w:tcW w:type="dxa" w:w="3600"/>
            <w:shd w:val="clear" w:color="auto" w:fill="F5F7FA"/>
          </w:tcPr>
          <w:p>
            <w:r/>
            <w:r>
              <w:rPr>
                <w:sz w:val="19"/>
              </w:rPr>
              <w:t>R-squared</w:t>
            </w:r>
          </w:p>
        </w:tc>
        <w:tc>
          <w:tcPr>
            <w:tcW w:type="dxa" w:w="2880"/>
            <w:shd w:val="clear" w:color="auto" w:fill="F5F7FA"/>
          </w:tcPr>
          <w:p>
            <w:r/>
            <w:r>
              <w:rPr>
                <w:sz w:val="19"/>
              </w:rPr>
              <w:t>0.030</w:t>
            </w:r>
          </w:p>
        </w:tc>
        <w:tc>
          <w:tcPr>
            <w:tcW w:type="dxa" w:w="2880"/>
            <w:shd w:val="clear" w:color="auto" w:fill="F5F7FA"/>
          </w:tcPr>
          <w:p>
            <w:r/>
            <w:r>
              <w:rPr>
                <w:sz w:val="19"/>
              </w:rPr>
              <w:t>0.059</w:t>
            </w:r>
          </w:p>
        </w:tc>
      </w:tr>
      <w:tr>
        <w:tc>
          <w:tcPr>
            <w:tcW w:type="dxa" w:w="3600"/>
            <w:shd w:val="clear" w:color="auto" w:fill="FFFFFF"/>
          </w:tcPr>
          <w:p>
            <w:r/>
            <w:r>
              <w:rPr>
                <w:sz w:val="19"/>
              </w:rPr>
              <w:t>Hand size range (cm)</w:t>
            </w:r>
          </w:p>
        </w:tc>
        <w:tc>
          <w:tcPr>
            <w:tcW w:type="dxa" w:w="2880"/>
            <w:shd w:val="clear" w:color="auto" w:fill="FFFFFF"/>
          </w:tcPr>
          <w:p>
            <w:r/>
            <w:r>
              <w:rPr>
                <w:sz w:val="19"/>
              </w:rPr>
              <w:t>7.7-12.2</w:t>
            </w:r>
          </w:p>
        </w:tc>
        <w:tc>
          <w:tcPr>
            <w:tcW w:type="dxa" w:w="2880"/>
            <w:shd w:val="clear" w:color="auto" w:fill="FFFFFF"/>
          </w:tcPr>
          <w:p>
            <w:r/>
            <w:r>
              <w:rPr>
                <w:sz w:val="19"/>
              </w:rPr>
              <w:t>7.7-12.2</w:t>
            </w:r>
          </w:p>
        </w:tc>
      </w:tr>
    </w:tbl>
    <w:p/>
    <w:p>
      <w:pPr>
        <w:jc w:val="center"/>
      </w:pPr>
      <w:r>
        <w:drawing>
          <wp:inline xmlns:a="http://schemas.openxmlformats.org/drawingml/2006/main" xmlns:pic="http://schemas.openxmlformats.org/drawingml/2006/picture">
            <wp:extent cx="5029200" cy="3105021"/>
            <wp:docPr id="30" name="Picture 30"/>
            <wp:cNvGraphicFramePr>
              <a:graphicFrameLocks noChangeAspect="1"/>
            </wp:cNvGraphicFramePr>
            <a:graphic>
              <a:graphicData uri="http://schemas.openxmlformats.org/drawingml/2006/picture">
                <pic:pic>
                  <pic:nvPicPr>
                    <pic:cNvPr id="0" name="p503_rId59.png"/>
                    <pic:cNvPicPr/>
                  </pic:nvPicPr>
                  <pic:blipFill>
                    <a:blip r:embed="rId37"/>
                    <a:stretch>
                      <a:fillRect/>
                    </a:stretch>
                  </pic:blipFill>
                  <pic:spPr>
                    <a:xfrm>
                      <a:off x="0" y="0"/>
                      <a:ext cx="5029200" cy="3105021"/>
                    </a:xfrm>
                    <a:prstGeom prst="rect"/>
                  </pic:spPr>
                </pic:pic>
              </a:graphicData>
            </a:graphic>
          </wp:inline>
        </w:drawing>
      </w:r>
    </w:p>
    <w:p>
      <w:pPr>
        <w:spacing w:after="160"/>
        <w:jc w:val="center"/>
      </w:pPr>
      <w:r>
        <w:rPr>
          <w:i/>
          <w:color w:val="808080"/>
          <w:sz w:val="18"/>
        </w:rPr>
        <w:t>Fig 8.5.2.a: MPJPE vs hand size scatter plot with regression lines</w:t>
      </w:r>
    </w:p>
    <w:p>
      <w:pPr>
        <w:shd w:val="clear" w:color="auto" w:fill="D1ECF1"/>
        <w:pBdr>
          <w:left w:val="single" w:sz="24" w:space="6" w:color="0C5460"/>
        </w:pBdr>
        <w:spacing w:before="80" w:after="120"/>
        <w:ind w:left="227" w:right="227"/>
      </w:pPr>
      <w:r>
        <w:rPr>
          <w:b/>
          <w:color w:val="0C5460"/>
        </w:rPr>
        <w:t xml:space="preserve">FINDING  </w:t>
      </w:r>
      <w:r>
        <w:rPr>
          <w:color w:val="0C5460"/>
        </w:rPr>
        <w:t>Both regression R-squared values are below 0.06, indicating that hand size explains less than 6% of MPJPE variance.  MediaPipe performs consistently across the full adult hand size range tested without per-user recalibration.</w:t>
      </w:r>
    </w:p>
    <w:p>
      <w:pPr>
        <w:pStyle w:val="Heading1"/>
      </w:pPr>
      <w:r>
        <w:rPr>
          <w:color w:val="1F3964"/>
        </w:rPr>
        <w:t>11.  Summary of Evaluation Findings</w:t>
      </w:r>
    </w:p>
    <w:tbl>
      <w:tblPr>
        <w:tblStyle w:val="TableGrid"/>
        <w:tblW w:type="auto" w:w="0"/>
        <w:tblLook w:firstColumn="1" w:firstRow="1" w:lastColumn="0" w:lastRow="0" w:noHBand="0" w:noVBand="1" w:val="04A0"/>
      </w:tblPr>
      <w:tblGrid>
        <w:gridCol w:w="3041"/>
        <w:gridCol w:w="3041"/>
        <w:gridCol w:w="3041"/>
      </w:tblGrid>
      <w:tr>
        <w:tc>
          <w:tcPr>
            <w:tcW w:type="dxa" w:w="3168"/>
            <w:shd w:val="clear" w:color="auto" w:fill="1F3964"/>
            <w:vAlign w:val="center"/>
          </w:tcPr>
          <w:p>
            <w:r/>
            <w:r>
              <w:rPr>
                <w:b/>
                <w:color w:val="FFFFFF"/>
                <w:sz w:val="20"/>
              </w:rPr>
              <w:t>Finding</w:t>
            </w:r>
          </w:p>
        </w:tc>
        <w:tc>
          <w:tcPr>
            <w:tcW w:type="dxa" w:w="3600"/>
            <w:shd w:val="clear" w:color="auto" w:fill="1F3964"/>
            <w:vAlign w:val="center"/>
          </w:tcPr>
          <w:p>
            <w:r/>
            <w:r>
              <w:rPr>
                <w:b/>
                <w:color w:val="FFFFFF"/>
                <w:sz w:val="20"/>
              </w:rPr>
              <w:t>MediaPipe</w:t>
            </w:r>
          </w:p>
        </w:tc>
        <w:tc>
          <w:tcPr>
            <w:tcW w:type="dxa" w:w="3744"/>
            <w:shd w:val="clear" w:color="auto" w:fill="1F3964"/>
            <w:vAlign w:val="center"/>
          </w:tcPr>
          <w:p>
            <w:r/>
            <w:r>
              <w:rPr>
                <w:b/>
                <w:color w:val="FFFFFF"/>
                <w:sz w:val="20"/>
              </w:rPr>
              <w:t>OpenPose</w:t>
            </w:r>
          </w:p>
        </w:tc>
      </w:tr>
      <w:tr>
        <w:tc>
          <w:tcPr>
            <w:tcW w:type="dxa" w:w="3168"/>
            <w:shd w:val="clear" w:color="auto" w:fill="FFFFFF"/>
          </w:tcPr>
          <w:p>
            <w:r/>
            <w:r>
              <w:rPr>
                <w:sz w:val="19"/>
              </w:rPr>
              <w:t>Detection rate</w:t>
            </w:r>
          </w:p>
        </w:tc>
        <w:tc>
          <w:tcPr>
            <w:tcW w:type="dxa" w:w="3600"/>
            <w:shd w:val="clear" w:color="auto" w:fill="FFFFFF"/>
          </w:tcPr>
          <w:p>
            <w:r/>
            <w:r>
              <w:rPr>
                <w:sz w:val="19"/>
              </w:rPr>
              <w:t>63.3%</w:t>
            </w:r>
          </w:p>
        </w:tc>
        <w:tc>
          <w:tcPr>
            <w:tcW w:type="dxa" w:w="3744"/>
            <w:shd w:val="clear" w:color="auto" w:fill="FFFFFF"/>
          </w:tcPr>
          <w:p>
            <w:r/>
            <w:r>
              <w:rPr>
                <w:sz w:val="19"/>
              </w:rPr>
              <w:t>8.1%</w:t>
            </w:r>
          </w:p>
        </w:tc>
      </w:tr>
      <w:tr>
        <w:tc>
          <w:tcPr>
            <w:tcW w:type="dxa" w:w="3168"/>
            <w:shd w:val="clear" w:color="auto" w:fill="F5F7FA"/>
          </w:tcPr>
          <w:p>
            <w:r/>
            <w:r>
              <w:rPr>
                <w:sz w:val="19"/>
              </w:rPr>
              <w:t>Mean MPJPE (px)</w:t>
            </w:r>
          </w:p>
        </w:tc>
        <w:tc>
          <w:tcPr>
            <w:tcW w:type="dxa" w:w="3600"/>
            <w:shd w:val="clear" w:color="auto" w:fill="F5F7FA"/>
          </w:tcPr>
          <w:p>
            <w:r/>
            <w:r>
              <w:rPr>
                <w:sz w:val="19"/>
              </w:rPr>
              <w:t>6.07</w:t>
            </w:r>
          </w:p>
        </w:tc>
        <w:tc>
          <w:tcPr>
            <w:tcW w:type="dxa" w:w="3744"/>
            <w:shd w:val="clear" w:color="auto" w:fill="F5F7FA"/>
          </w:tcPr>
          <w:p>
            <w:r/>
            <w:r>
              <w:rPr>
                <w:sz w:val="19"/>
              </w:rPr>
              <w:t>5.87 (on 8.1% of events)</w:t>
            </w:r>
          </w:p>
        </w:tc>
      </w:tr>
      <w:tr>
        <w:tc>
          <w:tcPr>
            <w:tcW w:type="dxa" w:w="3168"/>
            <w:shd w:val="clear" w:color="auto" w:fill="FFFFFF"/>
          </w:tcPr>
          <w:p>
            <w:r/>
            <w:r>
              <w:rPr>
                <w:sz w:val="19"/>
              </w:rPr>
              <w:t>Skin tone effect</w:t>
            </w:r>
          </w:p>
        </w:tc>
        <w:tc>
          <w:tcPr>
            <w:tcW w:type="dxa" w:w="3600"/>
            <w:shd w:val="clear" w:color="auto" w:fill="FFFFFF"/>
          </w:tcPr>
          <w:p>
            <w:r/>
            <w:r>
              <w:rPr>
                <w:sz w:val="19"/>
              </w:rPr>
              <w:t>Mild upward trend — not significant</w:t>
            </w:r>
          </w:p>
        </w:tc>
        <w:tc>
          <w:tcPr>
            <w:tcW w:type="dxa" w:w="3744"/>
            <w:shd w:val="clear" w:color="auto" w:fill="FFFFFF"/>
          </w:tcPr>
          <w:p>
            <w:r/>
            <w:r>
              <w:rPr>
                <w:sz w:val="19"/>
              </w:rPr>
              <w:t>No consistent trend</w:t>
            </w:r>
          </w:p>
        </w:tc>
      </w:tr>
      <w:tr>
        <w:tc>
          <w:tcPr>
            <w:tcW w:type="dxa" w:w="3168"/>
            <w:shd w:val="clear" w:color="auto" w:fill="F5F7FA"/>
          </w:tcPr>
          <w:p>
            <w:r/>
            <w:r>
              <w:rPr>
                <w:sz w:val="19"/>
              </w:rPr>
              <w:t>Lighting effect</w:t>
            </w:r>
          </w:p>
        </w:tc>
        <w:tc>
          <w:tcPr>
            <w:tcW w:type="dxa" w:w="3600"/>
            <w:shd w:val="clear" w:color="auto" w:fill="F5F7FA"/>
          </w:tcPr>
          <w:p>
            <w:r/>
            <w:r>
              <w:rPr>
                <w:sz w:val="19"/>
              </w:rPr>
              <w:t>Negligible (Dim vs Indoor)</w:t>
            </w:r>
          </w:p>
        </w:tc>
        <w:tc>
          <w:tcPr>
            <w:tcW w:type="dxa" w:w="3744"/>
            <w:shd w:val="clear" w:color="auto" w:fill="F5F7FA"/>
          </w:tcPr>
          <w:p>
            <w:r/>
            <w:r>
              <w:rPr>
                <w:sz w:val="19"/>
              </w:rPr>
              <w:t>Larger variation but small n</w:t>
            </w:r>
          </w:p>
        </w:tc>
      </w:tr>
      <w:tr>
        <w:tc>
          <w:tcPr>
            <w:tcW w:type="dxa" w:w="3168"/>
            <w:shd w:val="clear" w:color="auto" w:fill="FFFFFF"/>
          </w:tcPr>
          <w:p>
            <w:r/>
            <w:r>
              <w:rPr>
                <w:sz w:val="19"/>
              </w:rPr>
              <w:t>Hand size effect</w:t>
            </w:r>
          </w:p>
        </w:tc>
        <w:tc>
          <w:tcPr>
            <w:tcW w:type="dxa" w:w="3600"/>
            <w:shd w:val="clear" w:color="auto" w:fill="FFFFFF"/>
          </w:tcPr>
          <w:p>
            <w:r/>
            <w:r>
              <w:rPr>
                <w:sz w:val="19"/>
              </w:rPr>
              <w:t>R2=0.03 — negligible</w:t>
            </w:r>
          </w:p>
        </w:tc>
        <w:tc>
          <w:tcPr>
            <w:tcW w:type="dxa" w:w="3744"/>
            <w:shd w:val="clear" w:color="auto" w:fill="FFFFFF"/>
          </w:tcPr>
          <w:p>
            <w:r/>
            <w:r>
              <w:rPr>
                <w:sz w:val="19"/>
              </w:rPr>
              <w:t>R2=0.06 — negligible</w:t>
            </w:r>
          </w:p>
        </w:tc>
      </w:tr>
      <w:tr>
        <w:tc>
          <w:tcPr>
            <w:tcW w:type="dxa" w:w="3168"/>
            <w:shd w:val="clear" w:color="auto" w:fill="F5F7FA"/>
          </w:tcPr>
          <w:p>
            <w:r/>
            <w:r>
              <w:rPr>
                <w:sz w:val="19"/>
              </w:rPr>
              <w:t>Practical recommendation</w:t>
            </w:r>
          </w:p>
        </w:tc>
        <w:tc>
          <w:tcPr>
            <w:tcW w:type="dxa" w:w="3600"/>
            <w:shd w:val="clear" w:color="auto" w:fill="F5F7FA"/>
          </w:tcPr>
          <w:p>
            <w:r/>
            <w:r>
              <w:rPr>
                <w:sz w:val="19"/>
              </w:rPr>
              <w:t>Best for full-scene deployment</w:t>
            </w:r>
          </w:p>
        </w:tc>
        <w:tc>
          <w:tcPr>
            <w:tcW w:type="dxa" w:w="3744"/>
            <w:shd w:val="clear" w:color="auto" w:fill="F5F7FA"/>
          </w:tcPr>
          <w:p>
            <w:r/>
            <w:r>
              <w:rPr>
                <w:sz w:val="19"/>
              </w:rPr>
              <w:t>Requires pre-cropped hand input</w:t>
            </w:r>
          </w:p>
        </w:tc>
      </w:tr>
    </w:tbl>
    <w:p/>
    <w:p>
      <w:pPr>
        <w:shd w:val="clear" w:color="auto" w:fill="D6EAD6"/>
        <w:pBdr>
          <w:left w:val="single" w:sz="24" w:space="6" w:color="1A5C2A"/>
        </w:pBdr>
        <w:spacing w:before="80" w:after="120"/>
        <w:ind w:left="227" w:right="227"/>
      </w:pPr>
      <w:r>
        <w:rPr>
          <w:b/>
          <w:color w:val="1A5C2A"/>
        </w:rPr>
        <w:t xml:space="preserve">RESULT  </w:t>
      </w:r>
      <w:r>
        <w:rPr>
          <w:color w:val="1A5C2A"/>
        </w:rPr>
        <w:t>MediaPipe is the recommended model for full-scene piano tracking.  It achieves a mean MPJPE of 6.07 px (well below the ~10 px threshold for a standard white key) with a detection rate of 63.3%.  OpenPose's marginally lower MPJPE (5.87 px) is not comparable — it only detected landmarks on 8.1% of events using the full-scene input.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