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jc w:val="center"/>
      </w:pPr>
      <w:r>
        <w:rPr>
          <w:b/>
          <w:color w:val="ED7D31"/>
          <w:sz w:val="30"/>
        </w:rPr>
        <w:t>WEEK 6 INTEGRATIVE CAPSTONE PROJECT</w:t>
      </w:r>
    </w:p>
    <w:p>
      <w:pPr>
        <w:jc w:val="center"/>
      </w:pPr>
      <w:r>
        <w:rPr>
          <w:b/>
          <w:color w:val="1F4E79"/>
          <w:sz w:val="50"/>
        </w:rPr>
        <w:t>Customer Churn Prediction and Customer Segmentation Using Data Science</w:t>
      </w:r>
    </w:p>
    <w:p>
      <w:pPr>
        <w:jc w:val="center"/>
      </w:pPr>
      <w:r>
        <w:rPr>
          <w:i/>
          <w:sz w:val="24"/>
        </w:rPr>
        <w:t>An end-to-end Python data science workflow using the Telco Customer Churn dataset</w:t>
      </w:r>
    </w:p>
    <w:p>
      <w:pPr>
        <w:jc w:val="center"/>
      </w:pPr>
      <w:r>
        <w:drawing>
          <wp:inline xmlns:a="http://schemas.openxmlformats.org/drawingml/2006/main" xmlns:pic="http://schemas.openxmlformats.org/drawingml/2006/picture">
            <wp:extent cx="5669280" cy="3327775"/>
            <wp:docPr id="1" name="Picture 1"/>
            <wp:cNvGraphicFramePr>
              <a:graphicFrameLocks noChangeAspect="1"/>
            </wp:cNvGraphicFramePr>
            <a:graphic>
              <a:graphicData uri="http://schemas.openxmlformats.org/drawingml/2006/picture">
                <pic:pic>
                  <pic:nvPicPr>
                    <pic:cNvPr id="0" name="00_project_pipeline.png"/>
                    <pic:cNvPicPr/>
                  </pic:nvPicPr>
                  <pic:blipFill>
                    <a:blip r:embed="rId11"/>
                    <a:stretch>
                      <a:fillRect/>
                    </a:stretch>
                  </pic:blipFill>
                  <pic:spPr>
                    <a:xfrm>
                      <a:off x="0" y="0"/>
                      <a:ext cx="5669280" cy="3327775"/>
                    </a:xfrm>
                    <a:prstGeom prst="rect"/>
                  </pic:spPr>
                </pic:pic>
              </a:graphicData>
            </a:graphic>
          </wp:inline>
        </w:drawing>
      </w:r>
    </w:p>
    <w:p>
      <w:pPr>
        <w:jc w:val="center"/>
      </w:pPr>
      <w:r>
        <w:rPr>
          <w:i/>
          <w:color w:val="595959"/>
          <w:sz w:val="18"/>
        </w:rPr>
        <w:t>Figure 1. End-to-end project workflow used in the capstone.</w:t>
      </w:r>
    </w:p>
    <w:p>
      <w:pPr>
        <w:jc w:val="center"/>
      </w:pPr>
      <w:r>
        <w:rPr>
          <w:b/>
          <w:sz w:val="24"/>
        </w:rPr>
        <w:t>Internship Deliverable Report</w:t>
      </w:r>
    </w:p>
    <w:p>
      <w:pPr>
        <w:jc w:val="center"/>
      </w:pPr>
      <w:r>
        <w:rPr>
          <w:sz w:val="22"/>
        </w:rPr>
        <w:t>2026</w:t>
      </w:r>
    </w:p>
    <w:p>
      <w:r>
        <w:br w:type="page"/>
      </w:r>
    </w:p>
    <w:p>
      <w:pPr>
        <w:pStyle w:val="Heading1"/>
        <w:spacing w:before="200" w:after="100"/>
      </w:pPr>
      <w:r>
        <w:t>Contents</w:t>
      </w:r>
    </w:p>
    <w:p>
      <w:pPr>
        <w:spacing w:after="120" w:line="259" w:lineRule="auto"/>
      </w:pPr>
      <w:r>
        <w:t>Executive Summary</w:t>
      </w:r>
    </w:p>
    <w:p>
      <w:pPr>
        <w:spacing w:after="120" w:line="259" w:lineRule="auto"/>
      </w:pPr>
      <w:r>
        <w:t>1. Problem Statement and Objectives</w:t>
      </w:r>
    </w:p>
    <w:p>
      <w:pPr>
        <w:spacing w:after="120" w:line="259" w:lineRule="auto"/>
      </w:pPr>
      <w:r>
        <w:t>2. Dataset and Data Acquisition</w:t>
      </w:r>
    </w:p>
    <w:p>
      <w:pPr>
        <w:spacing w:after="120" w:line="259" w:lineRule="auto"/>
      </w:pPr>
      <w:r>
        <w:t>3. Data Cleaning and Validation</w:t>
      </w:r>
    </w:p>
    <w:p>
      <w:pPr>
        <w:spacing w:after="120" w:line="259" w:lineRule="auto"/>
      </w:pPr>
      <w:r>
        <w:t>4. Exploratory Data Analysis</w:t>
      </w:r>
    </w:p>
    <w:p>
      <w:pPr>
        <w:spacing w:after="120" w:line="259" w:lineRule="auto"/>
      </w:pPr>
      <w:r>
        <w:t>5. Feature Engineering</w:t>
      </w:r>
    </w:p>
    <w:p>
      <w:pPr>
        <w:spacing w:after="120" w:line="259" w:lineRule="auto"/>
      </w:pPr>
      <w:r>
        <w:t>6. Customer Segmentation using K-Means</w:t>
      </w:r>
    </w:p>
    <w:p>
      <w:pPr>
        <w:spacing w:after="120" w:line="259" w:lineRule="auto"/>
      </w:pPr>
      <w:r>
        <w:t>7. Churn Prediction using Supervised Machine Learning</w:t>
      </w:r>
    </w:p>
    <w:p>
      <w:pPr>
        <w:spacing w:after="120" w:line="259" w:lineRule="auto"/>
      </w:pPr>
      <w:r>
        <w:t>8. Model Validation, Tuning and Threshold Analysis</w:t>
      </w:r>
    </w:p>
    <w:p>
      <w:pPr>
        <w:spacing w:after="120" w:line="259" w:lineRule="auto"/>
      </w:pPr>
      <w:r>
        <w:t>9. Error Analysis and Model Interpretation</w:t>
      </w:r>
    </w:p>
    <w:p>
      <w:pPr>
        <w:spacing w:after="120" w:line="259" w:lineRule="auto"/>
      </w:pPr>
      <w:r>
        <w:t>10. Key Insights and Evidence-Based Recommendations</w:t>
      </w:r>
    </w:p>
    <w:p>
      <w:pPr>
        <w:spacing w:after="120" w:line="259" w:lineRule="auto"/>
      </w:pPr>
      <w:r>
        <w:t>11. Challenges, Limitations and Technical Improvements</w:t>
      </w:r>
    </w:p>
    <w:p>
      <w:pPr>
        <w:spacing w:after="120" w:line="259" w:lineRule="auto"/>
      </w:pPr>
      <w:r>
        <w:t>12. Critical Discussion and Reflection</w:t>
      </w:r>
    </w:p>
    <w:p>
      <w:pPr>
        <w:spacing w:after="120" w:line="259" w:lineRule="auto"/>
      </w:pPr>
      <w:r>
        <w:t>13. Conclusion</w:t>
      </w:r>
    </w:p>
    <w:p>
      <w:pPr>
        <w:spacing w:after="120" w:line="259" w:lineRule="auto"/>
      </w:pPr>
      <w:r>
        <w:t>14. Reproducibility and Project Files</w:t>
      </w:r>
    </w:p>
    <w:p>
      <w:pPr>
        <w:spacing w:after="120" w:line="259" w:lineRule="auto"/>
      </w:pPr>
      <w:r>
        <w:t>Appendix A. Representative Python Code Examples</w:t>
      </w:r>
    </w:p>
    <w:p>
      <w:pPr>
        <w:spacing w:after="120" w:line="259" w:lineRule="auto"/>
      </w:pPr>
      <w:r>
        <w:t>Appendix B. Key Numerical Results</w:t>
      </w:r>
    </w:p>
    <w:p>
      <w:r>
        <w:br w:type="page"/>
      </w:r>
    </w:p>
    <w:p>
      <w:pPr>
        <w:pStyle w:val="Heading1"/>
        <w:spacing w:before="200" w:after="100"/>
      </w:pPr>
      <w:r>
        <w:t>Executive Summary</w:t>
      </w:r>
    </w:p>
    <w:p>
      <w:pPr>
        <w:spacing w:after="120" w:line="259" w:lineRule="auto"/>
      </w:pPr>
      <w:r>
        <w:t>This capstone develops an end-to-end data science solution for customer churn analysis and prediction using the Telco Customer Churn dataset. The project integrates data acquisition, cleaning, exploratory data analysis (EDA), feature engineering, unsupervised customer segmentation, supervised churn prediction, model validation, error analysis, and evidence-based recommendations. The workflow was designed to demonstrate the complete lifecycle expected from an applied Python data science project rather than stopping after a single model result.</w:t>
      </w:r>
    </w:p>
    <w:p>
      <w:pPr>
        <w:spacing w:after="120" w:line="259" w:lineRule="auto"/>
      </w:pPr>
      <w:r>
        <w:t>The raw dataset contains 7,043 customers and 21 columns. The initial inspection found no duplicate rows or missing values according to pandas; however, TotalCharges was stored as text and contained 11 blank-string entries. Investigation showed that all 11 affected records had zero tenure, so the values were converted to numeric and represented as 0.0 after validation. The final cleaned dataset retained all 7,043 records with zero missing values and zero duplicates.</w:t>
      </w:r>
    </w:p>
    <w:p>
      <w:pPr>
        <w:spacing w:after="120" w:line="259" w:lineRule="auto"/>
      </w:pPr>
      <w:r>
        <w:t>EDA showed an overall churn rate of 26.54%. Important descriptive patterns included a 52.94% churn rate among customers with 0–6 months of tenure, compared with 9.51% for customers with 49–72 months. Month-to-month contracts had a 42.71% churn rate, while one-year and two-year contracts had 11.27% and 2.83%, respectively. Churn was also higher among fiber-optic customers (41.89%) and electronic-check users (45.29%) in this dataset. Statistical association testing and numerical distribution tests reinforced the importance of several of these variables, while the report explicitly treats them as associations rather than causal effects.</w:t>
      </w:r>
    </w:p>
    <w:p>
      <w:pPr>
        <w:spacing w:after="120" w:line="259" w:lineRule="auto"/>
      </w:pPr>
      <w:r>
        <w:t>For customer segmentation, K-Means was evaluated from K=2 to K=10 using Silhouette, Davies-Bouldin, and Calinski-Harabasz criteria. Silhouette and Calinski-Harabasz both selected K=2, while Davies-Bouldin preferred K=8; K=2 was retained because two independent criteria agreed and the resulting segments were clearly interpretable. The two clusters represented a higher-tenure/higher-service group and a lower-tenure/lower-service group with different observed churn rates.</w:t>
      </w:r>
    </w:p>
    <w:p>
      <w:pPr>
        <w:spacing w:after="120" w:line="259" w:lineRule="auto"/>
      </w:pPr>
      <w:r>
        <w:t>For churn prediction, a dummy baseline, Logistic Regression, and Random Forest were compared. Five-fold stratified cross-validation and hyperparameter tuning were used to reduce dependence on a single split. The tuned Logistic Regression achieved test recall of 78.88% and F1 of 62.77%, while the threshold-adjusted Logistic Regression at 0.52 achieved F1 of 62.88%. The tuned Random Forest achieved 77.08% accuracy and 61.50% F1. Error analysis identified 79 false negatives and 271 false positives for the tuned Logistic Regression and showed that prediction difficulty was higher for some tenure, contract, internet-service, and payment-method groups. Concrete future improvements include probability calibration, cost-sensitive threshold selection, nonlinear boosting models, feature selection, explainable AI, interaction analysis, segment-specific modeling, and alternative clustering methods.</w:t>
      </w:r>
    </w:p>
    <w:p>
      <w:pPr>
        <w:pStyle w:val="Heading1"/>
        <w:spacing w:before="200" w:after="100"/>
      </w:pPr>
      <w:r>
        <w:t>1. Problem Statement and Objectives</w:t>
      </w:r>
    </w:p>
    <w:p>
      <w:pPr>
        <w:pStyle w:val="Heading2"/>
        <w:spacing w:before="120" w:after="100"/>
      </w:pPr>
      <w:r>
        <w:t>1.1 Problem Statement</w:t>
      </w:r>
    </w:p>
    <w:p>
      <w:pPr>
        <w:spacing w:after="120" w:line="259" w:lineRule="auto"/>
      </w:pPr>
      <w:r>
        <w:t>Telecommunication businesses need to understand which customer characteristics and service patterns are associated with customer churn and how machine learning can support proactive retention analysis. The capstone addresses this problem by analyzing customer demographic, service, contract, tenure, and billing information to discover churn patterns, create meaningful customer segments, and predict churn using supervised learning.</w:t>
      </w:r>
    </w:p>
    <w:p>
      <w:pPr>
        <w:pStyle w:val="Heading2"/>
        <w:spacing w:before="120" w:after="100"/>
      </w:pPr>
      <w:r>
        <w:t>1.2 Project Objectives</w:t>
      </w:r>
    </w:p>
    <w:p>
      <w:pPr>
        <w:pStyle w:val="ListBullet"/>
        <w:spacing w:after="40"/>
      </w:pPr>
      <w:r>
        <w:t>Acquire and validate a publicly available customer churn dataset.</w:t>
      </w:r>
    </w:p>
    <w:p>
      <w:pPr>
        <w:pStyle w:val="ListBullet"/>
        <w:spacing w:after="40"/>
      </w:pPr>
      <w:r>
        <w:t>Clean and preprocess the dataset while documenting the reason for each transformation.</w:t>
      </w:r>
    </w:p>
    <w:p>
      <w:pPr>
        <w:pStyle w:val="ListBullet"/>
        <w:spacing w:after="40"/>
      </w:pPr>
      <w:r>
        <w:t>Perform descriptive and statistical EDA to identify important patterns and relationships.</w:t>
      </w:r>
    </w:p>
    <w:p>
      <w:pPr>
        <w:pStyle w:val="ListBullet"/>
        <w:spacing w:after="40"/>
      </w:pPr>
      <w:r>
        <w:t>Engineer interpretable features that summarize service adoption and customer lifecycle.</w:t>
      </w:r>
    </w:p>
    <w:p>
      <w:pPr>
        <w:pStyle w:val="ListBullet"/>
        <w:spacing w:after="40"/>
      </w:pPr>
      <w:r>
        <w:t>Use K-Means clustering to identify customer segments without using the churn target.</w:t>
      </w:r>
    </w:p>
    <w:p>
      <w:pPr>
        <w:pStyle w:val="ListBullet"/>
        <w:spacing w:after="40"/>
      </w:pPr>
      <w:r>
        <w:t>Build and compare supervised churn classifiers using appropriate evaluation metrics.</w:t>
      </w:r>
    </w:p>
    <w:p>
      <w:pPr>
        <w:pStyle w:val="ListBullet"/>
        <w:spacing w:after="40"/>
      </w:pPr>
      <w:r>
        <w:t>Validate model stability using stratified cross-validation and hyperparameter tuning.</w:t>
      </w:r>
    </w:p>
    <w:p>
      <w:pPr>
        <w:pStyle w:val="ListBullet"/>
        <w:spacing w:after="40"/>
      </w:pPr>
      <w:r>
        <w:t>Analyze errors and feature contributions to understand where the model succeeds and fails.</w:t>
      </w:r>
    </w:p>
    <w:p>
      <w:pPr>
        <w:pStyle w:val="ListBullet"/>
        <w:spacing w:after="40"/>
      </w:pPr>
      <w:r>
        <w:t>Translate evidence into practical recommendations, limitations, and a concrete improvement roadmap.</w:t>
      </w:r>
    </w:p>
    <w:p>
      <w:pPr>
        <w:pStyle w:val="Heading2"/>
        <w:spacing w:before="120" w:after="100"/>
      </w:pPr>
      <w:r>
        <w:t>1.3 Success Criteria</w:t>
      </w:r>
    </w:p>
    <w:p>
      <w:pPr>
        <w:spacing w:after="120" w:line="259" w:lineRule="auto"/>
      </w:pPr>
      <w:r>
        <w:t>The project is considered successful when it provides a coherent data pipeline, uses actual evidence from the dataset, justifies technical choices, evaluates models using multiple metrics, analyzes errors rather than only headline scores, and clearly communicates limitations and next-step improvements.</w:t>
      </w:r>
    </w:p>
    <w:p>
      <w:pPr>
        <w:pStyle w:val="Heading1"/>
        <w:spacing w:before="200" w:after="100"/>
      </w:pPr>
      <w:r>
        <w:t>2. Dataset and Data Acquisition</w:t>
      </w:r>
    </w:p>
    <w:p>
      <w:pPr>
        <w:spacing w:after="120" w:line="259" w:lineRule="auto"/>
      </w:pPr>
      <w:r>
        <w:t>The project uses the Telco Customer Churn dataset containing 7,043 customer records and 21 original columns. The dataset describes customer demographics, household relationships, tenure, subscribed communication and entertainment services, contract and billing characteristics, and churn status.</w:t>
      </w:r>
    </w:p>
    <w:p>
      <w:pPr>
        <w:pStyle w:val="Heading2"/>
        <w:spacing w:before="120" w:after="100"/>
      </w:pPr>
      <w:r>
        <w:t>2.1 Dataset Characteristics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8"/>
              </w:rPr>
              <w:t>Item</w:t>
            </w:r>
          </w:p>
        </w:tc>
        <w:tc>
          <w:tcPr>
            <w:tcW w:type="dxa" w:w="5112"/>
            <w:vAlign w:val="center"/>
            <w:tcMar>
              <w:top w:w="80" w:type="dxa"/>
              <w:start w:w="80" w:type="dxa"/>
              <w:bottom w:w="80" w:type="dxa"/>
              <w:end w:w="80" w:type="dxa"/>
            </w:tcMar>
            <w:shd w:fill="D9E2F3"/>
          </w:tcPr>
          <w:p>
            <w:pPr>
              <w:spacing w:after="0"/>
            </w:pPr>
            <w:r>
              <w:rPr>
                <w:b/>
                <w:sz w:val="18"/>
              </w:rPr>
              <w:t>Value</w:t>
            </w:r>
          </w:p>
        </w:tc>
      </w:tr>
      <w:tr>
        <w:trPr>
          <w:cantSplit/>
        </w:trPr>
        <w:tc>
          <w:tcPr>
            <w:tcW w:type="dxa" w:w="5112"/>
            <w:vAlign w:val="center"/>
            <w:tcMar>
              <w:top w:w="80" w:type="dxa"/>
              <w:start w:w="80" w:type="dxa"/>
              <w:bottom w:w="80" w:type="dxa"/>
              <w:end w:w="80" w:type="dxa"/>
            </w:tcMar>
          </w:tcPr>
          <w:p>
            <w:pPr>
              <w:spacing w:after="0"/>
            </w:pPr>
            <w:r>
              <w:rPr>
                <w:sz w:val="18"/>
              </w:rPr>
              <w:t>Rows</w:t>
            </w:r>
          </w:p>
        </w:tc>
        <w:tc>
          <w:tcPr>
            <w:tcW w:type="dxa" w:w="5112"/>
            <w:vAlign w:val="center"/>
            <w:tcMar>
              <w:top w:w="80" w:type="dxa"/>
              <w:start w:w="80" w:type="dxa"/>
              <w:bottom w:w="80" w:type="dxa"/>
              <w:end w:w="80" w:type="dxa"/>
            </w:tcMar>
          </w:tcPr>
          <w:p>
            <w:pPr>
              <w:spacing w:after="0"/>
            </w:pPr>
            <w:r>
              <w:rPr>
                <w:sz w:val="18"/>
              </w:rPr>
              <w:t>7,043</w:t>
            </w:r>
          </w:p>
        </w:tc>
      </w:tr>
      <w:tr>
        <w:trPr>
          <w:cantSplit/>
        </w:trPr>
        <w:tc>
          <w:tcPr>
            <w:tcW w:type="dxa" w:w="5112"/>
            <w:vAlign w:val="center"/>
            <w:tcMar>
              <w:top w:w="80" w:type="dxa"/>
              <w:start w:w="80" w:type="dxa"/>
              <w:bottom w:w="80" w:type="dxa"/>
              <w:end w:w="80" w:type="dxa"/>
            </w:tcMar>
          </w:tcPr>
          <w:p>
            <w:pPr>
              <w:spacing w:after="0"/>
            </w:pPr>
            <w:r>
              <w:rPr>
                <w:sz w:val="18"/>
              </w:rPr>
              <w:t>Columns</w:t>
            </w:r>
          </w:p>
        </w:tc>
        <w:tc>
          <w:tcPr>
            <w:tcW w:type="dxa" w:w="5112"/>
            <w:vAlign w:val="center"/>
            <w:tcMar>
              <w:top w:w="80" w:type="dxa"/>
              <w:start w:w="80" w:type="dxa"/>
              <w:bottom w:w="80" w:type="dxa"/>
              <w:end w:w="80" w:type="dxa"/>
            </w:tcMar>
          </w:tcPr>
          <w:p>
            <w:pPr>
              <w:spacing w:after="0"/>
            </w:pPr>
            <w:r>
              <w:rPr>
                <w:sz w:val="18"/>
              </w:rPr>
              <w:t>21</w:t>
            </w:r>
          </w:p>
        </w:tc>
      </w:tr>
      <w:tr>
        <w:trPr>
          <w:cantSplit/>
        </w:trPr>
        <w:tc>
          <w:tcPr>
            <w:tcW w:type="dxa" w:w="5112"/>
            <w:vAlign w:val="center"/>
            <w:tcMar>
              <w:top w:w="80" w:type="dxa"/>
              <w:start w:w="80" w:type="dxa"/>
              <w:bottom w:w="80" w:type="dxa"/>
              <w:end w:w="80" w:type="dxa"/>
            </w:tcMar>
          </w:tcPr>
          <w:p>
            <w:pPr>
              <w:spacing w:after="0"/>
            </w:pPr>
            <w:r>
              <w:rPr>
                <w:sz w:val="18"/>
              </w:rPr>
              <w:t>Target</w:t>
            </w:r>
          </w:p>
        </w:tc>
        <w:tc>
          <w:tcPr>
            <w:tcW w:type="dxa" w:w="5112"/>
            <w:vAlign w:val="center"/>
            <w:tcMar>
              <w:top w:w="80" w:type="dxa"/>
              <w:start w:w="80" w:type="dxa"/>
              <w:bottom w:w="80" w:type="dxa"/>
              <w:end w:w="80" w:type="dxa"/>
            </w:tcMar>
          </w:tcPr>
          <w:p>
            <w:pPr>
              <w:spacing w:after="0"/>
            </w:pPr>
            <w:r>
              <w:rPr>
                <w:sz w:val="18"/>
              </w:rPr>
              <w:t>Churn</w:t>
            </w:r>
          </w:p>
        </w:tc>
      </w:tr>
      <w:tr>
        <w:trPr>
          <w:cantSplit/>
        </w:trPr>
        <w:tc>
          <w:tcPr>
            <w:tcW w:type="dxa" w:w="5112"/>
            <w:vAlign w:val="center"/>
            <w:tcMar>
              <w:top w:w="80" w:type="dxa"/>
              <w:start w:w="80" w:type="dxa"/>
              <w:bottom w:w="80" w:type="dxa"/>
              <w:end w:w="80" w:type="dxa"/>
            </w:tcMar>
          </w:tcPr>
          <w:p>
            <w:pPr>
              <w:spacing w:after="0"/>
            </w:pPr>
            <w:r>
              <w:rPr>
                <w:sz w:val="18"/>
              </w:rPr>
              <w:t>No Churn</w:t>
            </w:r>
          </w:p>
        </w:tc>
        <w:tc>
          <w:tcPr>
            <w:tcW w:type="dxa" w:w="5112"/>
            <w:vAlign w:val="center"/>
            <w:tcMar>
              <w:top w:w="80" w:type="dxa"/>
              <w:start w:w="80" w:type="dxa"/>
              <w:bottom w:w="80" w:type="dxa"/>
              <w:end w:w="80" w:type="dxa"/>
            </w:tcMar>
          </w:tcPr>
          <w:p>
            <w:pPr>
              <w:spacing w:after="0"/>
            </w:pPr>
            <w:r>
              <w:rPr>
                <w:sz w:val="18"/>
              </w:rPr>
              <w:t>5,174 (73.46%)</w:t>
            </w:r>
          </w:p>
        </w:tc>
      </w:tr>
      <w:tr>
        <w:trPr>
          <w:cantSplit/>
        </w:trPr>
        <w:tc>
          <w:tcPr>
            <w:tcW w:type="dxa" w:w="5112"/>
            <w:vAlign w:val="center"/>
            <w:tcMar>
              <w:top w:w="80" w:type="dxa"/>
              <w:start w:w="80" w:type="dxa"/>
              <w:bottom w:w="80" w:type="dxa"/>
              <w:end w:w="80" w:type="dxa"/>
            </w:tcMar>
          </w:tcPr>
          <w:p>
            <w:pPr>
              <w:spacing w:after="0"/>
            </w:pPr>
            <w:r>
              <w:rPr>
                <w:sz w:val="18"/>
              </w:rPr>
              <w:t>Churn</w:t>
            </w:r>
          </w:p>
        </w:tc>
        <w:tc>
          <w:tcPr>
            <w:tcW w:type="dxa" w:w="5112"/>
            <w:vAlign w:val="center"/>
            <w:tcMar>
              <w:top w:w="80" w:type="dxa"/>
              <w:start w:w="80" w:type="dxa"/>
              <w:bottom w:w="80" w:type="dxa"/>
              <w:end w:w="80" w:type="dxa"/>
            </w:tcMar>
          </w:tcPr>
          <w:p>
            <w:pPr>
              <w:spacing w:after="0"/>
            </w:pPr>
            <w:r>
              <w:rPr>
                <w:sz w:val="18"/>
              </w:rPr>
              <w:t>1,869 (26.54%)</w:t>
            </w:r>
          </w:p>
        </w:tc>
      </w:tr>
      <w:tr>
        <w:trPr>
          <w:cantSplit/>
        </w:trPr>
        <w:tc>
          <w:tcPr>
            <w:tcW w:type="dxa" w:w="5112"/>
            <w:vAlign w:val="center"/>
            <w:tcMar>
              <w:top w:w="80" w:type="dxa"/>
              <w:start w:w="80" w:type="dxa"/>
              <w:bottom w:w="80" w:type="dxa"/>
              <w:end w:w="80" w:type="dxa"/>
            </w:tcMar>
          </w:tcPr>
          <w:p>
            <w:pPr>
              <w:spacing w:after="0"/>
            </w:pPr>
            <w:r>
              <w:rPr>
                <w:sz w:val="18"/>
              </w:rPr>
              <w:t>Numerical Variables</w:t>
            </w:r>
          </w:p>
        </w:tc>
        <w:tc>
          <w:tcPr>
            <w:tcW w:type="dxa" w:w="5112"/>
            <w:vAlign w:val="center"/>
            <w:tcMar>
              <w:top w:w="80" w:type="dxa"/>
              <w:start w:w="80" w:type="dxa"/>
              <w:bottom w:w="80" w:type="dxa"/>
              <w:end w:w="80" w:type="dxa"/>
            </w:tcMar>
          </w:tcPr>
          <w:p>
            <w:pPr>
              <w:spacing w:after="0"/>
            </w:pPr>
            <w:r>
              <w:rPr>
                <w:sz w:val="18"/>
              </w:rPr>
              <w:t>4</w:t>
            </w:r>
          </w:p>
        </w:tc>
      </w:tr>
      <w:tr>
        <w:trPr>
          <w:cantSplit/>
        </w:trPr>
        <w:tc>
          <w:tcPr>
            <w:tcW w:type="dxa" w:w="5112"/>
            <w:vAlign w:val="center"/>
            <w:tcMar>
              <w:top w:w="80" w:type="dxa"/>
              <w:start w:w="80" w:type="dxa"/>
              <w:bottom w:w="80" w:type="dxa"/>
              <w:end w:w="80" w:type="dxa"/>
            </w:tcMar>
          </w:tcPr>
          <w:p>
            <w:pPr>
              <w:spacing w:after="0"/>
            </w:pPr>
            <w:r>
              <w:rPr>
                <w:sz w:val="18"/>
              </w:rPr>
              <w:t>Categorical Variables</w:t>
            </w:r>
          </w:p>
        </w:tc>
        <w:tc>
          <w:tcPr>
            <w:tcW w:type="dxa" w:w="5112"/>
            <w:vAlign w:val="center"/>
            <w:tcMar>
              <w:top w:w="80" w:type="dxa"/>
              <w:start w:w="80" w:type="dxa"/>
              <w:bottom w:w="80" w:type="dxa"/>
              <w:end w:w="80" w:type="dxa"/>
            </w:tcMar>
          </w:tcPr>
          <w:p>
            <w:pPr>
              <w:spacing w:after="0"/>
            </w:pPr>
            <w:r>
              <w:rPr>
                <w:sz w:val="18"/>
              </w:rPr>
              <w:t>17</w:t>
            </w:r>
          </w:p>
        </w:tc>
      </w:tr>
    </w:tbl>
    <w:p>
      <w:pPr>
        <w:spacing w:after="120" w:line="259" w:lineRule="auto"/>
      </w:pPr>
      <w:r>
        <w:t>The customerID column is treated as an identifier and excluded from modeling because it does not represent a behavioral or service attribute. The Churn column is the supervised target. The analysis retains the original descriptive variables while creating additional analytical features later.</w:t>
      </w:r>
    </w:p>
    <w:p>
      <w:r>
        <w:br w:type="page"/>
      </w:r>
    </w:p>
    <w:p>
      <w:pPr>
        <w:pStyle w:val="Heading2"/>
        <w:spacing w:before="120" w:after="100"/>
      </w:pPr>
      <w:r>
        <w:t>2.2 Main Variable Groups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7"/>
              </w:rPr>
              <w:t>Group</w:t>
            </w:r>
          </w:p>
        </w:tc>
        <w:tc>
          <w:tcPr>
            <w:tcW w:type="dxa" w:w="5112"/>
            <w:vAlign w:val="center"/>
            <w:tcMar>
              <w:top w:w="80" w:type="dxa"/>
              <w:start w:w="80" w:type="dxa"/>
              <w:bottom w:w="80" w:type="dxa"/>
              <w:end w:w="80" w:type="dxa"/>
            </w:tcMar>
            <w:shd w:fill="D9E2F3"/>
          </w:tcPr>
          <w:p>
            <w:pPr>
              <w:spacing w:after="0"/>
            </w:pPr>
            <w:r>
              <w:rPr>
                <w:b/>
                <w:sz w:val="17"/>
              </w:rPr>
              <w:t>Representative variables</w:t>
            </w:r>
          </w:p>
        </w:tc>
      </w:tr>
      <w:tr>
        <w:trPr>
          <w:cantSplit/>
        </w:trPr>
        <w:tc>
          <w:tcPr>
            <w:tcW w:type="dxa" w:w="5112"/>
            <w:vAlign w:val="center"/>
            <w:tcMar>
              <w:top w:w="80" w:type="dxa"/>
              <w:start w:w="80" w:type="dxa"/>
              <w:bottom w:w="80" w:type="dxa"/>
              <w:end w:w="80" w:type="dxa"/>
            </w:tcMar>
          </w:tcPr>
          <w:p>
            <w:pPr>
              <w:spacing w:after="0"/>
            </w:pPr>
            <w:r>
              <w:rPr>
                <w:sz w:val="17"/>
              </w:rPr>
              <w:t>Customer profile</w:t>
            </w:r>
          </w:p>
        </w:tc>
        <w:tc>
          <w:tcPr>
            <w:tcW w:type="dxa" w:w="5112"/>
            <w:vAlign w:val="center"/>
            <w:tcMar>
              <w:top w:w="80" w:type="dxa"/>
              <w:start w:w="80" w:type="dxa"/>
              <w:bottom w:w="80" w:type="dxa"/>
              <w:end w:w="80" w:type="dxa"/>
            </w:tcMar>
          </w:tcPr>
          <w:p>
            <w:pPr>
              <w:spacing w:after="0"/>
            </w:pPr>
            <w:r>
              <w:rPr>
                <w:sz w:val="17"/>
              </w:rPr>
              <w:t>gender, SeniorCitizen, Partner, Dependents</w:t>
            </w:r>
          </w:p>
        </w:tc>
      </w:tr>
      <w:tr>
        <w:trPr>
          <w:cantSplit/>
        </w:trPr>
        <w:tc>
          <w:tcPr>
            <w:tcW w:type="dxa" w:w="5112"/>
            <w:vAlign w:val="center"/>
            <w:tcMar>
              <w:top w:w="80" w:type="dxa"/>
              <w:start w:w="80" w:type="dxa"/>
              <w:bottom w:w="80" w:type="dxa"/>
              <w:end w:w="80" w:type="dxa"/>
            </w:tcMar>
          </w:tcPr>
          <w:p>
            <w:pPr>
              <w:spacing w:after="0"/>
            </w:pPr>
            <w:r>
              <w:rPr>
                <w:sz w:val="17"/>
              </w:rPr>
              <w:t>Relationship / lifecycle</w:t>
            </w:r>
          </w:p>
        </w:tc>
        <w:tc>
          <w:tcPr>
            <w:tcW w:type="dxa" w:w="5112"/>
            <w:vAlign w:val="center"/>
            <w:tcMar>
              <w:top w:w="80" w:type="dxa"/>
              <w:start w:w="80" w:type="dxa"/>
              <w:bottom w:w="80" w:type="dxa"/>
              <w:end w:w="80" w:type="dxa"/>
            </w:tcMar>
          </w:tcPr>
          <w:p>
            <w:pPr>
              <w:spacing w:after="0"/>
            </w:pPr>
            <w:r>
              <w:rPr>
                <w:sz w:val="17"/>
              </w:rPr>
              <w:t>tenure</w:t>
            </w:r>
          </w:p>
        </w:tc>
      </w:tr>
      <w:tr>
        <w:trPr>
          <w:cantSplit/>
        </w:trPr>
        <w:tc>
          <w:tcPr>
            <w:tcW w:type="dxa" w:w="5112"/>
            <w:vAlign w:val="center"/>
            <w:tcMar>
              <w:top w:w="80" w:type="dxa"/>
              <w:start w:w="80" w:type="dxa"/>
              <w:bottom w:w="80" w:type="dxa"/>
              <w:end w:w="80" w:type="dxa"/>
            </w:tcMar>
          </w:tcPr>
          <w:p>
            <w:pPr>
              <w:spacing w:after="0"/>
            </w:pPr>
            <w:r>
              <w:rPr>
                <w:sz w:val="17"/>
              </w:rPr>
              <w:t>Core services</w:t>
            </w:r>
          </w:p>
        </w:tc>
        <w:tc>
          <w:tcPr>
            <w:tcW w:type="dxa" w:w="5112"/>
            <w:vAlign w:val="center"/>
            <w:tcMar>
              <w:top w:w="80" w:type="dxa"/>
              <w:start w:w="80" w:type="dxa"/>
              <w:bottom w:w="80" w:type="dxa"/>
              <w:end w:w="80" w:type="dxa"/>
            </w:tcMar>
          </w:tcPr>
          <w:p>
            <w:pPr>
              <w:spacing w:after="0"/>
            </w:pPr>
            <w:r>
              <w:rPr>
                <w:sz w:val="17"/>
              </w:rPr>
              <w:t>PhoneService, MultipleLines, InternetService</w:t>
            </w:r>
          </w:p>
        </w:tc>
      </w:tr>
      <w:tr>
        <w:trPr>
          <w:cantSplit/>
        </w:trPr>
        <w:tc>
          <w:tcPr>
            <w:tcW w:type="dxa" w:w="5112"/>
            <w:vAlign w:val="center"/>
            <w:tcMar>
              <w:top w:w="80" w:type="dxa"/>
              <w:start w:w="80" w:type="dxa"/>
              <w:bottom w:w="80" w:type="dxa"/>
              <w:end w:w="80" w:type="dxa"/>
            </w:tcMar>
          </w:tcPr>
          <w:p>
            <w:pPr>
              <w:spacing w:after="0"/>
            </w:pPr>
            <w:r>
              <w:rPr>
                <w:sz w:val="17"/>
              </w:rPr>
              <w:t>Additional services</w:t>
            </w:r>
          </w:p>
        </w:tc>
        <w:tc>
          <w:tcPr>
            <w:tcW w:type="dxa" w:w="5112"/>
            <w:vAlign w:val="center"/>
            <w:tcMar>
              <w:top w:w="80" w:type="dxa"/>
              <w:start w:w="80" w:type="dxa"/>
              <w:bottom w:w="80" w:type="dxa"/>
              <w:end w:w="80" w:type="dxa"/>
            </w:tcMar>
          </w:tcPr>
          <w:p>
            <w:pPr>
              <w:spacing w:after="0"/>
            </w:pPr>
            <w:r>
              <w:rPr>
                <w:sz w:val="17"/>
              </w:rPr>
              <w:t>OnlineSecurity, OnlineBackup, DeviceProtection, TechSupport</w:t>
            </w:r>
          </w:p>
        </w:tc>
      </w:tr>
      <w:tr>
        <w:trPr>
          <w:cantSplit/>
        </w:trPr>
        <w:tc>
          <w:tcPr>
            <w:tcW w:type="dxa" w:w="5112"/>
            <w:vAlign w:val="center"/>
            <w:tcMar>
              <w:top w:w="80" w:type="dxa"/>
              <w:start w:w="80" w:type="dxa"/>
              <w:bottom w:w="80" w:type="dxa"/>
              <w:end w:w="80" w:type="dxa"/>
            </w:tcMar>
          </w:tcPr>
          <w:p>
            <w:pPr>
              <w:spacing w:after="0"/>
            </w:pPr>
            <w:r>
              <w:rPr>
                <w:sz w:val="17"/>
              </w:rPr>
              <w:t>Entertainment services</w:t>
            </w:r>
          </w:p>
        </w:tc>
        <w:tc>
          <w:tcPr>
            <w:tcW w:type="dxa" w:w="5112"/>
            <w:vAlign w:val="center"/>
            <w:tcMar>
              <w:top w:w="80" w:type="dxa"/>
              <w:start w:w="80" w:type="dxa"/>
              <w:bottom w:w="80" w:type="dxa"/>
              <w:end w:w="80" w:type="dxa"/>
            </w:tcMar>
          </w:tcPr>
          <w:p>
            <w:pPr>
              <w:spacing w:after="0"/>
            </w:pPr>
            <w:r>
              <w:rPr>
                <w:sz w:val="17"/>
              </w:rPr>
              <w:t>StreamingTV, StreamingMovies</w:t>
            </w:r>
          </w:p>
        </w:tc>
      </w:tr>
      <w:tr>
        <w:trPr>
          <w:cantSplit/>
        </w:trPr>
        <w:tc>
          <w:tcPr>
            <w:tcW w:type="dxa" w:w="5112"/>
            <w:vAlign w:val="center"/>
            <w:tcMar>
              <w:top w:w="80" w:type="dxa"/>
              <w:start w:w="80" w:type="dxa"/>
              <w:bottom w:w="80" w:type="dxa"/>
              <w:end w:w="80" w:type="dxa"/>
            </w:tcMar>
          </w:tcPr>
          <w:p>
            <w:pPr>
              <w:spacing w:after="0"/>
            </w:pPr>
            <w:r>
              <w:rPr>
                <w:sz w:val="17"/>
              </w:rPr>
              <w:t>Contract &amp; billing</w:t>
            </w:r>
          </w:p>
        </w:tc>
        <w:tc>
          <w:tcPr>
            <w:tcW w:type="dxa" w:w="5112"/>
            <w:vAlign w:val="center"/>
            <w:tcMar>
              <w:top w:w="80" w:type="dxa"/>
              <w:start w:w="80" w:type="dxa"/>
              <w:bottom w:w="80" w:type="dxa"/>
              <w:end w:w="80" w:type="dxa"/>
            </w:tcMar>
          </w:tcPr>
          <w:p>
            <w:pPr>
              <w:spacing w:after="0"/>
            </w:pPr>
            <w:r>
              <w:rPr>
                <w:sz w:val="17"/>
              </w:rPr>
              <w:t>Contract, PaperlessBilling, PaymentMethod</w:t>
            </w:r>
          </w:p>
        </w:tc>
      </w:tr>
      <w:tr>
        <w:trPr>
          <w:cantSplit/>
        </w:trPr>
        <w:tc>
          <w:tcPr>
            <w:tcW w:type="dxa" w:w="5112"/>
            <w:vAlign w:val="center"/>
            <w:tcMar>
              <w:top w:w="80" w:type="dxa"/>
              <w:start w:w="80" w:type="dxa"/>
              <w:bottom w:w="80" w:type="dxa"/>
              <w:end w:w="80" w:type="dxa"/>
            </w:tcMar>
          </w:tcPr>
          <w:p>
            <w:pPr>
              <w:spacing w:after="0"/>
            </w:pPr>
            <w:r>
              <w:rPr>
                <w:sz w:val="17"/>
              </w:rPr>
              <w:t>Charges</w:t>
            </w:r>
          </w:p>
        </w:tc>
        <w:tc>
          <w:tcPr>
            <w:tcW w:type="dxa" w:w="5112"/>
            <w:vAlign w:val="center"/>
            <w:tcMar>
              <w:top w:w="80" w:type="dxa"/>
              <w:start w:w="80" w:type="dxa"/>
              <w:bottom w:w="80" w:type="dxa"/>
              <w:end w:w="80" w:type="dxa"/>
            </w:tcMar>
          </w:tcPr>
          <w:p>
            <w:pPr>
              <w:spacing w:after="0"/>
            </w:pPr>
            <w:r>
              <w:rPr>
                <w:sz w:val="17"/>
              </w:rPr>
              <w:t>MonthlyCharges, TotalCharges</w:t>
            </w:r>
          </w:p>
        </w:tc>
      </w:tr>
      <w:tr>
        <w:trPr>
          <w:cantSplit/>
        </w:trPr>
        <w:tc>
          <w:tcPr>
            <w:tcW w:type="dxa" w:w="5112"/>
            <w:vAlign w:val="center"/>
            <w:tcMar>
              <w:top w:w="80" w:type="dxa"/>
              <w:start w:w="80" w:type="dxa"/>
              <w:bottom w:w="80" w:type="dxa"/>
              <w:end w:w="80" w:type="dxa"/>
            </w:tcMar>
          </w:tcPr>
          <w:p>
            <w:pPr>
              <w:spacing w:after="0"/>
            </w:pPr>
            <w:r>
              <w:rPr>
                <w:sz w:val="17"/>
              </w:rPr>
              <w:t>Target</w:t>
            </w:r>
          </w:p>
        </w:tc>
        <w:tc>
          <w:tcPr>
            <w:tcW w:type="dxa" w:w="5112"/>
            <w:vAlign w:val="center"/>
            <w:tcMar>
              <w:top w:w="80" w:type="dxa"/>
              <w:start w:w="80" w:type="dxa"/>
              <w:bottom w:w="80" w:type="dxa"/>
              <w:end w:w="80" w:type="dxa"/>
            </w:tcMar>
          </w:tcPr>
          <w:p>
            <w:pPr>
              <w:spacing w:after="0"/>
            </w:pPr>
            <w:r>
              <w:rPr>
                <w:sz w:val="17"/>
              </w:rPr>
              <w:t>Churn</w:t>
            </w:r>
          </w:p>
        </w:tc>
      </w:tr>
    </w:tbl>
    <w:p>
      <w:pPr>
        <w:pStyle w:val="Heading2"/>
        <w:spacing w:before="120" w:after="100"/>
      </w:pPr>
      <w:r>
        <w:t>2.3 Data Source</w:t>
      </w:r>
    </w:p>
    <w:p>
      <w:pPr>
        <w:spacing w:after="120" w:line="259" w:lineRule="auto"/>
      </w:pPr>
      <w:r>
        <w:t>Dataset source: IBM Telco Customer Churn sample data. The project notebook records the source and loads the CSV locally from Google Drive for analysis. The public source should be retained with the GitHub project for reproducibility.</w:t>
      </w:r>
    </w:p>
    <w:p>
      <w:pPr>
        <w:pStyle w:val="Heading1"/>
        <w:spacing w:before="200" w:after="100"/>
      </w:pPr>
      <w:r>
        <w:t>3. Data Cleaning and Validation</w:t>
      </w:r>
    </w:p>
    <w:p>
      <w:pPr>
        <w:spacing w:after="120" w:line="259" w:lineRule="auto"/>
      </w:pPr>
      <w:r>
        <w:t>Cleaning was performed as a separate stage before EDA and modeling. The objective was not to maximize the number of transformations, but to correct confirmed data-quality issues while preserving valid observations.</w:t>
      </w:r>
    </w:p>
    <w:p>
      <w:pPr>
        <w:pStyle w:val="Heading2"/>
        <w:spacing w:before="120" w:after="100"/>
      </w:pPr>
      <w:r>
        <w:t>3.1 Initial Inspection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8"/>
              </w:rPr>
              <w:t>Check</w:t>
            </w:r>
          </w:p>
        </w:tc>
        <w:tc>
          <w:tcPr>
            <w:tcW w:type="dxa" w:w="5112"/>
            <w:vAlign w:val="center"/>
            <w:tcMar>
              <w:top w:w="80" w:type="dxa"/>
              <w:start w:w="80" w:type="dxa"/>
              <w:bottom w:w="80" w:type="dxa"/>
              <w:end w:w="80" w:type="dxa"/>
            </w:tcMar>
            <w:shd w:fill="D9E2F3"/>
          </w:tcPr>
          <w:p>
            <w:pPr>
              <w:spacing w:after="0"/>
            </w:pPr>
            <w:r>
              <w:rPr>
                <w:b/>
                <w:sz w:val="18"/>
              </w:rPr>
              <w:t>Result</w:t>
            </w:r>
          </w:p>
        </w:tc>
      </w:tr>
      <w:tr>
        <w:trPr>
          <w:cantSplit/>
        </w:trPr>
        <w:tc>
          <w:tcPr>
            <w:tcW w:type="dxa" w:w="5112"/>
            <w:vAlign w:val="center"/>
            <w:tcMar>
              <w:top w:w="80" w:type="dxa"/>
              <w:start w:w="80" w:type="dxa"/>
              <w:bottom w:w="80" w:type="dxa"/>
              <w:end w:w="80" w:type="dxa"/>
            </w:tcMar>
          </w:tcPr>
          <w:p>
            <w:pPr>
              <w:spacing w:after="0"/>
            </w:pPr>
            <w:r>
              <w:rPr>
                <w:sz w:val="18"/>
              </w:rPr>
              <w:t>Raw shape</w:t>
            </w:r>
          </w:p>
        </w:tc>
        <w:tc>
          <w:tcPr>
            <w:tcW w:type="dxa" w:w="5112"/>
            <w:vAlign w:val="center"/>
            <w:tcMar>
              <w:top w:w="80" w:type="dxa"/>
              <w:start w:w="80" w:type="dxa"/>
              <w:bottom w:w="80" w:type="dxa"/>
              <w:end w:w="80" w:type="dxa"/>
            </w:tcMar>
          </w:tcPr>
          <w:p>
            <w:pPr>
              <w:spacing w:after="0"/>
            </w:pPr>
            <w:r>
              <w:rPr>
                <w:sz w:val="18"/>
              </w:rPr>
              <w:t>7,043 × 21</w:t>
            </w:r>
          </w:p>
        </w:tc>
      </w:tr>
      <w:tr>
        <w:trPr>
          <w:cantSplit/>
        </w:trPr>
        <w:tc>
          <w:tcPr>
            <w:tcW w:type="dxa" w:w="5112"/>
            <w:vAlign w:val="center"/>
            <w:tcMar>
              <w:top w:w="80" w:type="dxa"/>
              <w:start w:w="80" w:type="dxa"/>
              <w:bottom w:w="80" w:type="dxa"/>
              <w:end w:w="80" w:type="dxa"/>
            </w:tcMar>
          </w:tcPr>
          <w:p>
            <w:pPr>
              <w:spacing w:after="0"/>
            </w:pPr>
            <w:r>
              <w:rPr>
                <w:sz w:val="18"/>
              </w:rPr>
              <w:t>Missing values before cleaning</w:t>
            </w:r>
          </w:p>
        </w:tc>
        <w:tc>
          <w:tcPr>
            <w:tcW w:type="dxa" w:w="5112"/>
            <w:vAlign w:val="center"/>
            <w:tcMar>
              <w:top w:w="80" w:type="dxa"/>
              <w:start w:w="80" w:type="dxa"/>
              <w:bottom w:w="80" w:type="dxa"/>
              <w:end w:w="80" w:type="dxa"/>
            </w:tcMar>
          </w:tcPr>
          <w:p>
            <w:pPr>
              <w:spacing w:after="0"/>
            </w:pPr>
            <w:r>
              <w:rPr>
                <w:sz w:val="18"/>
              </w:rPr>
              <w:t>0 pandas NaN values</w:t>
            </w:r>
          </w:p>
        </w:tc>
      </w:tr>
      <w:tr>
        <w:trPr>
          <w:cantSplit/>
        </w:trPr>
        <w:tc>
          <w:tcPr>
            <w:tcW w:type="dxa" w:w="5112"/>
            <w:vAlign w:val="center"/>
            <w:tcMar>
              <w:top w:w="80" w:type="dxa"/>
              <w:start w:w="80" w:type="dxa"/>
              <w:bottom w:w="80" w:type="dxa"/>
              <w:end w:w="80" w:type="dxa"/>
            </w:tcMar>
          </w:tcPr>
          <w:p>
            <w:pPr>
              <w:spacing w:after="0"/>
            </w:pPr>
            <w:r>
              <w:rPr>
                <w:sz w:val="18"/>
              </w:rPr>
              <w:t>Duplicate rows before cleaning</w:t>
            </w:r>
          </w:p>
        </w:tc>
        <w:tc>
          <w:tcPr>
            <w:tcW w:type="dxa" w:w="5112"/>
            <w:vAlign w:val="center"/>
            <w:tcMar>
              <w:top w:w="80" w:type="dxa"/>
              <w:start w:w="80" w:type="dxa"/>
              <w:bottom w:w="80" w:type="dxa"/>
              <w:end w:w="80" w:type="dxa"/>
            </w:tcMar>
          </w:tcPr>
          <w:p>
            <w:pPr>
              <w:spacing w:after="0"/>
            </w:pPr>
            <w:r>
              <w:rPr>
                <w:sz w:val="18"/>
              </w:rPr>
              <w:t>0</w:t>
            </w:r>
          </w:p>
        </w:tc>
      </w:tr>
      <w:tr>
        <w:trPr>
          <w:cantSplit/>
        </w:trPr>
        <w:tc>
          <w:tcPr>
            <w:tcW w:type="dxa" w:w="5112"/>
            <w:vAlign w:val="center"/>
            <w:tcMar>
              <w:top w:w="80" w:type="dxa"/>
              <w:start w:w="80" w:type="dxa"/>
              <w:bottom w:w="80" w:type="dxa"/>
              <w:end w:w="80" w:type="dxa"/>
            </w:tcMar>
          </w:tcPr>
          <w:p>
            <w:pPr>
              <w:spacing w:after="0"/>
            </w:pPr>
            <w:r>
              <w:rPr>
                <w:sz w:val="18"/>
              </w:rPr>
              <w:t>Problematic column</w:t>
            </w:r>
          </w:p>
        </w:tc>
        <w:tc>
          <w:tcPr>
            <w:tcW w:type="dxa" w:w="5112"/>
            <w:vAlign w:val="center"/>
            <w:tcMar>
              <w:top w:w="80" w:type="dxa"/>
              <w:start w:w="80" w:type="dxa"/>
              <w:bottom w:w="80" w:type="dxa"/>
              <w:end w:w="80" w:type="dxa"/>
            </w:tcMar>
          </w:tcPr>
          <w:p>
            <w:pPr>
              <w:spacing w:after="0"/>
            </w:pPr>
            <w:r>
              <w:rPr>
                <w:sz w:val="18"/>
              </w:rPr>
              <w:t>TotalCharges stored as object</w:t>
            </w:r>
          </w:p>
        </w:tc>
      </w:tr>
      <w:tr>
        <w:trPr>
          <w:cantSplit/>
        </w:trPr>
        <w:tc>
          <w:tcPr>
            <w:tcW w:type="dxa" w:w="5112"/>
            <w:vAlign w:val="center"/>
            <w:tcMar>
              <w:top w:w="80" w:type="dxa"/>
              <w:start w:w="80" w:type="dxa"/>
              <w:bottom w:w="80" w:type="dxa"/>
              <w:end w:w="80" w:type="dxa"/>
            </w:tcMar>
          </w:tcPr>
          <w:p>
            <w:pPr>
              <w:spacing w:after="0"/>
            </w:pPr>
            <w:r>
              <w:rPr>
                <w:sz w:val="18"/>
              </w:rPr>
              <w:t>Blank TotalCharges values</w:t>
            </w:r>
          </w:p>
        </w:tc>
        <w:tc>
          <w:tcPr>
            <w:tcW w:type="dxa" w:w="5112"/>
            <w:vAlign w:val="center"/>
            <w:tcMar>
              <w:top w:w="80" w:type="dxa"/>
              <w:start w:w="80" w:type="dxa"/>
              <w:bottom w:w="80" w:type="dxa"/>
              <w:end w:w="80" w:type="dxa"/>
            </w:tcMar>
          </w:tcPr>
          <w:p>
            <w:pPr>
              <w:spacing w:after="0"/>
            </w:pPr>
            <w:r>
              <w:rPr>
                <w:sz w:val="18"/>
              </w:rPr>
              <w:t>11 blank strings</w:t>
            </w:r>
          </w:p>
        </w:tc>
      </w:tr>
    </w:tbl>
    <w:p>
      <w:pPr>
        <w:pStyle w:val="Heading2"/>
        <w:spacing w:before="120" w:after="100"/>
      </w:pPr>
      <w:r>
        <w:t>3.2 TotalCharges Investigation</w:t>
      </w:r>
    </w:p>
    <w:p>
      <w:pPr>
        <w:spacing w:after="120" w:line="259" w:lineRule="auto"/>
      </w:pPr>
      <w:r>
        <w:t>TotalCharges represented a monetary amount but was stored as object. Converting the column directly with errors='coerce' produced 11 missing numeric values. These records were then inspected against customer tenure. All 11 affected customers had tenure = 0, so they represent newly activated customers with no recorded accumulated charge in the supplied data. The project therefore retained those observations and represented TotalCharges as 0.0 after numeric conversion.</w:t>
      </w:r>
    </w:p>
    <w:p>
      <w:r>
        <w:br w:type="page"/>
      </w:r>
    </w:p>
    <w:p>
      <w:pPr>
        <w:pStyle w:val="Heading2"/>
        <w:spacing w:before="120" w:after="100"/>
      </w:pPr>
      <w:r>
        <w:t>3.3 Cleaning Logic</w:t>
      </w:r>
    </w:p>
    <w:p>
      <w:pPr>
        <w:spacing w:before="60" w:after="120"/>
        <w:ind w:left="360" w:right="360"/>
        <w:shd w:fill="F5F5F5"/>
      </w:pPr>
      <w:r>
        <w:rPr>
          <w:rFonts w:ascii="Courier New" w:hAnsi="Courier New"/>
          <w:sz w:val="16"/>
        </w:rPr>
        <w:t># Clean text whitespace and convert TotalCharges</w:t>
        <w:br/>
        <w:t>for col in clean_df.select_dtypes(include="object").columns:</w:t>
        <w:br/>
        <w:t xml:space="preserve">    clean_df[col] = clean_df[col].astype(str).str.strip()</w:t>
        <w:br/>
        <w:br/>
        <w:t>clean_df["TotalCharges"] = pd.to_numeric(</w:t>
        <w:br/>
        <w:t xml:space="preserve">    clean_df["TotalCharges"], errors="coerce"</w:t>
        <w:br/>
        <w:t>)</w:t>
        <w:br/>
        <w:t>clean_df["TotalCharges"] = clean_df["TotalCharges"].fillna(0.0)</w:t>
      </w:r>
    </w:p>
    <w:p>
      <w:pPr>
        <w:spacing w:after="120" w:line="259" w:lineRule="auto"/>
      </w:pPr>
      <w:r>
        <w:t>The final validation reported 7,043 rows, 21 columns, zero missing values, zero duplicate rows, and TotalCharges with float64 type. Numerical ranges were also checked: tenure 0–72 months, MonthlyCharges 18.25–118.75, and TotalCharges 0.0–8684.80.</w:t>
      </w:r>
    </w:p>
    <w:p>
      <w:pPr>
        <w:pStyle w:val="Heading1"/>
        <w:spacing w:before="200" w:after="100"/>
      </w:pPr>
      <w:r>
        <w:t>4. Exploratory Data Analysis</w:t>
      </w:r>
    </w:p>
    <w:p>
      <w:pPr>
        <w:spacing w:after="120" w:line="259" w:lineRule="auto"/>
      </w:pPr>
      <w:r>
        <w:t>EDA was designed to answer two questions: (1) what is the structure of the customer base, and (2) which variables show meaningful differences across churn status? The analysis combines counts, rates, distributions, correlation analysis, chi-square association testing, and Mann-Whitney tests.</w:t>
      </w:r>
    </w:p>
    <w:p>
      <w:pPr>
        <w:pStyle w:val="Heading2"/>
        <w:spacing w:before="120" w:after="100"/>
      </w:pPr>
      <w:r>
        <w:t>4.1 Overall Churn Distribution</w:t>
      </w:r>
    </w:p>
    <w:p>
      <w:pPr>
        <w:jc w:val="center"/>
      </w:pPr>
      <w:r>
        <w:drawing>
          <wp:inline xmlns:a="http://schemas.openxmlformats.org/drawingml/2006/main" xmlns:pic="http://schemas.openxmlformats.org/drawingml/2006/picture">
            <wp:extent cx="5806440" cy="4111005"/>
            <wp:docPr id="2" name="Picture 2"/>
            <wp:cNvGraphicFramePr>
              <a:graphicFrameLocks noChangeAspect="1"/>
            </wp:cNvGraphicFramePr>
            <a:graphic>
              <a:graphicData uri="http://schemas.openxmlformats.org/drawingml/2006/picture">
                <pic:pic>
                  <pic:nvPicPr>
                    <pic:cNvPr id="0" name="01_overall_churn_distribution.png"/>
                    <pic:cNvPicPr/>
                  </pic:nvPicPr>
                  <pic:blipFill>
                    <a:blip r:embed="rId12"/>
                    <a:stretch>
                      <a:fillRect/>
                    </a:stretch>
                  </pic:blipFill>
                  <pic:spPr>
                    <a:xfrm>
                      <a:off x="0" y="0"/>
                      <a:ext cx="5806440" cy="4111005"/>
                    </a:xfrm>
                    <a:prstGeom prst="rect"/>
                  </pic:spPr>
                </pic:pic>
              </a:graphicData>
            </a:graphic>
          </wp:inline>
        </w:drawing>
      </w:r>
    </w:p>
    <w:p>
      <w:pPr>
        <w:jc w:val="center"/>
      </w:pPr>
      <w:r>
        <w:rPr>
          <w:i/>
          <w:color w:val="595959"/>
          <w:sz w:val="18"/>
        </w:rPr>
        <w:t>Figure 2. Overall churn distribution: 5,174 non-churners and 1,869 churners.</w:t>
      </w:r>
    </w:p>
    <w:p>
      <w:pPr>
        <w:spacing w:after="120" w:line="259" w:lineRule="auto"/>
      </w:pPr>
      <w:r>
        <w:t>The churn class represents 26.54% of the dataset, while 73.46% of customers did not churn. This class imbalance means accuracy alone is insufficient for evaluating the predictive models; recall, precision, F1, ROC-AUC and PR-AUC are therefore reported.</w:t>
      </w:r>
    </w:p>
    <w:p>
      <w:pPr>
        <w:pStyle w:val="Heading2"/>
        <w:spacing w:before="120" w:after="100"/>
      </w:pPr>
      <w:r>
        <w:t>4.2 Contract and Internet Service</w:t>
      </w:r>
    </w:p>
    <w:p>
      <w:pPr>
        <w:jc w:val="center"/>
      </w:pPr>
      <w:r>
        <w:drawing>
          <wp:inline xmlns:a="http://schemas.openxmlformats.org/drawingml/2006/main" xmlns:pic="http://schemas.openxmlformats.org/drawingml/2006/picture">
            <wp:extent cx="5806440" cy="3186738"/>
            <wp:docPr id="3" name="Picture 3"/>
            <wp:cNvGraphicFramePr>
              <a:graphicFrameLocks noChangeAspect="1"/>
            </wp:cNvGraphicFramePr>
            <a:graphic>
              <a:graphicData uri="http://schemas.openxmlformats.org/drawingml/2006/picture">
                <pic:pic>
                  <pic:nvPicPr>
                    <pic:cNvPr id="0" name="02_churn_by_contract.png"/>
                    <pic:cNvPicPr/>
                  </pic:nvPicPr>
                  <pic:blipFill>
                    <a:blip r:embed="rId13"/>
                    <a:stretch>
                      <a:fillRect/>
                    </a:stretch>
                  </pic:blipFill>
                  <pic:spPr>
                    <a:xfrm>
                      <a:off x="0" y="0"/>
                      <a:ext cx="5806440" cy="3186738"/>
                    </a:xfrm>
                    <a:prstGeom prst="rect"/>
                  </pic:spPr>
                </pic:pic>
              </a:graphicData>
            </a:graphic>
          </wp:inline>
        </w:drawing>
      </w:r>
    </w:p>
    <w:p>
      <w:pPr>
        <w:jc w:val="center"/>
      </w:pPr>
      <w:r>
        <w:rPr>
          <w:i/>
          <w:color w:val="595959"/>
          <w:sz w:val="18"/>
        </w:rPr>
        <w:t>Figure 3. Observed churn rate by contract type.</w:t>
      </w:r>
    </w:p>
    <w:p>
      <w:pPr>
        <w:spacing w:after="120" w:line="259" w:lineRule="auto"/>
      </w:pPr>
      <w:r>
        <w:t>Month-to-month customers show an observed churn rate of 42.71%, compared with 11.27% for one-year contracts and 2.83% for two-year contracts. Contract type also had the strongest categorical association with churn, with Cramer's V = 0.4101. This pattern is descriptive and does not prove that contract type causes churn.</w:t>
      </w:r>
    </w:p>
    <w:p>
      <w:pPr>
        <w:jc w:val="center"/>
      </w:pPr>
      <w:r>
        <w:drawing>
          <wp:inline xmlns:a="http://schemas.openxmlformats.org/drawingml/2006/main" xmlns:pic="http://schemas.openxmlformats.org/drawingml/2006/picture">
            <wp:extent cx="5806440" cy="3183902"/>
            <wp:docPr id="4" name="Picture 4"/>
            <wp:cNvGraphicFramePr>
              <a:graphicFrameLocks noChangeAspect="1"/>
            </wp:cNvGraphicFramePr>
            <a:graphic>
              <a:graphicData uri="http://schemas.openxmlformats.org/drawingml/2006/picture">
                <pic:pic>
                  <pic:nvPicPr>
                    <pic:cNvPr id="0" name="03_churn_by_internet_service.png"/>
                    <pic:cNvPicPr/>
                  </pic:nvPicPr>
                  <pic:blipFill>
                    <a:blip r:embed="rId14"/>
                    <a:stretch>
                      <a:fillRect/>
                    </a:stretch>
                  </pic:blipFill>
                  <pic:spPr>
                    <a:xfrm>
                      <a:off x="0" y="0"/>
                      <a:ext cx="5806440" cy="3183902"/>
                    </a:xfrm>
                    <a:prstGeom prst="rect"/>
                  </pic:spPr>
                </pic:pic>
              </a:graphicData>
            </a:graphic>
          </wp:inline>
        </w:drawing>
      </w:r>
    </w:p>
    <w:p>
      <w:pPr>
        <w:jc w:val="center"/>
      </w:pPr>
      <w:r>
        <w:rPr>
          <w:i/>
          <w:color w:val="595959"/>
          <w:sz w:val="18"/>
        </w:rPr>
        <w:t>Figure 4. Observed churn rate by internet service type.</w:t>
      </w:r>
    </w:p>
    <w:p>
      <w:pPr>
        <w:spacing w:after="120" w:line="259" w:lineRule="auto"/>
      </w:pPr>
      <w:r>
        <w:t>Fiber optic customers show 41.89% churn, DSL customers 18.96%, and customers without internet service 7.40%. InternetService had Cramer's V = 0.3225, placing it among the stronger categorical associations.</w:t>
      </w:r>
    </w:p>
    <w:p>
      <w:pPr>
        <w:pStyle w:val="Heading2"/>
        <w:spacing w:before="120" w:after="100"/>
      </w:pPr>
      <w:r>
        <w:t>4.3 Payment Method</w:t>
      </w:r>
    </w:p>
    <w:p>
      <w:pPr>
        <w:jc w:val="center"/>
      </w:pPr>
      <w:r>
        <w:drawing>
          <wp:inline xmlns:a="http://schemas.openxmlformats.org/drawingml/2006/main" xmlns:pic="http://schemas.openxmlformats.org/drawingml/2006/picture">
            <wp:extent cx="5806440" cy="3181067"/>
            <wp:docPr id="5" name="Picture 5"/>
            <wp:cNvGraphicFramePr>
              <a:graphicFrameLocks noChangeAspect="1"/>
            </wp:cNvGraphicFramePr>
            <a:graphic>
              <a:graphicData uri="http://schemas.openxmlformats.org/drawingml/2006/picture">
                <pic:pic>
                  <pic:nvPicPr>
                    <pic:cNvPr id="0" name="04_churn_by_payment_method.png"/>
                    <pic:cNvPicPr/>
                  </pic:nvPicPr>
                  <pic:blipFill>
                    <a:blip r:embed="rId15"/>
                    <a:stretch>
                      <a:fillRect/>
                    </a:stretch>
                  </pic:blipFill>
                  <pic:spPr>
                    <a:xfrm>
                      <a:off x="0" y="0"/>
                      <a:ext cx="5806440" cy="3181067"/>
                    </a:xfrm>
                    <a:prstGeom prst="rect"/>
                  </pic:spPr>
                </pic:pic>
              </a:graphicData>
            </a:graphic>
          </wp:inline>
        </w:drawing>
      </w:r>
    </w:p>
    <w:p>
      <w:pPr>
        <w:jc w:val="center"/>
      </w:pPr>
      <w:r>
        <w:rPr>
          <w:i/>
          <w:color w:val="595959"/>
          <w:sz w:val="18"/>
        </w:rPr>
        <w:t>Figure 5. Observed churn rate by payment method.</w:t>
      </w:r>
    </w:p>
    <w:p>
      <w:pPr>
        <w:spacing w:after="120" w:line="259" w:lineRule="auto"/>
      </w:pPr>
      <w:r>
        <w:t>Electronic-check customers show a 45.29% churn rate, compared with 19.11% for mailed checks, 16.71% for automatic bank transfer, and 15.24% for automatic credit card. Payment method had Cramer's V = 0.3034. The interpretation is that payment method separates groups with different observed churn rates; it is not treated as a causal mechanism.</w:t>
      </w:r>
    </w:p>
    <w:p>
      <w:pPr>
        <w:pStyle w:val="Heading2"/>
        <w:spacing w:before="120" w:after="100"/>
      </w:pPr>
      <w:r>
        <w:t>4.4 Tenure and Customer Lifecycle</w:t>
      </w:r>
    </w:p>
    <w:p>
      <w:pPr>
        <w:jc w:val="center"/>
      </w:pPr>
      <w:r>
        <w:drawing>
          <wp:inline xmlns:a="http://schemas.openxmlformats.org/drawingml/2006/main" xmlns:pic="http://schemas.openxmlformats.org/drawingml/2006/picture">
            <wp:extent cx="5806440" cy="3186738"/>
            <wp:docPr id="6" name="Picture 6"/>
            <wp:cNvGraphicFramePr>
              <a:graphicFrameLocks noChangeAspect="1"/>
            </wp:cNvGraphicFramePr>
            <a:graphic>
              <a:graphicData uri="http://schemas.openxmlformats.org/drawingml/2006/picture">
                <pic:pic>
                  <pic:nvPicPr>
                    <pic:cNvPr id="0" name="05_churn_by_tenure_group.png"/>
                    <pic:cNvPicPr/>
                  </pic:nvPicPr>
                  <pic:blipFill>
                    <a:blip r:embed="rId16"/>
                    <a:stretch>
                      <a:fillRect/>
                    </a:stretch>
                  </pic:blipFill>
                  <pic:spPr>
                    <a:xfrm>
                      <a:off x="0" y="0"/>
                      <a:ext cx="5806440" cy="3186738"/>
                    </a:xfrm>
                    <a:prstGeom prst="rect"/>
                  </pic:spPr>
                </pic:pic>
              </a:graphicData>
            </a:graphic>
          </wp:inline>
        </w:drawing>
      </w:r>
    </w:p>
    <w:p>
      <w:pPr>
        <w:jc w:val="center"/>
      </w:pPr>
      <w:r>
        <w:rPr>
          <w:i/>
          <w:color w:val="595959"/>
          <w:sz w:val="18"/>
        </w:rPr>
        <w:t>Figure 6. Observed churn rate by tenure group.</w:t>
      </w:r>
    </w:p>
    <w:p>
      <w:pPr>
        <w:spacing w:after="120" w:line="259" w:lineRule="auto"/>
      </w:pPr>
      <w:r>
        <w:t>The strongest lifecycle pattern is the decline in observed churn across tenure groups: 52.94% for 0–6 months, 35.89% for 7–12 months, 28.71% for 13–24 months, 20.39% for 25–48 months, and 9.51% for 49–72 months. The mean tenure is 17.98 months for churned customers versus 37.57 months for non-churned customers; the median difference is even larger, at 10 versus 38 months.</w:t>
      </w:r>
    </w:p>
    <w:p>
      <w:pPr>
        <w:pStyle w:val="Heading2"/>
        <w:spacing w:before="120" w:after="100"/>
      </w:pPr>
      <w:r>
        <w:t>4.5 Service Adoption</w:t>
      </w:r>
    </w:p>
    <w:p>
      <w:pPr>
        <w:jc w:val="center"/>
      </w:pPr>
      <w:r>
        <w:drawing>
          <wp:inline xmlns:a="http://schemas.openxmlformats.org/drawingml/2006/main" xmlns:pic="http://schemas.openxmlformats.org/drawingml/2006/picture">
            <wp:extent cx="5806440" cy="3589332"/>
            <wp:docPr id="7" name="Picture 7"/>
            <wp:cNvGraphicFramePr>
              <a:graphicFrameLocks noChangeAspect="1"/>
            </wp:cNvGraphicFramePr>
            <a:graphic>
              <a:graphicData uri="http://schemas.openxmlformats.org/drawingml/2006/picture">
                <pic:pic>
                  <pic:nvPicPr>
                    <pic:cNvPr id="0" name="06_churn_by_service_count.png"/>
                    <pic:cNvPicPr/>
                  </pic:nvPicPr>
                  <pic:blipFill>
                    <a:blip r:embed="rId17"/>
                    <a:stretch>
                      <a:fillRect/>
                    </a:stretch>
                  </pic:blipFill>
                  <pic:spPr>
                    <a:xfrm>
                      <a:off x="0" y="0"/>
                      <a:ext cx="5806440" cy="3589332"/>
                    </a:xfrm>
                    <a:prstGeom prst="rect"/>
                  </pic:spPr>
                </pic:pic>
              </a:graphicData>
            </a:graphic>
          </wp:inline>
        </w:drawing>
      </w:r>
    </w:p>
    <w:p>
      <w:pPr>
        <w:jc w:val="center"/>
      </w:pPr>
      <w:r>
        <w:rPr>
          <w:i/>
          <w:color w:val="595959"/>
          <w:sz w:val="18"/>
        </w:rPr>
        <w:t>Figure 7. Observed churn rate by number of subscribed services.</w:t>
      </w:r>
    </w:p>
    <w:p>
      <w:pPr>
        <w:spacing w:after="120" w:line="259" w:lineRule="auto"/>
      </w:pPr>
      <w:r>
        <w:t>Service count shows a non-monotonic pattern: customers with zero services have 43.75% churn, one service 21.11%, two services 32.83%, three services 36.48%, and eight services 5.29%. The small zero-service group (80 customers) should not be overinterpreted, while the much lower rate at eight services is consistent with a highly engaged customer profile in this dataset.</w:t>
      </w:r>
    </w:p>
    <w:p>
      <w:pPr>
        <w:pStyle w:val="Heading2"/>
        <w:spacing w:before="120" w:after="100"/>
      </w:pPr>
      <w:r>
        <w:t>4.6 Numerical Distributions and Churn Differences</w:t>
      </w:r>
    </w:p>
    <w:p>
      <w:pPr>
        <w:jc w:val="center"/>
      </w:pPr>
      <w:r>
        <w:drawing>
          <wp:inline xmlns:a="http://schemas.openxmlformats.org/drawingml/2006/main" xmlns:pic="http://schemas.openxmlformats.org/drawingml/2006/picture">
            <wp:extent cx="5806440" cy="3589332"/>
            <wp:docPr id="8" name="Picture 8"/>
            <wp:cNvGraphicFramePr>
              <a:graphicFrameLocks noChangeAspect="1"/>
            </wp:cNvGraphicFramePr>
            <a:graphic>
              <a:graphicData uri="http://schemas.openxmlformats.org/drawingml/2006/picture">
                <pic:pic>
                  <pic:nvPicPr>
                    <pic:cNvPr id="0" name="08_monthly_charges_by_churn.png"/>
                    <pic:cNvPicPr/>
                  </pic:nvPicPr>
                  <pic:blipFill>
                    <a:blip r:embed="rId18"/>
                    <a:stretch>
                      <a:fillRect/>
                    </a:stretch>
                  </pic:blipFill>
                  <pic:spPr>
                    <a:xfrm>
                      <a:off x="0" y="0"/>
                      <a:ext cx="5806440" cy="3589332"/>
                    </a:xfrm>
                    <a:prstGeom prst="rect"/>
                  </pic:spPr>
                </pic:pic>
              </a:graphicData>
            </a:graphic>
          </wp:inline>
        </w:drawing>
      </w:r>
    </w:p>
    <w:p>
      <w:pPr>
        <w:jc w:val="center"/>
      </w:pPr>
      <w:r>
        <w:rPr>
          <w:i/>
          <w:color w:val="595959"/>
          <w:sz w:val="18"/>
        </w:rPr>
        <w:t>Figure 8. Monthly charges by churn status.</w:t>
      </w:r>
    </w:p>
    <w:p>
      <w:pPr>
        <w:jc w:val="center"/>
      </w:pPr>
      <w:r>
        <w:drawing>
          <wp:inline xmlns:a="http://schemas.openxmlformats.org/drawingml/2006/main" xmlns:pic="http://schemas.openxmlformats.org/drawingml/2006/picture">
            <wp:extent cx="5806440" cy="3589332"/>
            <wp:docPr id="9" name="Picture 9"/>
            <wp:cNvGraphicFramePr>
              <a:graphicFrameLocks noChangeAspect="1"/>
            </wp:cNvGraphicFramePr>
            <a:graphic>
              <a:graphicData uri="http://schemas.openxmlformats.org/drawingml/2006/picture">
                <pic:pic>
                  <pic:nvPicPr>
                    <pic:cNvPr id="0" name="09_total_charges_by_churn.png"/>
                    <pic:cNvPicPr/>
                  </pic:nvPicPr>
                  <pic:blipFill>
                    <a:blip r:embed="rId19"/>
                    <a:stretch>
                      <a:fillRect/>
                    </a:stretch>
                  </pic:blipFill>
                  <pic:spPr>
                    <a:xfrm>
                      <a:off x="0" y="0"/>
                      <a:ext cx="5806440" cy="3589332"/>
                    </a:xfrm>
                    <a:prstGeom prst="rect"/>
                  </pic:spPr>
                </pic:pic>
              </a:graphicData>
            </a:graphic>
          </wp:inline>
        </w:drawing>
      </w:r>
    </w:p>
    <w:p>
      <w:pPr>
        <w:jc w:val="center"/>
      </w:pPr>
      <w:r>
        <w:rPr>
          <w:i/>
          <w:color w:val="595959"/>
          <w:sz w:val="18"/>
        </w:rPr>
        <w:t>Figure 9. Total charges by churn status.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7"/>
              </w:rPr>
              <w:t>Metric</w:t>
            </w:r>
          </w:p>
        </w:tc>
        <w:tc>
          <w:tcPr>
            <w:tcW w:type="dxa" w:w="3408"/>
            <w:vAlign w:val="center"/>
            <w:tcMar>
              <w:top w:w="80" w:type="dxa"/>
              <w:start w:w="80" w:type="dxa"/>
              <w:bottom w:w="80" w:type="dxa"/>
              <w:end w:w="80" w:type="dxa"/>
            </w:tcMar>
            <w:shd w:fill="D9E2F3"/>
          </w:tcPr>
          <w:p>
            <w:pPr>
              <w:spacing w:after="0"/>
            </w:pPr>
            <w:r>
              <w:rPr>
                <w:b/>
                <w:sz w:val="17"/>
              </w:rPr>
              <w:t>No churn</w:t>
            </w:r>
          </w:p>
        </w:tc>
        <w:tc>
          <w:tcPr>
            <w:tcW w:type="dxa" w:w="3408"/>
            <w:vAlign w:val="center"/>
            <w:tcMar>
              <w:top w:w="80" w:type="dxa"/>
              <w:start w:w="80" w:type="dxa"/>
              <w:bottom w:w="80" w:type="dxa"/>
              <w:end w:w="80" w:type="dxa"/>
            </w:tcMar>
            <w:shd w:fill="D9E2F3"/>
          </w:tcPr>
          <w:p>
            <w:pPr>
              <w:spacing w:after="0"/>
            </w:pPr>
            <w:r>
              <w:rPr>
                <w:b/>
                <w:sz w:val="17"/>
              </w:rPr>
              <w:t>Churn</w:t>
            </w:r>
          </w:p>
        </w:tc>
      </w:tr>
      <w:tr>
        <w:trPr>
          <w:cantSplit/>
        </w:trPr>
        <w:tc>
          <w:tcPr>
            <w:tcW w:type="dxa" w:w="3408"/>
            <w:vAlign w:val="center"/>
            <w:tcMar>
              <w:top w:w="80" w:type="dxa"/>
              <w:start w:w="80" w:type="dxa"/>
              <w:bottom w:w="80" w:type="dxa"/>
              <w:end w:w="80" w:type="dxa"/>
            </w:tcMar>
          </w:tcPr>
          <w:p>
            <w:pPr>
              <w:spacing w:after="0"/>
            </w:pPr>
            <w:r>
              <w:rPr>
                <w:sz w:val="17"/>
              </w:rPr>
              <w:t>Mean tenure</w:t>
            </w:r>
          </w:p>
        </w:tc>
        <w:tc>
          <w:tcPr>
            <w:tcW w:type="dxa" w:w="3408"/>
            <w:vAlign w:val="center"/>
            <w:tcMar>
              <w:top w:w="80" w:type="dxa"/>
              <w:start w:w="80" w:type="dxa"/>
              <w:bottom w:w="80" w:type="dxa"/>
              <w:end w:w="80" w:type="dxa"/>
            </w:tcMar>
          </w:tcPr>
          <w:p>
            <w:pPr>
              <w:spacing w:after="0"/>
            </w:pPr>
            <w:r>
              <w:rPr>
                <w:sz w:val="17"/>
              </w:rPr>
              <w:t>37.57</w:t>
            </w:r>
          </w:p>
        </w:tc>
        <w:tc>
          <w:tcPr>
            <w:tcW w:type="dxa" w:w="3408"/>
            <w:vAlign w:val="center"/>
            <w:tcMar>
              <w:top w:w="80" w:type="dxa"/>
              <w:start w:w="80" w:type="dxa"/>
              <w:bottom w:w="80" w:type="dxa"/>
              <w:end w:w="80" w:type="dxa"/>
            </w:tcMar>
          </w:tcPr>
          <w:p>
            <w:pPr>
              <w:spacing w:after="0"/>
            </w:pPr>
            <w:r>
              <w:rPr>
                <w:sz w:val="17"/>
              </w:rPr>
              <w:t>17.98</w:t>
            </w:r>
          </w:p>
        </w:tc>
      </w:tr>
      <w:tr>
        <w:trPr>
          <w:cantSplit/>
        </w:trPr>
        <w:tc>
          <w:tcPr>
            <w:tcW w:type="dxa" w:w="3408"/>
            <w:vAlign w:val="center"/>
            <w:tcMar>
              <w:top w:w="80" w:type="dxa"/>
              <w:start w:w="80" w:type="dxa"/>
              <w:bottom w:w="80" w:type="dxa"/>
              <w:end w:w="80" w:type="dxa"/>
            </w:tcMar>
          </w:tcPr>
          <w:p>
            <w:pPr>
              <w:spacing w:after="0"/>
            </w:pPr>
            <w:r>
              <w:rPr>
                <w:sz w:val="17"/>
              </w:rPr>
              <w:t>Median tenure</w:t>
            </w:r>
          </w:p>
        </w:tc>
        <w:tc>
          <w:tcPr>
            <w:tcW w:type="dxa" w:w="3408"/>
            <w:vAlign w:val="center"/>
            <w:tcMar>
              <w:top w:w="80" w:type="dxa"/>
              <w:start w:w="80" w:type="dxa"/>
              <w:bottom w:w="80" w:type="dxa"/>
              <w:end w:w="80" w:type="dxa"/>
            </w:tcMar>
          </w:tcPr>
          <w:p>
            <w:pPr>
              <w:spacing w:after="0"/>
            </w:pPr>
            <w:r>
              <w:rPr>
                <w:sz w:val="17"/>
              </w:rPr>
              <w:t>38.00</w:t>
            </w:r>
          </w:p>
        </w:tc>
        <w:tc>
          <w:tcPr>
            <w:tcW w:type="dxa" w:w="3408"/>
            <w:vAlign w:val="center"/>
            <w:tcMar>
              <w:top w:w="80" w:type="dxa"/>
              <w:start w:w="80" w:type="dxa"/>
              <w:bottom w:w="80" w:type="dxa"/>
              <w:end w:w="80" w:type="dxa"/>
            </w:tcMar>
          </w:tcPr>
          <w:p>
            <w:pPr>
              <w:spacing w:after="0"/>
            </w:pPr>
            <w:r>
              <w:rPr>
                <w:sz w:val="17"/>
              </w:rPr>
              <w:t>10.00</w:t>
            </w:r>
          </w:p>
        </w:tc>
      </w:tr>
      <w:tr>
        <w:trPr>
          <w:cantSplit/>
        </w:trPr>
        <w:tc>
          <w:tcPr>
            <w:tcW w:type="dxa" w:w="3408"/>
            <w:vAlign w:val="center"/>
            <w:tcMar>
              <w:top w:w="80" w:type="dxa"/>
              <w:start w:w="80" w:type="dxa"/>
              <w:bottom w:w="80" w:type="dxa"/>
              <w:end w:w="80" w:type="dxa"/>
            </w:tcMar>
          </w:tcPr>
          <w:p>
            <w:pPr>
              <w:spacing w:after="0"/>
            </w:pPr>
            <w:r>
              <w:rPr>
                <w:sz w:val="17"/>
              </w:rPr>
              <w:t>Mean monthly charges</w:t>
            </w:r>
          </w:p>
        </w:tc>
        <w:tc>
          <w:tcPr>
            <w:tcW w:type="dxa" w:w="3408"/>
            <w:vAlign w:val="center"/>
            <w:tcMar>
              <w:top w:w="80" w:type="dxa"/>
              <w:start w:w="80" w:type="dxa"/>
              <w:bottom w:w="80" w:type="dxa"/>
              <w:end w:w="80" w:type="dxa"/>
            </w:tcMar>
          </w:tcPr>
          <w:p>
            <w:pPr>
              <w:spacing w:after="0"/>
            </w:pPr>
            <w:r>
              <w:rPr>
                <w:sz w:val="17"/>
              </w:rPr>
              <w:t>61.27</w:t>
            </w:r>
          </w:p>
        </w:tc>
        <w:tc>
          <w:tcPr>
            <w:tcW w:type="dxa" w:w="3408"/>
            <w:vAlign w:val="center"/>
            <w:tcMar>
              <w:top w:w="80" w:type="dxa"/>
              <w:start w:w="80" w:type="dxa"/>
              <w:bottom w:w="80" w:type="dxa"/>
              <w:end w:w="80" w:type="dxa"/>
            </w:tcMar>
          </w:tcPr>
          <w:p>
            <w:pPr>
              <w:spacing w:after="0"/>
            </w:pPr>
            <w:r>
              <w:rPr>
                <w:sz w:val="17"/>
              </w:rPr>
              <w:t>74.44</w:t>
            </w:r>
          </w:p>
        </w:tc>
      </w:tr>
      <w:tr>
        <w:trPr>
          <w:cantSplit/>
        </w:trPr>
        <w:tc>
          <w:tcPr>
            <w:tcW w:type="dxa" w:w="3408"/>
            <w:vAlign w:val="center"/>
            <w:tcMar>
              <w:top w:w="80" w:type="dxa"/>
              <w:start w:w="80" w:type="dxa"/>
              <w:bottom w:w="80" w:type="dxa"/>
              <w:end w:w="80" w:type="dxa"/>
            </w:tcMar>
          </w:tcPr>
          <w:p>
            <w:pPr>
              <w:spacing w:after="0"/>
            </w:pPr>
            <w:r>
              <w:rPr>
                <w:sz w:val="17"/>
              </w:rPr>
              <w:t>Median monthly charges</w:t>
            </w:r>
          </w:p>
        </w:tc>
        <w:tc>
          <w:tcPr>
            <w:tcW w:type="dxa" w:w="3408"/>
            <w:vAlign w:val="center"/>
            <w:tcMar>
              <w:top w:w="80" w:type="dxa"/>
              <w:start w:w="80" w:type="dxa"/>
              <w:bottom w:w="80" w:type="dxa"/>
              <w:end w:w="80" w:type="dxa"/>
            </w:tcMar>
          </w:tcPr>
          <w:p>
            <w:pPr>
              <w:spacing w:after="0"/>
            </w:pPr>
            <w:r>
              <w:rPr>
                <w:sz w:val="17"/>
              </w:rPr>
              <w:t>64.43</w:t>
            </w:r>
          </w:p>
        </w:tc>
        <w:tc>
          <w:tcPr>
            <w:tcW w:type="dxa" w:w="3408"/>
            <w:vAlign w:val="center"/>
            <w:tcMar>
              <w:top w:w="80" w:type="dxa"/>
              <w:start w:w="80" w:type="dxa"/>
              <w:bottom w:w="80" w:type="dxa"/>
              <w:end w:w="80" w:type="dxa"/>
            </w:tcMar>
          </w:tcPr>
          <w:p>
            <w:pPr>
              <w:spacing w:after="0"/>
            </w:pPr>
            <w:r>
              <w:rPr>
                <w:sz w:val="17"/>
              </w:rPr>
              <w:t>79.65</w:t>
            </w:r>
          </w:p>
        </w:tc>
      </w:tr>
      <w:tr>
        <w:trPr>
          <w:cantSplit/>
        </w:trPr>
        <w:tc>
          <w:tcPr>
            <w:tcW w:type="dxa" w:w="3408"/>
            <w:vAlign w:val="center"/>
            <w:tcMar>
              <w:top w:w="80" w:type="dxa"/>
              <w:start w:w="80" w:type="dxa"/>
              <w:bottom w:w="80" w:type="dxa"/>
              <w:end w:w="80" w:type="dxa"/>
            </w:tcMar>
          </w:tcPr>
          <w:p>
            <w:pPr>
              <w:spacing w:after="0"/>
            </w:pPr>
            <w:r>
              <w:rPr>
                <w:sz w:val="17"/>
              </w:rPr>
              <w:t>Mean total charges</w:t>
            </w:r>
          </w:p>
        </w:tc>
        <w:tc>
          <w:tcPr>
            <w:tcW w:type="dxa" w:w="3408"/>
            <w:vAlign w:val="center"/>
            <w:tcMar>
              <w:top w:w="80" w:type="dxa"/>
              <w:start w:w="80" w:type="dxa"/>
              <w:bottom w:w="80" w:type="dxa"/>
              <w:end w:w="80" w:type="dxa"/>
            </w:tcMar>
          </w:tcPr>
          <w:p>
            <w:pPr>
              <w:spacing w:after="0"/>
            </w:pPr>
            <w:r>
              <w:rPr>
                <w:sz w:val="17"/>
              </w:rPr>
              <w:t>2549.91</w:t>
            </w:r>
          </w:p>
        </w:tc>
        <w:tc>
          <w:tcPr>
            <w:tcW w:type="dxa" w:w="3408"/>
            <w:vAlign w:val="center"/>
            <w:tcMar>
              <w:top w:w="80" w:type="dxa"/>
              <w:start w:w="80" w:type="dxa"/>
              <w:bottom w:w="80" w:type="dxa"/>
              <w:end w:w="80" w:type="dxa"/>
            </w:tcMar>
          </w:tcPr>
          <w:p>
            <w:pPr>
              <w:spacing w:after="0"/>
            </w:pPr>
            <w:r>
              <w:rPr>
                <w:sz w:val="17"/>
              </w:rPr>
              <w:t>1531.80</w:t>
            </w:r>
          </w:p>
        </w:tc>
      </w:tr>
      <w:tr>
        <w:trPr>
          <w:cantSplit/>
        </w:trPr>
        <w:tc>
          <w:tcPr>
            <w:tcW w:type="dxa" w:w="3408"/>
            <w:vAlign w:val="center"/>
            <w:tcMar>
              <w:top w:w="80" w:type="dxa"/>
              <w:start w:w="80" w:type="dxa"/>
              <w:bottom w:w="80" w:type="dxa"/>
              <w:end w:w="80" w:type="dxa"/>
            </w:tcMar>
          </w:tcPr>
          <w:p>
            <w:pPr>
              <w:spacing w:after="0"/>
            </w:pPr>
            <w:r>
              <w:rPr>
                <w:sz w:val="17"/>
              </w:rPr>
              <w:t>Median total charges</w:t>
            </w:r>
          </w:p>
        </w:tc>
        <w:tc>
          <w:tcPr>
            <w:tcW w:type="dxa" w:w="3408"/>
            <w:vAlign w:val="center"/>
            <w:tcMar>
              <w:top w:w="80" w:type="dxa"/>
              <w:start w:w="80" w:type="dxa"/>
              <w:bottom w:w="80" w:type="dxa"/>
              <w:end w:w="80" w:type="dxa"/>
            </w:tcMar>
          </w:tcPr>
          <w:p>
            <w:pPr>
              <w:spacing w:after="0"/>
            </w:pPr>
            <w:r>
              <w:rPr>
                <w:sz w:val="17"/>
              </w:rPr>
              <w:t>1679.53</w:t>
            </w:r>
          </w:p>
        </w:tc>
        <w:tc>
          <w:tcPr>
            <w:tcW w:type="dxa" w:w="3408"/>
            <w:vAlign w:val="center"/>
            <w:tcMar>
              <w:top w:w="80" w:type="dxa"/>
              <w:start w:w="80" w:type="dxa"/>
              <w:bottom w:w="80" w:type="dxa"/>
              <w:end w:w="80" w:type="dxa"/>
            </w:tcMar>
          </w:tcPr>
          <w:p>
            <w:pPr>
              <w:spacing w:after="0"/>
            </w:pPr>
            <w:r>
              <w:rPr>
                <w:sz w:val="17"/>
              </w:rPr>
              <w:t>703.55</w:t>
            </w:r>
          </w:p>
        </w:tc>
      </w:tr>
    </w:tbl>
    <w:p>
      <w:pPr>
        <w:spacing w:after="120" w:line="259" w:lineRule="auto"/>
      </w:pPr>
      <w:r>
        <w:t>Churned customers have higher average and median monthly charges but much lower tenure and accumulated total charges. This combination is consistent with shorter-tenure customers who may have higher monthly service costs but have not yet accumulated high lifetime charges.</w:t>
      </w:r>
    </w:p>
    <w:p>
      <w:pPr>
        <w:pStyle w:val="Heading2"/>
        <w:spacing w:before="120" w:after="100"/>
      </w:pPr>
      <w:r>
        <w:t>4.7 Correlation Analysis</w:t>
      </w:r>
    </w:p>
    <w:p>
      <w:pPr>
        <w:jc w:val="center"/>
      </w:pPr>
      <w:r>
        <w:drawing>
          <wp:inline xmlns:a="http://schemas.openxmlformats.org/drawingml/2006/main" xmlns:pic="http://schemas.openxmlformats.org/drawingml/2006/picture">
            <wp:extent cx="5806440" cy="4714897"/>
            <wp:docPr id="10" name="Picture 10"/>
            <wp:cNvGraphicFramePr>
              <a:graphicFrameLocks noChangeAspect="1"/>
            </wp:cNvGraphicFramePr>
            <a:graphic>
              <a:graphicData uri="http://schemas.openxmlformats.org/drawingml/2006/picture">
                <pic:pic>
                  <pic:nvPicPr>
                    <pic:cNvPr id="0" name="07_correlation_heatmap.png"/>
                    <pic:cNvPicPr/>
                  </pic:nvPicPr>
                  <pic:blipFill>
                    <a:blip r:embed="rId20"/>
                    <a:stretch>
                      <a:fillRect/>
                    </a:stretch>
                  </pic:blipFill>
                  <pic:spPr>
                    <a:xfrm>
                      <a:off x="0" y="0"/>
                      <a:ext cx="5806440" cy="4714897"/>
                    </a:xfrm>
                    <a:prstGeom prst="rect"/>
                  </pic:spPr>
                </pic:pic>
              </a:graphicData>
            </a:graphic>
          </wp:inline>
        </w:drawing>
      </w:r>
    </w:p>
    <w:p>
      <w:pPr>
        <w:jc w:val="center"/>
      </w:pPr>
      <w:r>
        <w:rPr>
          <w:i/>
          <w:color w:val="595959"/>
          <w:sz w:val="18"/>
        </w:rPr>
        <w:t>Figure 10. Correlation matrix for numerical variables and churn.</w:t>
      </w:r>
    </w:p>
    <w:p>
      <w:pPr>
        <w:spacing w:after="120" w:line="259" w:lineRule="auto"/>
      </w:pPr>
      <w:r>
        <w:t>The strongest numerical relationships include tenure with TotalCharges (0.826), MonthlyCharges with Num_Services (0.802), and TotalCharges with Num_Services (0.796). Churn has correlation -0.352 with tenure, 0.193 with MonthlyCharges, and -0.198 with TotalCharges. Because correlation can reflect overlapping information, it is used as diagnostic evidence rather than as a causal claim.</w:t>
      </w:r>
    </w:p>
    <w:p>
      <w:pPr>
        <w:pStyle w:val="Heading2"/>
        <w:spacing w:before="120" w:after="100"/>
      </w:pPr>
      <w:r>
        <w:t>4.8 Statistical Association Tests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8"/>
              </w:rPr>
              <w:t>Feature</w:t>
            </w:r>
          </w:p>
        </w:tc>
        <w:tc>
          <w:tcPr>
            <w:tcW w:type="dxa" w:w="5112"/>
            <w:vAlign w:val="center"/>
            <w:tcMar>
              <w:top w:w="80" w:type="dxa"/>
              <w:start w:w="80" w:type="dxa"/>
              <w:bottom w:w="80" w:type="dxa"/>
              <w:end w:w="80" w:type="dxa"/>
            </w:tcMar>
            <w:shd w:fill="D9E2F3"/>
          </w:tcPr>
          <w:p>
            <w:pPr>
              <w:spacing w:after="0"/>
            </w:pPr>
            <w:r>
              <w:rPr>
                <w:b/>
                <w:sz w:val="18"/>
              </w:rPr>
              <w:t>Cramer V</w:t>
            </w:r>
          </w:p>
        </w:tc>
      </w:tr>
      <w:tr>
        <w:trPr>
          <w:cantSplit/>
        </w:trPr>
        <w:tc>
          <w:tcPr>
            <w:tcW w:type="dxa" w:w="5112"/>
            <w:vAlign w:val="center"/>
            <w:tcMar>
              <w:top w:w="80" w:type="dxa"/>
              <w:start w:w="80" w:type="dxa"/>
              <w:bottom w:w="80" w:type="dxa"/>
              <w:end w:w="80" w:type="dxa"/>
            </w:tcMar>
          </w:tcPr>
          <w:p>
            <w:pPr>
              <w:spacing w:after="0"/>
            </w:pPr>
            <w:r>
              <w:rPr>
                <w:sz w:val="18"/>
              </w:rPr>
              <w:t>Contract</w:t>
            </w:r>
          </w:p>
        </w:tc>
        <w:tc>
          <w:tcPr>
            <w:tcW w:type="dxa" w:w="5112"/>
            <w:vAlign w:val="center"/>
            <w:tcMar>
              <w:top w:w="80" w:type="dxa"/>
              <w:start w:w="80" w:type="dxa"/>
              <w:bottom w:w="80" w:type="dxa"/>
              <w:end w:w="80" w:type="dxa"/>
            </w:tcMar>
          </w:tcPr>
          <w:p>
            <w:pPr>
              <w:spacing w:after="0"/>
            </w:pPr>
            <w:r>
              <w:rPr>
                <w:sz w:val="18"/>
              </w:rPr>
              <w:t>0.41</w:t>
            </w:r>
          </w:p>
        </w:tc>
      </w:tr>
      <w:tr>
        <w:trPr>
          <w:cantSplit/>
        </w:trPr>
        <w:tc>
          <w:tcPr>
            <w:tcW w:type="dxa" w:w="5112"/>
            <w:vAlign w:val="center"/>
            <w:tcMar>
              <w:top w:w="80" w:type="dxa"/>
              <w:start w:w="80" w:type="dxa"/>
              <w:bottom w:w="80" w:type="dxa"/>
              <w:end w:w="80" w:type="dxa"/>
            </w:tcMar>
          </w:tcPr>
          <w:p>
            <w:pPr>
              <w:spacing w:after="0"/>
            </w:pPr>
            <w:r>
              <w:rPr>
                <w:sz w:val="18"/>
              </w:rPr>
              <w:t>OnlineSecurity</w:t>
            </w:r>
          </w:p>
        </w:tc>
        <w:tc>
          <w:tcPr>
            <w:tcW w:type="dxa" w:w="5112"/>
            <w:vAlign w:val="center"/>
            <w:tcMar>
              <w:top w:w="80" w:type="dxa"/>
              <w:start w:w="80" w:type="dxa"/>
              <w:bottom w:w="80" w:type="dxa"/>
              <w:end w:w="80" w:type="dxa"/>
            </w:tcMar>
          </w:tcPr>
          <w:p>
            <w:pPr>
              <w:spacing w:after="0"/>
            </w:pPr>
            <w:r>
              <w:rPr>
                <w:sz w:val="18"/>
              </w:rPr>
              <w:t>0.35</w:t>
            </w:r>
          </w:p>
        </w:tc>
      </w:tr>
      <w:tr>
        <w:trPr>
          <w:cantSplit/>
        </w:trPr>
        <w:tc>
          <w:tcPr>
            <w:tcW w:type="dxa" w:w="5112"/>
            <w:vAlign w:val="center"/>
            <w:tcMar>
              <w:top w:w="80" w:type="dxa"/>
              <w:start w:w="80" w:type="dxa"/>
              <w:bottom w:w="80" w:type="dxa"/>
              <w:end w:w="80" w:type="dxa"/>
            </w:tcMar>
          </w:tcPr>
          <w:p>
            <w:pPr>
              <w:spacing w:after="0"/>
            </w:pPr>
            <w:r>
              <w:rPr>
                <w:sz w:val="18"/>
              </w:rPr>
              <w:t>TechSupport</w:t>
            </w:r>
          </w:p>
        </w:tc>
        <w:tc>
          <w:tcPr>
            <w:tcW w:type="dxa" w:w="5112"/>
            <w:vAlign w:val="center"/>
            <w:tcMar>
              <w:top w:w="80" w:type="dxa"/>
              <w:start w:w="80" w:type="dxa"/>
              <w:bottom w:w="80" w:type="dxa"/>
              <w:end w:w="80" w:type="dxa"/>
            </w:tcMar>
          </w:tcPr>
          <w:p>
            <w:pPr>
              <w:spacing w:after="0"/>
            </w:pPr>
            <w:r>
              <w:rPr>
                <w:sz w:val="18"/>
              </w:rPr>
              <w:t>0.34</w:t>
            </w:r>
          </w:p>
        </w:tc>
      </w:tr>
      <w:tr>
        <w:trPr>
          <w:cantSplit/>
        </w:trPr>
        <w:tc>
          <w:tcPr>
            <w:tcW w:type="dxa" w:w="5112"/>
            <w:vAlign w:val="center"/>
            <w:tcMar>
              <w:top w:w="80" w:type="dxa"/>
              <w:start w:w="80" w:type="dxa"/>
              <w:bottom w:w="80" w:type="dxa"/>
              <w:end w:w="80" w:type="dxa"/>
            </w:tcMar>
          </w:tcPr>
          <w:p>
            <w:pPr>
              <w:spacing w:after="0"/>
            </w:pPr>
            <w:r>
              <w:rPr>
                <w:sz w:val="18"/>
              </w:rPr>
              <w:t>InternetService</w:t>
            </w:r>
          </w:p>
        </w:tc>
        <w:tc>
          <w:tcPr>
            <w:tcW w:type="dxa" w:w="5112"/>
            <w:vAlign w:val="center"/>
            <w:tcMar>
              <w:top w:w="80" w:type="dxa"/>
              <w:start w:w="80" w:type="dxa"/>
              <w:bottom w:w="80" w:type="dxa"/>
              <w:end w:w="80" w:type="dxa"/>
            </w:tcMar>
          </w:tcPr>
          <w:p>
            <w:pPr>
              <w:spacing w:after="0"/>
            </w:pPr>
            <w:r>
              <w:rPr>
                <w:sz w:val="18"/>
              </w:rPr>
              <w:t>0.32</w:t>
            </w:r>
          </w:p>
        </w:tc>
      </w:tr>
      <w:tr>
        <w:trPr>
          <w:cantSplit/>
        </w:trPr>
        <w:tc>
          <w:tcPr>
            <w:tcW w:type="dxa" w:w="5112"/>
            <w:vAlign w:val="center"/>
            <w:tcMar>
              <w:top w:w="80" w:type="dxa"/>
              <w:start w:w="80" w:type="dxa"/>
              <w:bottom w:w="80" w:type="dxa"/>
              <w:end w:w="80" w:type="dxa"/>
            </w:tcMar>
          </w:tcPr>
          <w:p>
            <w:pPr>
              <w:spacing w:after="0"/>
            </w:pPr>
            <w:r>
              <w:rPr>
                <w:sz w:val="18"/>
              </w:rPr>
              <w:t>PaymentMethod</w:t>
            </w:r>
          </w:p>
        </w:tc>
        <w:tc>
          <w:tcPr>
            <w:tcW w:type="dxa" w:w="5112"/>
            <w:vAlign w:val="center"/>
            <w:tcMar>
              <w:top w:w="80" w:type="dxa"/>
              <w:start w:w="80" w:type="dxa"/>
              <w:bottom w:w="80" w:type="dxa"/>
              <w:end w:w="80" w:type="dxa"/>
            </w:tcMar>
          </w:tcPr>
          <w:p>
            <w:pPr>
              <w:spacing w:after="0"/>
            </w:pPr>
            <w:r>
              <w:rPr>
                <w:sz w:val="18"/>
              </w:rPr>
              <w:t>0.30</w:t>
            </w:r>
          </w:p>
        </w:tc>
      </w:tr>
      <w:tr>
        <w:trPr>
          <w:cantSplit/>
        </w:trPr>
        <w:tc>
          <w:tcPr>
            <w:tcW w:type="dxa" w:w="5112"/>
            <w:vAlign w:val="center"/>
            <w:tcMar>
              <w:top w:w="80" w:type="dxa"/>
              <w:start w:w="80" w:type="dxa"/>
              <w:bottom w:w="80" w:type="dxa"/>
              <w:end w:w="80" w:type="dxa"/>
            </w:tcMar>
          </w:tcPr>
          <w:p>
            <w:pPr>
              <w:spacing w:after="0"/>
            </w:pPr>
            <w:r>
              <w:rPr>
                <w:sz w:val="18"/>
              </w:rPr>
              <w:t>OnlineBackup</w:t>
            </w:r>
          </w:p>
        </w:tc>
        <w:tc>
          <w:tcPr>
            <w:tcW w:type="dxa" w:w="5112"/>
            <w:vAlign w:val="center"/>
            <w:tcMar>
              <w:top w:w="80" w:type="dxa"/>
              <w:start w:w="80" w:type="dxa"/>
              <w:bottom w:w="80" w:type="dxa"/>
              <w:end w:w="80" w:type="dxa"/>
            </w:tcMar>
          </w:tcPr>
          <w:p>
            <w:pPr>
              <w:spacing w:after="0"/>
            </w:pPr>
            <w:r>
              <w:rPr>
                <w:sz w:val="18"/>
              </w:rPr>
              <w:t>0.29</w:t>
            </w:r>
          </w:p>
        </w:tc>
      </w:tr>
      <w:tr>
        <w:trPr>
          <w:cantSplit/>
        </w:trPr>
        <w:tc>
          <w:tcPr>
            <w:tcW w:type="dxa" w:w="5112"/>
            <w:vAlign w:val="center"/>
            <w:tcMar>
              <w:top w:w="80" w:type="dxa"/>
              <w:start w:w="80" w:type="dxa"/>
              <w:bottom w:w="80" w:type="dxa"/>
              <w:end w:w="80" w:type="dxa"/>
            </w:tcMar>
          </w:tcPr>
          <w:p>
            <w:pPr>
              <w:spacing w:after="0"/>
            </w:pPr>
            <w:r>
              <w:rPr>
                <w:sz w:val="18"/>
              </w:rPr>
              <w:t>DeviceProtection</w:t>
            </w:r>
          </w:p>
        </w:tc>
        <w:tc>
          <w:tcPr>
            <w:tcW w:type="dxa" w:w="5112"/>
            <w:vAlign w:val="center"/>
            <w:tcMar>
              <w:top w:w="80" w:type="dxa"/>
              <w:start w:w="80" w:type="dxa"/>
              <w:bottom w:w="80" w:type="dxa"/>
              <w:end w:w="80" w:type="dxa"/>
            </w:tcMar>
          </w:tcPr>
          <w:p>
            <w:pPr>
              <w:spacing w:after="0"/>
            </w:pPr>
            <w:r>
              <w:rPr>
                <w:sz w:val="18"/>
              </w:rPr>
              <w:t>0.28</w:t>
            </w:r>
          </w:p>
        </w:tc>
      </w:tr>
    </w:tbl>
    <w:p>
      <w:pPr>
        <w:spacing w:after="120" w:line="259" w:lineRule="auto"/>
      </w:pPr>
      <w:r>
        <w:t>All of the above categorical associations were reported with p-values below 0.001 in the analysis output. For numerical variables, the Mann-Whitney tests also returned p &lt; 0.001 for tenure, MonthlyCharges, and TotalCharges. These tests indicate that the groups differ in the sample; they do not identify a causal mechanism.</w:t>
      </w:r>
    </w:p>
    <w:p>
      <w:pPr>
        <w:pStyle w:val="Heading1"/>
        <w:spacing w:before="200" w:after="100"/>
      </w:pPr>
      <w:r>
        <w:t>5. Feature Engineering</w:t>
      </w:r>
    </w:p>
    <w:p>
      <w:pPr>
        <w:spacing w:after="120" w:line="259" w:lineRule="auto"/>
      </w:pPr>
      <w:r>
        <w:t>Feature engineering converts raw service and lifecycle variables into compact variables that can be used consistently by the downstream analyses. The approach emphasizes interpretability and avoids using target-derived information for clustering.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6"/>
              </w:rPr>
              <w:t>Feature</w:t>
            </w:r>
          </w:p>
        </w:tc>
        <w:tc>
          <w:tcPr>
            <w:tcW w:type="dxa" w:w="3408"/>
            <w:vAlign w:val="center"/>
            <w:tcMar>
              <w:top w:w="80" w:type="dxa"/>
              <w:start w:w="80" w:type="dxa"/>
              <w:bottom w:w="80" w:type="dxa"/>
              <w:end w:w="80" w:type="dxa"/>
            </w:tcMar>
            <w:shd w:fill="D9E2F3"/>
          </w:tcPr>
          <w:p>
            <w:pPr>
              <w:spacing w:after="0"/>
            </w:pPr>
            <w:r>
              <w:rPr>
                <w:b/>
                <w:sz w:val="16"/>
              </w:rPr>
              <w:t>Definition</w:t>
            </w:r>
          </w:p>
        </w:tc>
        <w:tc>
          <w:tcPr>
            <w:tcW w:type="dxa" w:w="3408"/>
            <w:vAlign w:val="center"/>
            <w:tcMar>
              <w:top w:w="80" w:type="dxa"/>
              <w:start w:w="80" w:type="dxa"/>
              <w:bottom w:w="80" w:type="dxa"/>
              <w:end w:w="80" w:type="dxa"/>
            </w:tcMar>
            <w:shd w:fill="D9E2F3"/>
          </w:tcPr>
          <w:p>
            <w:pPr>
              <w:spacing w:after="0"/>
            </w:pPr>
            <w:r>
              <w:rPr>
                <w:b/>
                <w:sz w:val="16"/>
              </w:rPr>
              <w:t>Purpose</w:t>
            </w:r>
          </w:p>
        </w:tc>
      </w:tr>
      <w:tr>
        <w:trPr>
          <w:cantSplit/>
        </w:trPr>
        <w:tc>
          <w:tcPr>
            <w:tcW w:type="dxa" w:w="3408"/>
            <w:vAlign w:val="center"/>
            <w:tcMar>
              <w:top w:w="80" w:type="dxa"/>
              <w:start w:w="80" w:type="dxa"/>
              <w:bottom w:w="80" w:type="dxa"/>
              <w:end w:w="80" w:type="dxa"/>
            </w:tcMar>
          </w:tcPr>
          <w:p>
            <w:pPr>
              <w:spacing w:after="0"/>
            </w:pPr>
            <w:r>
              <w:rPr>
                <w:sz w:val="16"/>
              </w:rPr>
              <w:t>Num_Services</w:t>
            </w:r>
          </w:p>
        </w:tc>
        <w:tc>
          <w:tcPr>
            <w:tcW w:type="dxa" w:w="3408"/>
            <w:vAlign w:val="center"/>
            <w:tcMar>
              <w:top w:w="80" w:type="dxa"/>
              <w:start w:w="80" w:type="dxa"/>
              <w:bottom w:w="80" w:type="dxa"/>
              <w:end w:w="80" w:type="dxa"/>
            </w:tcMar>
          </w:tcPr>
          <w:p>
            <w:pPr>
              <w:spacing w:after="0"/>
            </w:pPr>
            <w:r>
              <w:rPr>
                <w:sz w:val="16"/>
              </w:rPr>
              <w:t>Number of service fields equal to Yes</w:t>
            </w:r>
          </w:p>
        </w:tc>
        <w:tc>
          <w:tcPr>
            <w:tcW w:type="dxa" w:w="3408"/>
            <w:vAlign w:val="center"/>
            <w:tcMar>
              <w:top w:w="80" w:type="dxa"/>
              <w:start w:w="80" w:type="dxa"/>
              <w:bottom w:w="80" w:type="dxa"/>
              <w:end w:w="80" w:type="dxa"/>
            </w:tcMar>
          </w:tcPr>
          <w:p>
            <w:pPr>
              <w:spacing w:after="0"/>
            </w:pPr>
            <w:r>
              <w:rPr>
                <w:sz w:val="16"/>
              </w:rPr>
              <w:t>Service breadth</w:t>
            </w:r>
          </w:p>
        </w:tc>
      </w:tr>
      <w:tr>
        <w:trPr>
          <w:cantSplit/>
        </w:trPr>
        <w:tc>
          <w:tcPr>
            <w:tcW w:type="dxa" w:w="3408"/>
            <w:vAlign w:val="center"/>
            <w:tcMar>
              <w:top w:w="80" w:type="dxa"/>
              <w:start w:w="80" w:type="dxa"/>
              <w:bottom w:w="80" w:type="dxa"/>
              <w:end w:w="80" w:type="dxa"/>
            </w:tcMar>
          </w:tcPr>
          <w:p>
            <w:pPr>
              <w:spacing w:after="0"/>
            </w:pPr>
            <w:r>
              <w:rPr>
                <w:sz w:val="16"/>
              </w:rPr>
              <w:t>SecuritySupport_Count</w:t>
            </w:r>
          </w:p>
        </w:tc>
        <w:tc>
          <w:tcPr>
            <w:tcW w:type="dxa" w:w="3408"/>
            <w:vAlign w:val="center"/>
            <w:tcMar>
              <w:top w:w="80" w:type="dxa"/>
              <w:start w:w="80" w:type="dxa"/>
              <w:bottom w:w="80" w:type="dxa"/>
              <w:end w:w="80" w:type="dxa"/>
            </w:tcMar>
          </w:tcPr>
          <w:p>
            <w:pPr>
              <w:spacing w:after="0"/>
            </w:pPr>
            <w:r>
              <w:rPr>
                <w:sz w:val="16"/>
              </w:rPr>
              <w:t>Count of four security/support services set to Yes</w:t>
            </w:r>
          </w:p>
        </w:tc>
        <w:tc>
          <w:tcPr>
            <w:tcW w:type="dxa" w:w="3408"/>
            <w:vAlign w:val="center"/>
            <w:tcMar>
              <w:top w:w="80" w:type="dxa"/>
              <w:start w:w="80" w:type="dxa"/>
              <w:bottom w:w="80" w:type="dxa"/>
              <w:end w:w="80" w:type="dxa"/>
            </w:tcMar>
          </w:tcPr>
          <w:p>
            <w:pPr>
              <w:spacing w:after="0"/>
            </w:pPr>
            <w:r>
              <w:rPr>
                <w:sz w:val="16"/>
              </w:rPr>
              <w:t>Protection/support adoption</w:t>
            </w:r>
          </w:p>
        </w:tc>
      </w:tr>
      <w:tr>
        <w:trPr>
          <w:cantSplit/>
        </w:trPr>
        <w:tc>
          <w:tcPr>
            <w:tcW w:type="dxa" w:w="3408"/>
            <w:vAlign w:val="center"/>
            <w:tcMar>
              <w:top w:w="80" w:type="dxa"/>
              <w:start w:w="80" w:type="dxa"/>
              <w:bottom w:w="80" w:type="dxa"/>
              <w:end w:w="80" w:type="dxa"/>
            </w:tcMar>
          </w:tcPr>
          <w:p>
            <w:pPr>
              <w:spacing w:after="0"/>
            </w:pPr>
            <w:r>
              <w:rPr>
                <w:sz w:val="16"/>
              </w:rPr>
              <w:t>Streaming_Count</w:t>
            </w:r>
          </w:p>
        </w:tc>
        <w:tc>
          <w:tcPr>
            <w:tcW w:type="dxa" w:w="3408"/>
            <w:vAlign w:val="center"/>
            <w:tcMar>
              <w:top w:w="80" w:type="dxa"/>
              <w:start w:w="80" w:type="dxa"/>
              <w:bottom w:w="80" w:type="dxa"/>
              <w:end w:w="80" w:type="dxa"/>
            </w:tcMar>
          </w:tcPr>
          <w:p>
            <w:pPr>
              <w:spacing w:after="0"/>
            </w:pPr>
            <w:r>
              <w:rPr>
                <w:sz w:val="16"/>
              </w:rPr>
              <w:t>Count of two streaming services set to Yes</w:t>
            </w:r>
          </w:p>
        </w:tc>
        <w:tc>
          <w:tcPr>
            <w:tcW w:type="dxa" w:w="3408"/>
            <w:vAlign w:val="center"/>
            <w:tcMar>
              <w:top w:w="80" w:type="dxa"/>
              <w:start w:w="80" w:type="dxa"/>
              <w:bottom w:w="80" w:type="dxa"/>
              <w:end w:w="80" w:type="dxa"/>
            </w:tcMar>
          </w:tcPr>
          <w:p>
            <w:pPr>
              <w:spacing w:after="0"/>
            </w:pPr>
            <w:r>
              <w:rPr>
                <w:sz w:val="16"/>
              </w:rPr>
              <w:t>Entertainment adoption</w:t>
            </w:r>
          </w:p>
        </w:tc>
      </w:tr>
      <w:tr>
        <w:trPr>
          <w:cantSplit/>
        </w:trPr>
        <w:tc>
          <w:tcPr>
            <w:tcW w:type="dxa" w:w="3408"/>
            <w:vAlign w:val="center"/>
            <w:tcMar>
              <w:top w:w="80" w:type="dxa"/>
              <w:start w:w="80" w:type="dxa"/>
              <w:bottom w:w="80" w:type="dxa"/>
              <w:end w:w="80" w:type="dxa"/>
            </w:tcMar>
          </w:tcPr>
          <w:p>
            <w:pPr>
              <w:spacing w:after="0"/>
            </w:pPr>
            <w:r>
              <w:rPr>
                <w:sz w:val="16"/>
              </w:rPr>
              <w:t>Tenure_Group</w:t>
            </w:r>
          </w:p>
        </w:tc>
        <w:tc>
          <w:tcPr>
            <w:tcW w:type="dxa" w:w="3408"/>
            <w:vAlign w:val="center"/>
            <w:tcMar>
              <w:top w:w="80" w:type="dxa"/>
              <w:start w:w="80" w:type="dxa"/>
              <w:bottom w:w="80" w:type="dxa"/>
              <w:end w:w="80" w:type="dxa"/>
            </w:tcMar>
          </w:tcPr>
          <w:p>
            <w:pPr>
              <w:spacing w:after="0"/>
            </w:pPr>
            <w:r>
              <w:rPr>
                <w:sz w:val="16"/>
              </w:rPr>
              <w:t>Five tenure lifecycle bands</w:t>
            </w:r>
          </w:p>
        </w:tc>
        <w:tc>
          <w:tcPr>
            <w:tcW w:type="dxa" w:w="3408"/>
            <w:vAlign w:val="center"/>
            <w:tcMar>
              <w:top w:w="80" w:type="dxa"/>
              <w:start w:w="80" w:type="dxa"/>
              <w:bottom w:w="80" w:type="dxa"/>
              <w:end w:w="80" w:type="dxa"/>
            </w:tcMar>
          </w:tcPr>
          <w:p>
            <w:pPr>
              <w:spacing w:after="0"/>
            </w:pPr>
            <w:r>
              <w:rPr>
                <w:sz w:val="16"/>
              </w:rPr>
              <w:t>Interpretability</w:t>
            </w:r>
          </w:p>
        </w:tc>
      </w:tr>
      <w:tr>
        <w:trPr>
          <w:cantSplit/>
        </w:trPr>
        <w:tc>
          <w:tcPr>
            <w:tcW w:type="dxa" w:w="3408"/>
            <w:vAlign w:val="center"/>
            <w:tcMar>
              <w:top w:w="80" w:type="dxa"/>
              <w:start w:w="80" w:type="dxa"/>
              <w:bottom w:w="80" w:type="dxa"/>
              <w:end w:w="80" w:type="dxa"/>
            </w:tcMar>
          </w:tcPr>
          <w:p>
            <w:pPr>
              <w:spacing w:after="0"/>
            </w:pPr>
            <w:r>
              <w:rPr>
                <w:sz w:val="16"/>
              </w:rPr>
              <w:t>Is_New_Customer</w:t>
            </w:r>
          </w:p>
        </w:tc>
        <w:tc>
          <w:tcPr>
            <w:tcW w:type="dxa" w:w="3408"/>
            <w:vAlign w:val="center"/>
            <w:tcMar>
              <w:top w:w="80" w:type="dxa"/>
              <w:start w:w="80" w:type="dxa"/>
              <w:bottom w:w="80" w:type="dxa"/>
              <w:end w:w="80" w:type="dxa"/>
            </w:tcMar>
          </w:tcPr>
          <w:p>
            <w:pPr>
              <w:spacing w:after="0"/>
            </w:pPr>
            <w:r>
              <w:rPr>
                <w:sz w:val="16"/>
              </w:rPr>
              <w:t>1 if tenure &lt;= 6 months else 0</w:t>
            </w:r>
          </w:p>
        </w:tc>
        <w:tc>
          <w:tcPr>
            <w:tcW w:type="dxa" w:w="3408"/>
            <w:vAlign w:val="center"/>
            <w:tcMar>
              <w:top w:w="80" w:type="dxa"/>
              <w:start w:w="80" w:type="dxa"/>
              <w:bottom w:w="80" w:type="dxa"/>
              <w:end w:w="80" w:type="dxa"/>
            </w:tcMar>
          </w:tcPr>
          <w:p>
            <w:pPr>
              <w:spacing w:after="0"/>
            </w:pPr>
            <w:r>
              <w:rPr>
                <w:sz w:val="16"/>
              </w:rPr>
              <w:t>Early-lifecycle flag</w:t>
            </w:r>
          </w:p>
        </w:tc>
      </w:tr>
      <w:tr>
        <w:trPr>
          <w:cantSplit/>
        </w:trPr>
        <w:tc>
          <w:tcPr>
            <w:tcW w:type="dxa" w:w="3408"/>
            <w:vAlign w:val="center"/>
            <w:tcMar>
              <w:top w:w="80" w:type="dxa"/>
              <w:start w:w="80" w:type="dxa"/>
              <w:bottom w:w="80" w:type="dxa"/>
              <w:end w:w="80" w:type="dxa"/>
            </w:tcMar>
          </w:tcPr>
          <w:p>
            <w:pPr>
              <w:spacing w:after="0"/>
            </w:pPr>
            <w:r>
              <w:rPr>
                <w:sz w:val="16"/>
              </w:rPr>
              <w:t>Above_Median_MonthlyCharge</w:t>
            </w:r>
          </w:p>
        </w:tc>
        <w:tc>
          <w:tcPr>
            <w:tcW w:type="dxa" w:w="3408"/>
            <w:vAlign w:val="center"/>
            <w:tcMar>
              <w:top w:w="80" w:type="dxa"/>
              <w:start w:w="80" w:type="dxa"/>
              <w:bottom w:w="80" w:type="dxa"/>
              <w:end w:w="80" w:type="dxa"/>
            </w:tcMar>
          </w:tcPr>
          <w:p>
            <w:pPr>
              <w:spacing w:after="0"/>
            </w:pPr>
            <w:r>
              <w:rPr>
                <w:sz w:val="16"/>
              </w:rPr>
              <w:t>1 if MonthlyCharges &gt; 70.35 else 0</w:t>
            </w:r>
          </w:p>
        </w:tc>
        <w:tc>
          <w:tcPr>
            <w:tcW w:type="dxa" w:w="3408"/>
            <w:vAlign w:val="center"/>
            <w:tcMar>
              <w:top w:w="80" w:type="dxa"/>
              <w:start w:w="80" w:type="dxa"/>
              <w:bottom w:w="80" w:type="dxa"/>
              <w:end w:w="80" w:type="dxa"/>
            </w:tcMar>
          </w:tcPr>
          <w:p>
            <w:pPr>
              <w:spacing w:after="0"/>
            </w:pPr>
            <w:r>
              <w:rPr>
                <w:sz w:val="16"/>
              </w:rPr>
              <w:t>Simple charge threshold</w:t>
            </w:r>
          </w:p>
        </w:tc>
      </w:tr>
      <w:tr>
        <w:trPr>
          <w:cantSplit/>
        </w:trPr>
        <w:tc>
          <w:tcPr>
            <w:tcW w:type="dxa" w:w="3408"/>
            <w:vAlign w:val="center"/>
            <w:tcMar>
              <w:top w:w="80" w:type="dxa"/>
              <w:start w:w="80" w:type="dxa"/>
              <w:bottom w:w="80" w:type="dxa"/>
              <w:end w:w="80" w:type="dxa"/>
            </w:tcMar>
          </w:tcPr>
          <w:p>
            <w:pPr>
              <w:spacing w:after="0"/>
            </w:pPr>
            <w:r>
              <w:rPr>
                <w:sz w:val="16"/>
              </w:rPr>
              <w:t>Churn_Binary</w:t>
            </w:r>
          </w:p>
        </w:tc>
        <w:tc>
          <w:tcPr>
            <w:tcW w:type="dxa" w:w="3408"/>
            <w:vAlign w:val="center"/>
            <w:tcMar>
              <w:top w:w="80" w:type="dxa"/>
              <w:start w:w="80" w:type="dxa"/>
              <w:bottom w:w="80" w:type="dxa"/>
              <w:end w:w="80" w:type="dxa"/>
            </w:tcMar>
          </w:tcPr>
          <w:p>
            <w:pPr>
              <w:spacing w:after="0"/>
            </w:pPr>
            <w:r>
              <w:rPr>
                <w:sz w:val="16"/>
              </w:rPr>
              <w:t>No=0, Yes=1</w:t>
            </w:r>
          </w:p>
        </w:tc>
        <w:tc>
          <w:tcPr>
            <w:tcW w:type="dxa" w:w="3408"/>
            <w:vAlign w:val="center"/>
            <w:tcMar>
              <w:top w:w="80" w:type="dxa"/>
              <w:start w:w="80" w:type="dxa"/>
              <w:bottom w:w="80" w:type="dxa"/>
              <w:end w:w="80" w:type="dxa"/>
            </w:tcMar>
          </w:tcPr>
          <w:p>
            <w:pPr>
              <w:spacing w:after="0"/>
            </w:pPr>
            <w:r>
              <w:rPr>
                <w:sz w:val="16"/>
              </w:rPr>
              <w:t>Model target</w:t>
            </w:r>
          </w:p>
        </w:tc>
      </w:tr>
    </w:tbl>
    <w:p>
      <w:pPr>
        <w:spacing w:after="120" w:line="259" w:lineRule="auto"/>
      </w:pPr>
      <w:r>
        <w:t>The feature-engineered dataset contains 28 columns. The churn modeling dataset uses 23 pre-encoding predictors after excluding customerID, Churn, Churn_Binary, Tenure_Group, and Above_Median_MonthlyCharge. Churn is used as the target only in supervised learning and is excluded from clustering features to prevent target leakage.</w:t>
      </w:r>
    </w:p>
    <w:p>
      <w:pPr>
        <w:pStyle w:val="Heading2"/>
        <w:spacing w:before="120" w:after="100"/>
      </w:pPr>
      <w:r>
        <w:t>5.1 New-Customer Evidence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8"/>
              </w:rPr>
              <w:t>Customer group</w:t>
            </w:r>
          </w:p>
        </w:tc>
        <w:tc>
          <w:tcPr>
            <w:tcW w:type="dxa" w:w="3408"/>
            <w:vAlign w:val="center"/>
            <w:tcMar>
              <w:top w:w="80" w:type="dxa"/>
              <w:start w:w="80" w:type="dxa"/>
              <w:bottom w:w="80" w:type="dxa"/>
              <w:end w:w="80" w:type="dxa"/>
            </w:tcMar>
            <w:shd w:fill="D9E2F3"/>
          </w:tcPr>
          <w:p>
            <w:pPr>
              <w:spacing w:after="0"/>
            </w:pPr>
            <w:r>
              <w:rPr>
                <w:b/>
                <w:sz w:val="18"/>
              </w:rPr>
              <w:t>Customers</w:t>
            </w:r>
          </w:p>
        </w:tc>
        <w:tc>
          <w:tcPr>
            <w:tcW w:type="dxa" w:w="3408"/>
            <w:vAlign w:val="center"/>
            <w:tcMar>
              <w:top w:w="80" w:type="dxa"/>
              <w:start w:w="80" w:type="dxa"/>
              <w:bottom w:w="80" w:type="dxa"/>
              <w:end w:w="80" w:type="dxa"/>
            </w:tcMar>
            <w:shd w:fill="D9E2F3"/>
          </w:tcPr>
          <w:p>
            <w:pPr>
              <w:spacing w:after="0"/>
            </w:pPr>
            <w:r>
              <w:rPr>
                <w:b/>
                <w:sz w:val="18"/>
              </w:rPr>
              <w:t>Churn rate (%)</w:t>
            </w:r>
          </w:p>
        </w:tc>
      </w:tr>
      <w:tr>
        <w:trPr>
          <w:cantSplit/>
        </w:trPr>
        <w:tc>
          <w:tcPr>
            <w:tcW w:type="dxa" w:w="3408"/>
            <w:vAlign w:val="center"/>
            <w:tcMar>
              <w:top w:w="80" w:type="dxa"/>
              <w:start w:w="80" w:type="dxa"/>
              <w:bottom w:w="80" w:type="dxa"/>
              <w:end w:w="80" w:type="dxa"/>
            </w:tcMar>
          </w:tcPr>
          <w:p>
            <w:pPr>
              <w:spacing w:after="0"/>
            </w:pPr>
            <w:r>
              <w:rPr>
                <w:sz w:val="18"/>
              </w:rPr>
              <w:t>New (0–6 months)</w:t>
            </w:r>
          </w:p>
        </w:tc>
        <w:tc>
          <w:tcPr>
            <w:tcW w:type="dxa" w:w="3408"/>
            <w:vAlign w:val="center"/>
            <w:tcMar>
              <w:top w:w="80" w:type="dxa"/>
              <w:start w:w="80" w:type="dxa"/>
              <w:bottom w:w="80" w:type="dxa"/>
              <w:end w:w="80" w:type="dxa"/>
            </w:tcMar>
          </w:tcPr>
          <w:p>
            <w:pPr>
              <w:spacing w:after="0"/>
            </w:pPr>
            <w:r>
              <w:rPr>
                <w:sz w:val="18"/>
              </w:rPr>
              <w:t>1481</w:t>
            </w:r>
          </w:p>
        </w:tc>
        <w:tc>
          <w:tcPr>
            <w:tcW w:type="dxa" w:w="3408"/>
            <w:vAlign w:val="center"/>
            <w:tcMar>
              <w:top w:w="80" w:type="dxa"/>
              <w:start w:w="80" w:type="dxa"/>
              <w:bottom w:w="80" w:type="dxa"/>
              <w:end w:w="80" w:type="dxa"/>
            </w:tcMar>
          </w:tcPr>
          <w:p>
            <w:pPr>
              <w:spacing w:after="0"/>
            </w:pPr>
            <w:r>
              <w:rPr>
                <w:sz w:val="18"/>
              </w:rPr>
              <w:t>52.94</w:t>
            </w:r>
          </w:p>
        </w:tc>
      </w:tr>
      <w:tr>
        <w:trPr>
          <w:cantSplit/>
        </w:trPr>
        <w:tc>
          <w:tcPr>
            <w:tcW w:type="dxa" w:w="3408"/>
            <w:vAlign w:val="center"/>
            <w:tcMar>
              <w:top w:w="80" w:type="dxa"/>
              <w:start w:w="80" w:type="dxa"/>
              <w:bottom w:w="80" w:type="dxa"/>
              <w:end w:w="80" w:type="dxa"/>
            </w:tcMar>
          </w:tcPr>
          <w:p>
            <w:pPr>
              <w:spacing w:after="0"/>
            </w:pPr>
            <w:r>
              <w:rPr>
                <w:sz w:val="18"/>
              </w:rPr>
              <w:t>Existing (&gt;6 months)</w:t>
            </w:r>
          </w:p>
        </w:tc>
        <w:tc>
          <w:tcPr>
            <w:tcW w:type="dxa" w:w="3408"/>
            <w:vAlign w:val="center"/>
            <w:tcMar>
              <w:top w:w="80" w:type="dxa"/>
              <w:start w:w="80" w:type="dxa"/>
              <w:bottom w:w="80" w:type="dxa"/>
              <w:end w:w="80" w:type="dxa"/>
            </w:tcMar>
          </w:tcPr>
          <w:p>
            <w:pPr>
              <w:spacing w:after="0"/>
            </w:pPr>
            <w:r>
              <w:rPr>
                <w:sz w:val="18"/>
              </w:rPr>
              <w:t>5562</w:t>
            </w:r>
          </w:p>
        </w:tc>
        <w:tc>
          <w:tcPr>
            <w:tcW w:type="dxa" w:w="3408"/>
            <w:vAlign w:val="center"/>
            <w:tcMar>
              <w:top w:w="80" w:type="dxa"/>
              <w:start w:w="80" w:type="dxa"/>
              <w:bottom w:w="80" w:type="dxa"/>
              <w:end w:w="80" w:type="dxa"/>
            </w:tcMar>
          </w:tcPr>
          <w:p>
            <w:pPr>
              <w:spacing w:after="0"/>
            </w:pPr>
            <w:r>
              <w:rPr>
                <w:sz w:val="18"/>
              </w:rPr>
              <w:t>19.51</w:t>
            </w:r>
          </w:p>
        </w:tc>
      </w:tr>
    </w:tbl>
    <w:p>
      <w:pPr>
        <w:spacing w:after="120" w:line="259" w:lineRule="auto"/>
      </w:pPr>
      <w:r>
        <w:t>This feature compresses the strongest EDA lifecycle pattern into a binary modeling signal while preserving the original continuous tenure variable for the model.</w:t>
      </w:r>
    </w:p>
    <w:p>
      <w:pPr>
        <w:pStyle w:val="Heading1"/>
        <w:spacing w:before="200" w:after="100"/>
      </w:pPr>
      <w:r>
        <w:t>6. Customer Segmentation using K-Means</w:t>
      </w:r>
    </w:p>
    <w:p>
      <w:pPr>
        <w:spacing w:after="120" w:line="259" w:lineRule="auto"/>
      </w:pPr>
      <w:r>
        <w:t>Customer segmentation was performed without using Churn. Seven numerical variables were standardized before clustering: SeniorCitizen, tenure, MonthlyCharges, TotalCharges, Num_Services, SecuritySupport_Count, and Streaming_Count. Standardization is necessary because K-Means is distance-based and otherwise high-scale variables such as TotalCharges would dominate the distance calculation.</w:t>
      </w:r>
    </w:p>
    <w:p>
      <w:pPr>
        <w:pStyle w:val="Heading2"/>
        <w:spacing w:before="120" w:after="100"/>
      </w:pPr>
      <w:r>
        <w:t>6.1 Choosing the Number of Clusters</w:t>
      </w:r>
    </w:p>
    <w:p>
      <w:pPr>
        <w:jc w:val="center"/>
      </w:pPr>
      <w:r>
        <w:drawing>
          <wp:inline xmlns:a="http://schemas.openxmlformats.org/drawingml/2006/main" xmlns:pic="http://schemas.openxmlformats.org/drawingml/2006/picture">
            <wp:extent cx="5806440" cy="3188105"/>
            <wp:docPr id="11" name="Picture 11"/>
            <wp:cNvGraphicFramePr>
              <a:graphicFrameLocks noChangeAspect="1"/>
            </wp:cNvGraphicFramePr>
            <a:graphic>
              <a:graphicData uri="http://schemas.openxmlformats.org/drawingml/2006/picture">
                <pic:pic>
                  <pic:nvPicPr>
                    <pic:cNvPr id="0" name="13_kmeans_elbow.png"/>
                    <pic:cNvPicPr/>
                  </pic:nvPicPr>
                  <pic:blipFill>
                    <a:blip r:embed="rId21"/>
                    <a:stretch>
                      <a:fillRect/>
                    </a:stretch>
                  </pic:blipFill>
                  <pic:spPr>
                    <a:xfrm>
                      <a:off x="0" y="0"/>
                      <a:ext cx="5806440" cy="3188105"/>
                    </a:xfrm>
                    <a:prstGeom prst="rect"/>
                  </pic:spPr>
                </pic:pic>
              </a:graphicData>
            </a:graphic>
          </wp:inline>
        </w:drawing>
      </w:r>
    </w:p>
    <w:p>
      <w:pPr>
        <w:jc w:val="center"/>
      </w:pPr>
      <w:r>
        <w:rPr>
          <w:i/>
          <w:color w:val="595959"/>
          <w:sz w:val="18"/>
        </w:rPr>
        <w:t>Figure 11. Elbow curve for K=2 to K=10.</w:t>
      </w:r>
    </w:p>
    <w:p>
      <w:pPr>
        <w:jc w:val="center"/>
      </w:pPr>
      <w:r>
        <w:drawing>
          <wp:inline xmlns:a="http://schemas.openxmlformats.org/drawingml/2006/main" xmlns:pic="http://schemas.openxmlformats.org/drawingml/2006/picture">
            <wp:extent cx="5806440" cy="3188105"/>
            <wp:docPr id="12" name="Picture 12"/>
            <wp:cNvGraphicFramePr>
              <a:graphicFrameLocks noChangeAspect="1"/>
            </wp:cNvGraphicFramePr>
            <a:graphic>
              <a:graphicData uri="http://schemas.openxmlformats.org/drawingml/2006/picture">
                <pic:pic>
                  <pic:nvPicPr>
                    <pic:cNvPr id="0" name="14_kmeans_silhouette.png"/>
                    <pic:cNvPicPr/>
                  </pic:nvPicPr>
                  <pic:blipFill>
                    <a:blip r:embed="rId22"/>
                    <a:stretch>
                      <a:fillRect/>
                    </a:stretch>
                  </pic:blipFill>
                  <pic:spPr>
                    <a:xfrm>
                      <a:off x="0" y="0"/>
                      <a:ext cx="5806440" cy="3188105"/>
                    </a:xfrm>
                    <a:prstGeom prst="rect"/>
                  </pic:spPr>
                </pic:pic>
              </a:graphicData>
            </a:graphic>
          </wp:inline>
        </w:drawing>
      </w:r>
    </w:p>
    <w:p>
      <w:pPr>
        <w:jc w:val="center"/>
      </w:pPr>
      <w:r>
        <w:rPr>
          <w:i/>
          <w:color w:val="595959"/>
          <w:sz w:val="18"/>
        </w:rPr>
        <w:t>Figure 12. Silhouette score across candidate cluster counts.</w:t>
      </w:r>
    </w:p>
    <w:p>
      <w:pPr>
        <w:jc w:val="center"/>
      </w:pPr>
      <w:r>
        <w:drawing>
          <wp:inline xmlns:a="http://schemas.openxmlformats.org/drawingml/2006/main" xmlns:pic="http://schemas.openxmlformats.org/drawingml/2006/picture">
            <wp:extent cx="5806440" cy="3188105"/>
            <wp:docPr id="13" name="Picture 13"/>
            <wp:cNvGraphicFramePr>
              <a:graphicFrameLocks noChangeAspect="1"/>
            </wp:cNvGraphicFramePr>
            <a:graphic>
              <a:graphicData uri="http://schemas.openxmlformats.org/drawingml/2006/picture">
                <pic:pic>
                  <pic:nvPicPr>
                    <pic:cNvPr id="0" name="15_kmeans_davies_bouldin.png"/>
                    <pic:cNvPicPr/>
                  </pic:nvPicPr>
                  <pic:blipFill>
                    <a:blip r:embed="rId23"/>
                    <a:stretch>
                      <a:fillRect/>
                    </a:stretch>
                  </pic:blipFill>
                  <pic:spPr>
                    <a:xfrm>
                      <a:off x="0" y="0"/>
                      <a:ext cx="5806440" cy="3188105"/>
                    </a:xfrm>
                    <a:prstGeom prst="rect"/>
                  </pic:spPr>
                </pic:pic>
              </a:graphicData>
            </a:graphic>
          </wp:inline>
        </w:drawing>
      </w:r>
    </w:p>
    <w:p>
      <w:pPr>
        <w:jc w:val="center"/>
      </w:pPr>
      <w:r>
        <w:rPr>
          <w:i/>
          <w:color w:val="595959"/>
          <w:sz w:val="18"/>
        </w:rPr>
        <w:t>Figure 13. Davies-Bouldin index across candidate cluster counts.</w:t>
      </w:r>
    </w:p>
    <w:p>
      <w:pPr>
        <w:jc w:val="center"/>
      </w:pPr>
      <w:r>
        <w:drawing>
          <wp:inline xmlns:a="http://schemas.openxmlformats.org/drawingml/2006/main" xmlns:pic="http://schemas.openxmlformats.org/drawingml/2006/picture">
            <wp:extent cx="5806440" cy="3186912"/>
            <wp:docPr id="14" name="Picture 14"/>
            <wp:cNvGraphicFramePr>
              <a:graphicFrameLocks noChangeAspect="1"/>
            </wp:cNvGraphicFramePr>
            <a:graphic>
              <a:graphicData uri="http://schemas.openxmlformats.org/drawingml/2006/picture">
                <pic:pic>
                  <pic:nvPicPr>
                    <pic:cNvPr id="0" name="16_kmeans_calinski_harabasz.png"/>
                    <pic:cNvPicPr/>
                  </pic:nvPicPr>
                  <pic:blipFill>
                    <a:blip r:embed="rId24"/>
                    <a:stretch>
                      <a:fillRect/>
                    </a:stretch>
                  </pic:blipFill>
                  <pic:spPr>
                    <a:xfrm>
                      <a:off x="0" y="0"/>
                      <a:ext cx="5806440" cy="3186912"/>
                    </a:xfrm>
                    <a:prstGeom prst="rect"/>
                  </pic:spPr>
                </pic:pic>
              </a:graphicData>
            </a:graphic>
          </wp:inline>
        </w:drawing>
      </w:r>
    </w:p>
    <w:p>
      <w:pPr>
        <w:jc w:val="center"/>
      </w:pPr>
      <w:r>
        <w:rPr>
          <w:i/>
          <w:color w:val="595959"/>
          <w:sz w:val="18"/>
        </w:rPr>
        <w:t>Figure 14. Calinski-Harabasz score across candidate cluster counts.</w:t>
      </w:r>
    </w:p>
    <w:p>
      <w:pPr>
        <w:spacing w:after="120" w:line="259" w:lineRule="auto"/>
      </w:pPr>
      <w:r>
        <w:t>Silhouette selected K=2 with score 0.3901, while Calinski-Harabasz also selected K=2 with 5586.3037. Davies-Bouldin preferred K=8 with index 1.0439. Because two metrics independently supported K=2 and the resulting clusters were large enough to interpret, K=2 was retained. The disagreement is documented rather than hidden.</w:t>
      </w:r>
    </w:p>
    <w:p>
      <w:r>
        <w:br w:type="page"/>
      </w:r>
    </w:p>
    <w:p>
      <w:pPr>
        <w:pStyle w:val="Heading2"/>
        <w:spacing w:before="120" w:after="100"/>
      </w:pPr>
      <w:r>
        <w:t>6.2 Cluster Profiles</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val="true"/>
          <w:cantSplit/>
        </w:trPr>
        <w:tc>
          <w:tcPr>
            <w:tcW w:type="dxa" w:w="1022"/>
            <w:vAlign w:val="center"/>
            <w:tcMar>
              <w:top w:w="80" w:type="dxa"/>
              <w:start w:w="80" w:type="dxa"/>
              <w:bottom w:w="80" w:type="dxa"/>
              <w:end w:w="80" w:type="dxa"/>
            </w:tcMar>
            <w:shd w:fill="D9E2F3"/>
          </w:tcPr>
          <w:p>
            <w:pPr>
              <w:spacing w:after="0"/>
            </w:pPr>
            <w:r>
              <w:rPr>
                <w:b/>
                <w:sz w:val="15"/>
              </w:rPr>
              <w:t>Cluster</w:t>
            </w:r>
          </w:p>
        </w:tc>
        <w:tc>
          <w:tcPr>
            <w:tcW w:type="dxa" w:w="1022"/>
            <w:vAlign w:val="center"/>
            <w:tcMar>
              <w:top w:w="80" w:type="dxa"/>
              <w:start w:w="80" w:type="dxa"/>
              <w:bottom w:w="80" w:type="dxa"/>
              <w:end w:w="80" w:type="dxa"/>
            </w:tcMar>
            <w:shd w:fill="D9E2F3"/>
          </w:tcPr>
          <w:p>
            <w:pPr>
              <w:spacing w:after="0"/>
            </w:pPr>
            <w:r>
              <w:rPr>
                <w:b/>
                <w:sz w:val="15"/>
              </w:rPr>
              <w:t>Customer_Count</w:t>
            </w:r>
          </w:p>
        </w:tc>
        <w:tc>
          <w:tcPr>
            <w:tcW w:type="dxa" w:w="1022"/>
            <w:vAlign w:val="center"/>
            <w:tcMar>
              <w:top w:w="80" w:type="dxa"/>
              <w:start w:w="80" w:type="dxa"/>
              <w:bottom w:w="80" w:type="dxa"/>
              <w:end w:w="80" w:type="dxa"/>
            </w:tcMar>
            <w:shd w:fill="D9E2F3"/>
          </w:tcPr>
          <w:p>
            <w:pPr>
              <w:spacing w:after="0"/>
            </w:pPr>
            <w:r>
              <w:rPr>
                <w:b/>
                <w:sz w:val="15"/>
              </w:rPr>
              <w:t>Percentage</w:t>
            </w:r>
          </w:p>
        </w:tc>
        <w:tc>
          <w:tcPr>
            <w:tcW w:type="dxa" w:w="1022"/>
            <w:vAlign w:val="center"/>
            <w:tcMar>
              <w:top w:w="80" w:type="dxa"/>
              <w:start w:w="80" w:type="dxa"/>
              <w:bottom w:w="80" w:type="dxa"/>
              <w:end w:w="80" w:type="dxa"/>
            </w:tcMar>
            <w:shd w:fill="D9E2F3"/>
          </w:tcPr>
          <w:p>
            <w:pPr>
              <w:spacing w:after="0"/>
            </w:pPr>
            <w:r>
              <w:rPr>
                <w:b/>
                <w:sz w:val="15"/>
              </w:rPr>
              <w:t>Churn_Rate_Percent</w:t>
            </w:r>
          </w:p>
        </w:tc>
        <w:tc>
          <w:tcPr>
            <w:tcW w:type="dxa" w:w="1022"/>
            <w:vAlign w:val="center"/>
            <w:tcMar>
              <w:top w:w="80" w:type="dxa"/>
              <w:start w:w="80" w:type="dxa"/>
              <w:bottom w:w="80" w:type="dxa"/>
              <w:end w:w="80" w:type="dxa"/>
            </w:tcMar>
            <w:shd w:fill="D9E2F3"/>
          </w:tcPr>
          <w:p>
            <w:pPr>
              <w:spacing w:after="0"/>
            </w:pPr>
            <w:r>
              <w:rPr>
                <w:b/>
                <w:sz w:val="15"/>
              </w:rPr>
              <w:t>tenure</w:t>
            </w:r>
          </w:p>
        </w:tc>
        <w:tc>
          <w:tcPr>
            <w:tcW w:type="dxa" w:w="1022"/>
            <w:vAlign w:val="center"/>
            <w:tcMar>
              <w:top w:w="80" w:type="dxa"/>
              <w:start w:w="80" w:type="dxa"/>
              <w:bottom w:w="80" w:type="dxa"/>
              <w:end w:w="80" w:type="dxa"/>
            </w:tcMar>
            <w:shd w:fill="D9E2F3"/>
          </w:tcPr>
          <w:p>
            <w:pPr>
              <w:spacing w:after="0"/>
            </w:pPr>
            <w:r>
              <w:rPr>
                <w:b/>
                <w:sz w:val="15"/>
              </w:rPr>
              <w:t>MonthlyCharges</w:t>
            </w:r>
          </w:p>
        </w:tc>
        <w:tc>
          <w:tcPr>
            <w:tcW w:type="dxa" w:w="1022"/>
            <w:vAlign w:val="center"/>
            <w:tcMar>
              <w:top w:w="80" w:type="dxa"/>
              <w:start w:w="80" w:type="dxa"/>
              <w:bottom w:w="80" w:type="dxa"/>
              <w:end w:w="80" w:type="dxa"/>
            </w:tcMar>
            <w:shd w:fill="D9E2F3"/>
          </w:tcPr>
          <w:p>
            <w:pPr>
              <w:spacing w:after="0"/>
            </w:pPr>
            <w:r>
              <w:rPr>
                <w:b/>
                <w:sz w:val="15"/>
              </w:rPr>
              <w:t>TotalCharges</w:t>
            </w:r>
          </w:p>
        </w:tc>
        <w:tc>
          <w:tcPr>
            <w:tcW w:type="dxa" w:w="1022"/>
            <w:vAlign w:val="center"/>
            <w:tcMar>
              <w:top w:w="80" w:type="dxa"/>
              <w:start w:w="80" w:type="dxa"/>
              <w:bottom w:w="80" w:type="dxa"/>
              <w:end w:w="80" w:type="dxa"/>
            </w:tcMar>
            <w:shd w:fill="D9E2F3"/>
          </w:tcPr>
          <w:p>
            <w:pPr>
              <w:spacing w:after="0"/>
            </w:pPr>
            <w:r>
              <w:rPr>
                <w:b/>
                <w:sz w:val="15"/>
              </w:rPr>
              <w:t>Num_Services</w:t>
            </w:r>
          </w:p>
        </w:tc>
        <w:tc>
          <w:tcPr>
            <w:tcW w:type="dxa" w:w="1022"/>
            <w:vAlign w:val="center"/>
            <w:tcMar>
              <w:top w:w="80" w:type="dxa"/>
              <w:start w:w="80" w:type="dxa"/>
              <w:bottom w:w="80" w:type="dxa"/>
              <w:end w:w="80" w:type="dxa"/>
            </w:tcMar>
            <w:shd w:fill="D9E2F3"/>
          </w:tcPr>
          <w:p>
            <w:pPr>
              <w:spacing w:after="0"/>
            </w:pPr>
            <w:r>
              <w:rPr>
                <w:b/>
                <w:sz w:val="15"/>
              </w:rPr>
              <w:t>SecuritySupport_Count</w:t>
            </w:r>
          </w:p>
        </w:tc>
        <w:tc>
          <w:tcPr>
            <w:tcW w:type="dxa" w:w="1022"/>
            <w:vAlign w:val="center"/>
            <w:tcMar>
              <w:top w:w="80" w:type="dxa"/>
              <w:start w:w="80" w:type="dxa"/>
              <w:bottom w:w="80" w:type="dxa"/>
              <w:end w:w="80" w:type="dxa"/>
            </w:tcMar>
            <w:shd w:fill="D9E2F3"/>
          </w:tcPr>
          <w:p>
            <w:pPr>
              <w:spacing w:after="0"/>
            </w:pPr>
            <w:r>
              <w:rPr>
                <w:b/>
                <w:sz w:val="15"/>
              </w:rPr>
              <w:t>Streaming_Count</w:t>
            </w:r>
          </w:p>
        </w:tc>
      </w:tr>
      <w:tr>
        <w:trPr>
          <w:cantSplit/>
        </w:trPr>
        <w:tc>
          <w:tcPr>
            <w:tcW w:type="dxa" w:w="1022"/>
            <w:vAlign w:val="center"/>
            <w:tcMar>
              <w:top w:w="80" w:type="dxa"/>
              <w:start w:w="80" w:type="dxa"/>
              <w:bottom w:w="80" w:type="dxa"/>
              <w:end w:w="80" w:type="dxa"/>
            </w:tcMar>
          </w:tcPr>
          <w:p>
            <w:pPr>
              <w:spacing w:after="0"/>
            </w:pPr>
            <w:r>
              <w:rPr>
                <w:sz w:val="15"/>
              </w:rPr>
              <w:t>0</w:t>
            </w:r>
          </w:p>
        </w:tc>
        <w:tc>
          <w:tcPr>
            <w:tcW w:type="dxa" w:w="1022"/>
            <w:vAlign w:val="center"/>
            <w:tcMar>
              <w:top w:w="80" w:type="dxa"/>
              <w:start w:w="80" w:type="dxa"/>
              <w:bottom w:w="80" w:type="dxa"/>
              <w:end w:w="80" w:type="dxa"/>
            </w:tcMar>
          </w:tcPr>
          <w:p>
            <w:pPr>
              <w:spacing w:after="0"/>
            </w:pPr>
            <w:r>
              <w:rPr>
                <w:sz w:val="15"/>
              </w:rPr>
              <w:t>2873</w:t>
            </w:r>
          </w:p>
        </w:tc>
        <w:tc>
          <w:tcPr>
            <w:tcW w:type="dxa" w:w="1022"/>
            <w:vAlign w:val="center"/>
            <w:tcMar>
              <w:top w:w="80" w:type="dxa"/>
              <w:start w:w="80" w:type="dxa"/>
              <w:bottom w:w="80" w:type="dxa"/>
              <w:end w:w="80" w:type="dxa"/>
            </w:tcMar>
          </w:tcPr>
          <w:p>
            <w:pPr>
              <w:spacing w:after="0"/>
            </w:pPr>
            <w:r>
              <w:rPr>
                <w:sz w:val="15"/>
              </w:rPr>
              <w:t>40.79</w:t>
            </w:r>
          </w:p>
        </w:tc>
        <w:tc>
          <w:tcPr>
            <w:tcW w:type="dxa" w:w="1022"/>
            <w:vAlign w:val="center"/>
            <w:tcMar>
              <w:top w:w="80" w:type="dxa"/>
              <w:start w:w="80" w:type="dxa"/>
              <w:bottom w:w="80" w:type="dxa"/>
              <w:end w:w="80" w:type="dxa"/>
            </w:tcMar>
          </w:tcPr>
          <w:p>
            <w:pPr>
              <w:spacing w:after="0"/>
            </w:pPr>
            <w:r>
              <w:rPr>
                <w:sz w:val="15"/>
              </w:rPr>
              <w:t>21.34</w:t>
            </w:r>
          </w:p>
        </w:tc>
        <w:tc>
          <w:tcPr>
            <w:tcW w:type="dxa" w:w="1022"/>
            <w:vAlign w:val="center"/>
            <w:tcMar>
              <w:top w:w="80" w:type="dxa"/>
              <w:start w:w="80" w:type="dxa"/>
              <w:bottom w:w="80" w:type="dxa"/>
              <w:end w:w="80" w:type="dxa"/>
            </w:tcMar>
          </w:tcPr>
          <w:p>
            <w:pPr>
              <w:spacing w:after="0"/>
            </w:pPr>
            <w:r>
              <w:rPr>
                <w:sz w:val="15"/>
              </w:rPr>
              <w:t>49.45</w:t>
            </w:r>
          </w:p>
        </w:tc>
        <w:tc>
          <w:tcPr>
            <w:tcW w:type="dxa" w:w="1022"/>
            <w:vAlign w:val="center"/>
            <w:tcMar>
              <w:top w:w="80" w:type="dxa"/>
              <w:start w:w="80" w:type="dxa"/>
              <w:bottom w:w="80" w:type="dxa"/>
              <w:end w:w="80" w:type="dxa"/>
            </w:tcMar>
          </w:tcPr>
          <w:p>
            <w:pPr>
              <w:spacing w:after="0"/>
            </w:pPr>
            <w:r>
              <w:rPr>
                <w:sz w:val="15"/>
              </w:rPr>
              <w:t>89.31</w:t>
            </w:r>
          </w:p>
        </w:tc>
        <w:tc>
          <w:tcPr>
            <w:tcW w:type="dxa" w:w="1022"/>
            <w:vAlign w:val="center"/>
            <w:tcMar>
              <w:top w:w="80" w:type="dxa"/>
              <w:start w:w="80" w:type="dxa"/>
              <w:bottom w:w="80" w:type="dxa"/>
              <w:end w:w="80" w:type="dxa"/>
            </w:tcMar>
          </w:tcPr>
          <w:p>
            <w:pPr>
              <w:spacing w:after="0"/>
            </w:pPr>
            <w:r>
              <w:rPr>
                <w:sz w:val="15"/>
              </w:rPr>
              <w:t>4410.58</w:t>
            </w:r>
          </w:p>
        </w:tc>
        <w:tc>
          <w:tcPr>
            <w:tcW w:type="dxa" w:w="1022"/>
            <w:vAlign w:val="center"/>
            <w:tcMar>
              <w:top w:w="80" w:type="dxa"/>
              <w:start w:w="80" w:type="dxa"/>
              <w:bottom w:w="80" w:type="dxa"/>
              <w:end w:w="80" w:type="dxa"/>
            </w:tcMar>
          </w:tcPr>
          <w:p>
            <w:pPr>
              <w:spacing w:after="0"/>
            </w:pPr>
            <w:r>
              <w:rPr>
                <w:sz w:val="15"/>
              </w:rPr>
              <w:t>5.43</w:t>
            </w:r>
          </w:p>
        </w:tc>
        <w:tc>
          <w:tcPr>
            <w:tcW w:type="dxa" w:w="1022"/>
            <w:vAlign w:val="center"/>
            <w:tcMar>
              <w:top w:w="80" w:type="dxa"/>
              <w:start w:w="80" w:type="dxa"/>
              <w:bottom w:w="80" w:type="dxa"/>
              <w:end w:w="80" w:type="dxa"/>
            </w:tcMar>
          </w:tcPr>
          <w:p>
            <w:pPr>
              <w:spacing w:after="0"/>
            </w:pPr>
            <w:r>
              <w:rPr>
                <w:sz w:val="15"/>
              </w:rPr>
              <w:t>2.36</w:t>
            </w:r>
          </w:p>
        </w:tc>
        <w:tc>
          <w:tcPr>
            <w:tcW w:type="dxa" w:w="1022"/>
            <w:vAlign w:val="center"/>
            <w:tcMar>
              <w:top w:w="80" w:type="dxa"/>
              <w:start w:w="80" w:type="dxa"/>
              <w:bottom w:w="80" w:type="dxa"/>
              <w:end w:w="80" w:type="dxa"/>
            </w:tcMar>
          </w:tcPr>
          <w:p>
            <w:pPr>
              <w:spacing w:after="0"/>
            </w:pPr>
            <w:r>
              <w:rPr>
                <w:sz w:val="15"/>
              </w:rPr>
              <w:t>1.49</w:t>
            </w:r>
          </w:p>
        </w:tc>
      </w:tr>
      <w:tr>
        <w:trPr>
          <w:cantSplit/>
        </w:trPr>
        <w:tc>
          <w:tcPr>
            <w:tcW w:type="dxa" w:w="1022"/>
            <w:vAlign w:val="center"/>
            <w:tcMar>
              <w:top w:w="80" w:type="dxa"/>
              <w:start w:w="80" w:type="dxa"/>
              <w:bottom w:w="80" w:type="dxa"/>
              <w:end w:w="80" w:type="dxa"/>
            </w:tcMar>
          </w:tcPr>
          <w:p>
            <w:pPr>
              <w:spacing w:after="0"/>
            </w:pPr>
            <w:r>
              <w:rPr>
                <w:sz w:val="15"/>
              </w:rPr>
              <w:t>1</w:t>
            </w:r>
          </w:p>
        </w:tc>
        <w:tc>
          <w:tcPr>
            <w:tcW w:type="dxa" w:w="1022"/>
            <w:vAlign w:val="center"/>
            <w:tcMar>
              <w:top w:w="80" w:type="dxa"/>
              <w:start w:w="80" w:type="dxa"/>
              <w:bottom w:w="80" w:type="dxa"/>
              <w:end w:w="80" w:type="dxa"/>
            </w:tcMar>
          </w:tcPr>
          <w:p>
            <w:pPr>
              <w:spacing w:after="0"/>
            </w:pPr>
            <w:r>
              <w:rPr>
                <w:sz w:val="15"/>
              </w:rPr>
              <w:t>4170</w:t>
            </w:r>
          </w:p>
        </w:tc>
        <w:tc>
          <w:tcPr>
            <w:tcW w:type="dxa" w:w="1022"/>
            <w:vAlign w:val="center"/>
            <w:tcMar>
              <w:top w:w="80" w:type="dxa"/>
              <w:start w:w="80" w:type="dxa"/>
              <w:bottom w:w="80" w:type="dxa"/>
              <w:end w:w="80" w:type="dxa"/>
            </w:tcMar>
          </w:tcPr>
          <w:p>
            <w:pPr>
              <w:spacing w:after="0"/>
            </w:pPr>
            <w:r>
              <w:rPr>
                <w:sz w:val="15"/>
              </w:rPr>
              <w:t>59.21</w:t>
            </w:r>
          </w:p>
        </w:tc>
        <w:tc>
          <w:tcPr>
            <w:tcW w:type="dxa" w:w="1022"/>
            <w:vAlign w:val="center"/>
            <w:tcMar>
              <w:top w:w="80" w:type="dxa"/>
              <w:start w:w="80" w:type="dxa"/>
              <w:bottom w:w="80" w:type="dxa"/>
              <w:end w:w="80" w:type="dxa"/>
            </w:tcMar>
          </w:tcPr>
          <w:p>
            <w:pPr>
              <w:spacing w:after="0"/>
            </w:pPr>
            <w:r>
              <w:rPr>
                <w:sz w:val="15"/>
              </w:rPr>
              <w:t>30.12</w:t>
            </w:r>
          </w:p>
        </w:tc>
        <w:tc>
          <w:tcPr>
            <w:tcW w:type="dxa" w:w="1022"/>
            <w:vAlign w:val="center"/>
            <w:tcMar>
              <w:top w:w="80" w:type="dxa"/>
              <w:start w:w="80" w:type="dxa"/>
              <w:bottom w:w="80" w:type="dxa"/>
              <w:end w:w="80" w:type="dxa"/>
            </w:tcMar>
          </w:tcPr>
          <w:p>
            <w:pPr>
              <w:spacing w:after="0"/>
            </w:pPr>
            <w:r>
              <w:rPr>
                <w:sz w:val="15"/>
              </w:rPr>
              <w:t>20.60</w:t>
            </w:r>
          </w:p>
        </w:tc>
        <w:tc>
          <w:tcPr>
            <w:tcW w:type="dxa" w:w="1022"/>
            <w:vAlign w:val="center"/>
            <w:tcMar>
              <w:top w:w="80" w:type="dxa"/>
              <w:start w:w="80" w:type="dxa"/>
              <w:bottom w:w="80" w:type="dxa"/>
              <w:end w:w="80" w:type="dxa"/>
            </w:tcMar>
          </w:tcPr>
          <w:p>
            <w:pPr>
              <w:spacing w:after="0"/>
            </w:pPr>
            <w:r>
              <w:rPr>
                <w:sz w:val="15"/>
              </w:rPr>
              <w:t>47.85</w:t>
            </w:r>
          </w:p>
        </w:tc>
        <w:tc>
          <w:tcPr>
            <w:tcW w:type="dxa" w:w="1022"/>
            <w:vAlign w:val="center"/>
            <w:tcMar>
              <w:top w:w="80" w:type="dxa"/>
              <w:start w:w="80" w:type="dxa"/>
              <w:bottom w:w="80" w:type="dxa"/>
              <w:end w:w="80" w:type="dxa"/>
            </w:tcMar>
          </w:tcPr>
          <w:p>
            <w:pPr>
              <w:spacing w:after="0"/>
            </w:pPr>
            <w:r>
              <w:rPr>
                <w:sz w:val="15"/>
              </w:rPr>
              <w:t>811.65</w:t>
            </w:r>
          </w:p>
        </w:tc>
        <w:tc>
          <w:tcPr>
            <w:tcW w:type="dxa" w:w="1022"/>
            <w:vAlign w:val="center"/>
            <w:tcMar>
              <w:top w:w="80" w:type="dxa"/>
              <w:start w:w="80" w:type="dxa"/>
              <w:bottom w:w="80" w:type="dxa"/>
              <w:end w:w="80" w:type="dxa"/>
            </w:tcMar>
          </w:tcPr>
          <w:p>
            <w:pPr>
              <w:spacing w:after="0"/>
            </w:pPr>
            <w:r>
              <w:rPr>
                <w:sz w:val="15"/>
              </w:rPr>
              <w:t>1.94</w:t>
            </w:r>
          </w:p>
        </w:tc>
        <w:tc>
          <w:tcPr>
            <w:tcW w:type="dxa" w:w="1022"/>
            <w:vAlign w:val="center"/>
            <w:tcMar>
              <w:top w:w="80" w:type="dxa"/>
              <w:start w:w="80" w:type="dxa"/>
              <w:bottom w:w="80" w:type="dxa"/>
              <w:end w:w="80" w:type="dxa"/>
            </w:tcMar>
          </w:tcPr>
          <w:p>
            <w:pPr>
              <w:spacing w:after="0"/>
            </w:pPr>
            <w:r>
              <w:rPr>
                <w:sz w:val="15"/>
              </w:rPr>
              <w:t>0.51</w:t>
            </w:r>
          </w:p>
        </w:tc>
        <w:tc>
          <w:tcPr>
            <w:tcW w:type="dxa" w:w="1022"/>
            <w:vAlign w:val="center"/>
            <w:tcMar>
              <w:top w:w="80" w:type="dxa"/>
              <w:start w:w="80" w:type="dxa"/>
              <w:bottom w:w="80" w:type="dxa"/>
              <w:end w:w="80" w:type="dxa"/>
            </w:tcMar>
          </w:tcPr>
          <w:p>
            <w:pPr>
              <w:spacing w:after="0"/>
            </w:pPr>
            <w:r>
              <w:rPr>
                <w:sz w:val="15"/>
              </w:rPr>
              <w:t>0.28</w:t>
            </w:r>
          </w:p>
        </w:tc>
      </w:tr>
    </w:tbl>
    <w:p>
      <w:pPr>
        <w:spacing w:after="120" w:line="259" w:lineRule="auto"/>
      </w:pPr>
      <w:r>
        <w:t>Cluster 0 contains 2,873 customers (40.79%) with mean tenure 49.45 months, mean MonthlyCharges 89.31, mean TotalCharges 4,410.58, and mean service count 5.43. Cluster 1 contains 4,170 customers (59.21%) with mean tenure 20.60 months, mean MonthlyCharges 47.85, mean TotalCharges 811.65, and mean service count 1.94. The profiles therefore differ strongly in customer lifecycle, billing scale, and service adoption.</w:t>
      </w:r>
    </w:p>
    <w:p>
      <w:pPr>
        <w:pStyle w:val="Heading2"/>
        <w:spacing w:before="120" w:after="100"/>
      </w:pPr>
      <w:r>
        <w:t>6.3 Cluster Visualization</w:t>
      </w:r>
    </w:p>
    <w:p>
      <w:pPr>
        <w:jc w:val="center"/>
      </w:pPr>
      <w:r>
        <w:drawing>
          <wp:inline xmlns:a="http://schemas.openxmlformats.org/drawingml/2006/main" xmlns:pic="http://schemas.openxmlformats.org/drawingml/2006/picture">
            <wp:extent cx="5806440" cy="3839778"/>
            <wp:docPr id="15" name="Picture 15"/>
            <wp:cNvGraphicFramePr>
              <a:graphicFrameLocks noChangeAspect="1"/>
            </wp:cNvGraphicFramePr>
            <a:graphic>
              <a:graphicData uri="http://schemas.openxmlformats.org/drawingml/2006/picture">
                <pic:pic>
                  <pic:nvPicPr>
                    <pic:cNvPr id="0" name="17_kmeans_pca_clusters.png"/>
                    <pic:cNvPicPr/>
                  </pic:nvPicPr>
                  <pic:blipFill>
                    <a:blip r:embed="rId25"/>
                    <a:stretch>
                      <a:fillRect/>
                    </a:stretch>
                  </pic:blipFill>
                  <pic:spPr>
                    <a:xfrm>
                      <a:off x="0" y="0"/>
                      <a:ext cx="5806440" cy="3839778"/>
                    </a:xfrm>
                    <a:prstGeom prst="rect"/>
                  </pic:spPr>
                </pic:pic>
              </a:graphicData>
            </a:graphic>
          </wp:inline>
        </w:drawing>
      </w:r>
    </w:p>
    <w:p>
      <w:pPr>
        <w:jc w:val="center"/>
      </w:pPr>
      <w:r>
        <w:rPr>
          <w:i/>
          <w:color w:val="595959"/>
          <w:sz w:val="18"/>
        </w:rPr>
        <w:t>Figure 15. PCA projection of the two K-Means clusters; the first two components explain 75.39% of variance.</w:t>
      </w:r>
    </w:p>
    <w:p>
      <w:pPr>
        <w:spacing w:after="120" w:line="259" w:lineRule="auto"/>
      </w:pPr>
      <w:r>
        <w:t>Cluster 0 has an observed churn rate of 21.34%, while Cluster 1 has 30.12%. Because churn was not used in clustering, this difference is a post-clustering descriptive finding and demonstrates that segmentation can add a customer-profile perspective to the supervised problem.</w:t>
      </w:r>
    </w:p>
    <w:p>
      <w:pPr>
        <w:pStyle w:val="Heading1"/>
        <w:spacing w:before="200" w:after="100"/>
      </w:pPr>
      <w:r>
        <w:t>7. Churn Prediction using Supervised Machine Learning</w:t>
      </w:r>
    </w:p>
    <w:p>
      <w:pPr>
        <w:spacing w:after="120" w:line="259" w:lineRule="auto"/>
      </w:pPr>
      <w:r>
        <w:t>The supervised-learning task predicts Churn_Binary. The model design uses a stratified 80/20 train-test split, which preserved the 26.54% churn rate in both training and testing sets. The preprocessing pipeline standardizes numerical features and one-hot encodes categorical features. Using a Pipeline and ColumnTransformer ensures that preprocessing is fitted within the training folds rather than leaking test information.</w:t>
      </w:r>
    </w:p>
    <w:p>
      <w:pPr>
        <w:pStyle w:val="Heading2"/>
        <w:spacing w:before="120" w:after="100"/>
      </w:pPr>
      <w:r>
        <w:t>7.1 Models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6"/>
              </w:rPr>
              <w:t>Model</w:t>
            </w:r>
          </w:p>
        </w:tc>
        <w:tc>
          <w:tcPr>
            <w:tcW w:type="dxa" w:w="3408"/>
            <w:vAlign w:val="center"/>
            <w:tcMar>
              <w:top w:w="80" w:type="dxa"/>
              <w:start w:w="80" w:type="dxa"/>
              <w:bottom w:w="80" w:type="dxa"/>
              <w:end w:w="80" w:type="dxa"/>
            </w:tcMar>
            <w:shd w:fill="D9E2F3"/>
          </w:tcPr>
          <w:p>
            <w:pPr>
              <w:spacing w:after="0"/>
            </w:pPr>
            <w:r>
              <w:rPr>
                <w:b/>
                <w:sz w:val="16"/>
              </w:rPr>
              <w:t>Purpose</w:t>
            </w:r>
          </w:p>
        </w:tc>
        <w:tc>
          <w:tcPr>
            <w:tcW w:type="dxa" w:w="3408"/>
            <w:vAlign w:val="center"/>
            <w:tcMar>
              <w:top w:w="80" w:type="dxa"/>
              <w:start w:w="80" w:type="dxa"/>
              <w:bottom w:w="80" w:type="dxa"/>
              <w:end w:w="80" w:type="dxa"/>
            </w:tcMar>
            <w:shd w:fill="D9E2F3"/>
          </w:tcPr>
          <w:p>
            <w:pPr>
              <w:spacing w:after="0"/>
            </w:pPr>
            <w:r>
              <w:rPr>
                <w:b/>
                <w:sz w:val="16"/>
              </w:rPr>
              <w:t>Key configuration</w:t>
            </w:r>
          </w:p>
        </w:tc>
      </w:tr>
      <w:tr>
        <w:trPr>
          <w:cantSplit/>
        </w:trPr>
        <w:tc>
          <w:tcPr>
            <w:tcW w:type="dxa" w:w="3408"/>
            <w:vAlign w:val="center"/>
            <w:tcMar>
              <w:top w:w="80" w:type="dxa"/>
              <w:start w:w="80" w:type="dxa"/>
              <w:bottom w:w="80" w:type="dxa"/>
              <w:end w:w="80" w:type="dxa"/>
            </w:tcMar>
          </w:tcPr>
          <w:p>
            <w:pPr>
              <w:spacing w:after="0"/>
            </w:pPr>
            <w:r>
              <w:rPr>
                <w:sz w:val="16"/>
              </w:rPr>
              <w:t>Dummy Baseline</w:t>
            </w:r>
          </w:p>
        </w:tc>
        <w:tc>
          <w:tcPr>
            <w:tcW w:type="dxa" w:w="3408"/>
            <w:vAlign w:val="center"/>
            <w:tcMar>
              <w:top w:w="80" w:type="dxa"/>
              <w:start w:w="80" w:type="dxa"/>
              <w:bottom w:w="80" w:type="dxa"/>
              <w:end w:w="80" w:type="dxa"/>
            </w:tcMar>
          </w:tcPr>
          <w:p>
            <w:pPr>
              <w:spacing w:after="0"/>
            </w:pPr>
            <w:r>
              <w:rPr>
                <w:sz w:val="16"/>
              </w:rPr>
              <w:t>Reference point using majority class</w:t>
            </w:r>
          </w:p>
        </w:tc>
        <w:tc>
          <w:tcPr>
            <w:tcW w:type="dxa" w:w="3408"/>
            <w:vAlign w:val="center"/>
            <w:tcMar>
              <w:top w:w="80" w:type="dxa"/>
              <w:start w:w="80" w:type="dxa"/>
              <w:bottom w:w="80" w:type="dxa"/>
              <w:end w:w="80" w:type="dxa"/>
            </w:tcMar>
          </w:tcPr>
          <w:p>
            <w:pPr>
              <w:spacing w:after="0"/>
            </w:pPr>
            <w:r>
              <w:rPr>
                <w:sz w:val="16"/>
              </w:rPr>
              <w:t>Most frequent</w:t>
            </w:r>
          </w:p>
        </w:tc>
      </w:tr>
      <w:tr>
        <w:trPr>
          <w:cantSplit/>
        </w:trPr>
        <w:tc>
          <w:tcPr>
            <w:tcW w:type="dxa" w:w="3408"/>
            <w:vAlign w:val="center"/>
            <w:tcMar>
              <w:top w:w="80" w:type="dxa"/>
              <w:start w:w="80" w:type="dxa"/>
              <w:bottom w:w="80" w:type="dxa"/>
              <w:end w:w="80" w:type="dxa"/>
            </w:tcMar>
          </w:tcPr>
          <w:p>
            <w:pPr>
              <w:spacing w:after="0"/>
            </w:pPr>
            <w:r>
              <w:rPr>
                <w:sz w:val="16"/>
              </w:rPr>
              <w:t>Logistic Regression</w:t>
            </w:r>
          </w:p>
        </w:tc>
        <w:tc>
          <w:tcPr>
            <w:tcW w:type="dxa" w:w="3408"/>
            <w:vAlign w:val="center"/>
            <w:tcMar>
              <w:top w:w="80" w:type="dxa"/>
              <w:start w:w="80" w:type="dxa"/>
              <w:bottom w:w="80" w:type="dxa"/>
              <w:end w:w="80" w:type="dxa"/>
            </w:tcMar>
          </w:tcPr>
          <w:p>
            <w:pPr>
              <w:spacing w:after="0"/>
            </w:pPr>
            <w:r>
              <w:rPr>
                <w:sz w:val="16"/>
              </w:rPr>
              <w:t>Interpretable linear baseline for binary churn</w:t>
            </w:r>
          </w:p>
        </w:tc>
        <w:tc>
          <w:tcPr>
            <w:tcW w:type="dxa" w:w="3408"/>
            <w:vAlign w:val="center"/>
            <w:tcMar>
              <w:top w:w="80" w:type="dxa"/>
              <w:start w:w="80" w:type="dxa"/>
              <w:bottom w:w="80" w:type="dxa"/>
              <w:end w:w="80" w:type="dxa"/>
            </w:tcMar>
          </w:tcPr>
          <w:p>
            <w:pPr>
              <w:spacing w:after="0"/>
            </w:pPr>
            <w:r>
              <w:rPr>
                <w:sz w:val="16"/>
              </w:rPr>
              <w:t>max_iter=2000</w:t>
            </w:r>
          </w:p>
        </w:tc>
      </w:tr>
      <w:tr>
        <w:trPr>
          <w:cantSplit/>
        </w:trPr>
        <w:tc>
          <w:tcPr>
            <w:tcW w:type="dxa" w:w="3408"/>
            <w:vAlign w:val="center"/>
            <w:tcMar>
              <w:top w:w="80" w:type="dxa"/>
              <w:start w:w="80" w:type="dxa"/>
              <w:bottom w:w="80" w:type="dxa"/>
              <w:end w:w="80" w:type="dxa"/>
            </w:tcMar>
          </w:tcPr>
          <w:p>
            <w:pPr>
              <w:spacing w:after="0"/>
            </w:pPr>
            <w:r>
              <w:rPr>
                <w:sz w:val="16"/>
              </w:rPr>
              <w:t>Random Forest</w:t>
            </w:r>
          </w:p>
        </w:tc>
        <w:tc>
          <w:tcPr>
            <w:tcW w:type="dxa" w:w="3408"/>
            <w:vAlign w:val="center"/>
            <w:tcMar>
              <w:top w:w="80" w:type="dxa"/>
              <w:start w:w="80" w:type="dxa"/>
              <w:bottom w:w="80" w:type="dxa"/>
              <w:end w:w="80" w:type="dxa"/>
            </w:tcMar>
          </w:tcPr>
          <w:p>
            <w:pPr>
              <w:spacing w:after="0"/>
            </w:pPr>
            <w:r>
              <w:rPr>
                <w:sz w:val="16"/>
              </w:rPr>
              <w:t>Nonlinear ensemble for interaction-like patterns</w:t>
            </w:r>
          </w:p>
        </w:tc>
        <w:tc>
          <w:tcPr>
            <w:tcW w:type="dxa" w:w="3408"/>
            <w:vAlign w:val="center"/>
            <w:tcMar>
              <w:top w:w="80" w:type="dxa"/>
              <w:start w:w="80" w:type="dxa"/>
              <w:bottom w:w="80" w:type="dxa"/>
              <w:end w:w="80" w:type="dxa"/>
            </w:tcMar>
          </w:tcPr>
          <w:p>
            <w:pPr>
              <w:spacing w:after="0"/>
            </w:pPr>
            <w:r>
              <w:rPr>
                <w:sz w:val="16"/>
              </w:rPr>
              <w:t>n_estimators=300 in initial comparison</w:t>
            </w:r>
          </w:p>
        </w:tc>
      </w:tr>
    </w:tbl>
    <w:p>
      <w:pPr>
        <w:pStyle w:val="Heading2"/>
        <w:spacing w:before="120" w:after="100"/>
      </w:pPr>
      <w:r>
        <w:t>7.2 Initial Test Results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cantSplit/>
        </w:trPr>
        <w:tc>
          <w:tcPr>
            <w:tcW w:type="dxa" w:w="1461"/>
            <w:vAlign w:val="center"/>
            <w:tcMar>
              <w:top w:w="80" w:type="dxa"/>
              <w:start w:w="80" w:type="dxa"/>
              <w:bottom w:w="80" w:type="dxa"/>
              <w:end w:w="80" w:type="dxa"/>
            </w:tcMar>
            <w:shd w:fill="D9E2F3"/>
          </w:tcPr>
          <w:p>
            <w:pPr>
              <w:spacing w:after="0"/>
            </w:pPr>
            <w:r>
              <w:rPr>
                <w:b/>
                <w:sz w:val="15"/>
              </w:rPr>
              <w:t>Model</w:t>
            </w:r>
          </w:p>
        </w:tc>
        <w:tc>
          <w:tcPr>
            <w:tcW w:type="dxa" w:w="1461"/>
            <w:vAlign w:val="center"/>
            <w:tcMar>
              <w:top w:w="80" w:type="dxa"/>
              <w:start w:w="80" w:type="dxa"/>
              <w:bottom w:w="80" w:type="dxa"/>
              <w:end w:w="80" w:type="dxa"/>
            </w:tcMar>
            <w:shd w:fill="D9E2F3"/>
          </w:tcPr>
          <w:p>
            <w:pPr>
              <w:spacing w:after="0"/>
            </w:pPr>
            <w:r>
              <w:rPr>
                <w:b/>
                <w:sz w:val="15"/>
              </w:rPr>
              <w:t>Accuracy</w:t>
            </w:r>
          </w:p>
        </w:tc>
        <w:tc>
          <w:tcPr>
            <w:tcW w:type="dxa" w:w="1461"/>
            <w:vAlign w:val="center"/>
            <w:tcMar>
              <w:top w:w="80" w:type="dxa"/>
              <w:start w:w="80" w:type="dxa"/>
              <w:bottom w:w="80" w:type="dxa"/>
              <w:end w:w="80" w:type="dxa"/>
            </w:tcMar>
            <w:shd w:fill="D9E2F3"/>
          </w:tcPr>
          <w:p>
            <w:pPr>
              <w:spacing w:after="0"/>
            </w:pPr>
            <w:r>
              <w:rPr>
                <w:b/>
                <w:sz w:val="15"/>
              </w:rPr>
              <w:t>Precision</w:t>
            </w:r>
          </w:p>
        </w:tc>
        <w:tc>
          <w:tcPr>
            <w:tcW w:type="dxa" w:w="1461"/>
            <w:vAlign w:val="center"/>
            <w:tcMar>
              <w:top w:w="80" w:type="dxa"/>
              <w:start w:w="80" w:type="dxa"/>
              <w:bottom w:w="80" w:type="dxa"/>
              <w:end w:w="80" w:type="dxa"/>
            </w:tcMar>
            <w:shd w:fill="D9E2F3"/>
          </w:tcPr>
          <w:p>
            <w:pPr>
              <w:spacing w:after="0"/>
            </w:pPr>
            <w:r>
              <w:rPr>
                <w:b/>
                <w:sz w:val="15"/>
              </w:rPr>
              <w:t>Recall</w:t>
            </w:r>
          </w:p>
        </w:tc>
        <w:tc>
          <w:tcPr>
            <w:tcW w:type="dxa" w:w="1461"/>
            <w:vAlign w:val="center"/>
            <w:tcMar>
              <w:top w:w="80" w:type="dxa"/>
              <w:start w:w="80" w:type="dxa"/>
              <w:bottom w:w="80" w:type="dxa"/>
              <w:end w:w="80" w:type="dxa"/>
            </w:tcMar>
            <w:shd w:fill="D9E2F3"/>
          </w:tcPr>
          <w:p>
            <w:pPr>
              <w:spacing w:after="0"/>
            </w:pPr>
            <w:r>
              <w:rPr>
                <w:b/>
                <w:sz w:val="15"/>
              </w:rPr>
              <w:t>F1</w:t>
            </w:r>
          </w:p>
        </w:tc>
        <w:tc>
          <w:tcPr>
            <w:tcW w:type="dxa" w:w="1461"/>
            <w:vAlign w:val="center"/>
            <w:tcMar>
              <w:top w:w="80" w:type="dxa"/>
              <w:start w:w="80" w:type="dxa"/>
              <w:bottom w:w="80" w:type="dxa"/>
              <w:end w:w="80" w:type="dxa"/>
            </w:tcMar>
            <w:shd w:fill="D9E2F3"/>
          </w:tcPr>
          <w:p>
            <w:pPr>
              <w:spacing w:after="0"/>
            </w:pPr>
            <w:r>
              <w:rPr>
                <w:b/>
                <w:sz w:val="15"/>
              </w:rPr>
              <w:t>ROC-AUC</w:t>
            </w:r>
          </w:p>
        </w:tc>
        <w:tc>
          <w:tcPr>
            <w:tcW w:type="dxa" w:w="1461"/>
            <w:vAlign w:val="center"/>
            <w:tcMar>
              <w:top w:w="80" w:type="dxa"/>
              <w:start w:w="80" w:type="dxa"/>
              <w:bottom w:w="80" w:type="dxa"/>
              <w:end w:w="80" w:type="dxa"/>
            </w:tcMar>
            <w:shd w:fill="D9E2F3"/>
          </w:tcPr>
          <w:p>
            <w:pPr>
              <w:spacing w:after="0"/>
            </w:pPr>
            <w:r>
              <w:rPr>
                <w:b/>
                <w:sz w:val="15"/>
              </w:rPr>
              <w:t>PR-AUC</w:t>
            </w:r>
          </w:p>
        </w:tc>
      </w:tr>
      <w:tr>
        <w:trPr>
          <w:cantSplit/>
        </w:trPr>
        <w:tc>
          <w:tcPr>
            <w:tcW w:type="dxa" w:w="1461"/>
            <w:vAlign w:val="center"/>
            <w:tcMar>
              <w:top w:w="80" w:type="dxa"/>
              <w:start w:w="80" w:type="dxa"/>
              <w:bottom w:w="80" w:type="dxa"/>
              <w:end w:w="80" w:type="dxa"/>
            </w:tcMar>
          </w:tcPr>
          <w:p>
            <w:pPr>
              <w:spacing w:after="0"/>
            </w:pPr>
            <w:r>
              <w:rPr>
                <w:sz w:val="15"/>
              </w:rPr>
              <w:t>Dummy Baseline</w:t>
            </w:r>
          </w:p>
        </w:tc>
        <w:tc>
          <w:tcPr>
            <w:tcW w:type="dxa" w:w="1461"/>
            <w:vAlign w:val="center"/>
            <w:tcMar>
              <w:top w:w="80" w:type="dxa"/>
              <w:start w:w="80" w:type="dxa"/>
              <w:bottom w:w="80" w:type="dxa"/>
              <w:end w:w="80" w:type="dxa"/>
            </w:tcMar>
          </w:tcPr>
          <w:p>
            <w:pPr>
              <w:spacing w:after="0"/>
            </w:pPr>
            <w:r>
              <w:rPr>
                <w:sz w:val="15"/>
              </w:rPr>
              <w:t>0.7346</w:t>
            </w:r>
          </w:p>
        </w:tc>
        <w:tc>
          <w:tcPr>
            <w:tcW w:type="dxa" w:w="1461"/>
            <w:vAlign w:val="center"/>
            <w:tcMar>
              <w:top w:w="80" w:type="dxa"/>
              <w:start w:w="80" w:type="dxa"/>
              <w:bottom w:w="80" w:type="dxa"/>
              <w:end w:w="80" w:type="dxa"/>
            </w:tcMar>
          </w:tcPr>
          <w:p>
            <w:pPr>
              <w:spacing w:after="0"/>
            </w:pPr>
            <w:r>
              <w:rPr>
                <w:sz w:val="15"/>
              </w:rPr>
              <w:t>0.0000</w:t>
            </w:r>
          </w:p>
        </w:tc>
        <w:tc>
          <w:tcPr>
            <w:tcW w:type="dxa" w:w="1461"/>
            <w:vAlign w:val="center"/>
            <w:tcMar>
              <w:top w:w="80" w:type="dxa"/>
              <w:start w:w="80" w:type="dxa"/>
              <w:bottom w:w="80" w:type="dxa"/>
              <w:end w:w="80" w:type="dxa"/>
            </w:tcMar>
          </w:tcPr>
          <w:p>
            <w:pPr>
              <w:spacing w:after="0"/>
            </w:pPr>
            <w:r>
              <w:rPr>
                <w:sz w:val="15"/>
              </w:rPr>
              <w:t>0.0000</w:t>
            </w:r>
          </w:p>
        </w:tc>
        <w:tc>
          <w:tcPr>
            <w:tcW w:type="dxa" w:w="1461"/>
            <w:vAlign w:val="center"/>
            <w:tcMar>
              <w:top w:w="80" w:type="dxa"/>
              <w:start w:w="80" w:type="dxa"/>
              <w:bottom w:w="80" w:type="dxa"/>
              <w:end w:w="80" w:type="dxa"/>
            </w:tcMar>
          </w:tcPr>
          <w:p>
            <w:pPr>
              <w:spacing w:after="0"/>
            </w:pPr>
            <w:r>
              <w:rPr>
                <w:sz w:val="15"/>
              </w:rPr>
              <w:t>0.0000</w:t>
            </w:r>
          </w:p>
        </w:tc>
        <w:tc>
          <w:tcPr>
            <w:tcW w:type="dxa" w:w="1461"/>
            <w:vAlign w:val="center"/>
            <w:tcMar>
              <w:top w:w="80" w:type="dxa"/>
              <w:start w:w="80" w:type="dxa"/>
              <w:bottom w:w="80" w:type="dxa"/>
              <w:end w:w="80" w:type="dxa"/>
            </w:tcMar>
          </w:tcPr>
          <w:p>
            <w:pPr>
              <w:spacing w:after="0"/>
            </w:pPr>
            <w:r>
              <w:rPr>
                <w:sz w:val="15"/>
              </w:rPr>
              <w:t>0.5000</w:t>
            </w:r>
          </w:p>
        </w:tc>
        <w:tc>
          <w:tcPr>
            <w:tcW w:type="dxa" w:w="1461"/>
            <w:vAlign w:val="center"/>
            <w:tcMar>
              <w:top w:w="80" w:type="dxa"/>
              <w:start w:w="80" w:type="dxa"/>
              <w:bottom w:w="80" w:type="dxa"/>
              <w:end w:w="80" w:type="dxa"/>
            </w:tcMar>
          </w:tcPr>
          <w:p>
            <w:pPr>
              <w:spacing w:after="0"/>
            </w:pPr>
            <w:r>
              <w:rPr>
                <w:sz w:val="15"/>
              </w:rPr>
              <w:t>0.2654</w:t>
            </w:r>
          </w:p>
        </w:tc>
      </w:tr>
      <w:tr>
        <w:trPr>
          <w:cantSplit/>
        </w:trPr>
        <w:tc>
          <w:tcPr>
            <w:tcW w:type="dxa" w:w="1461"/>
            <w:vAlign w:val="center"/>
            <w:tcMar>
              <w:top w:w="80" w:type="dxa"/>
              <w:start w:w="80" w:type="dxa"/>
              <w:bottom w:w="80" w:type="dxa"/>
              <w:end w:w="80" w:type="dxa"/>
            </w:tcMar>
          </w:tcPr>
          <w:p>
            <w:pPr>
              <w:spacing w:after="0"/>
            </w:pPr>
            <w:r>
              <w:rPr>
                <w:sz w:val="15"/>
              </w:rPr>
              <w:t>Logistic Regression</w:t>
            </w:r>
          </w:p>
        </w:tc>
        <w:tc>
          <w:tcPr>
            <w:tcW w:type="dxa" w:w="1461"/>
            <w:vAlign w:val="center"/>
            <w:tcMar>
              <w:top w:w="80" w:type="dxa"/>
              <w:start w:w="80" w:type="dxa"/>
              <w:bottom w:w="80" w:type="dxa"/>
              <w:end w:w="80" w:type="dxa"/>
            </w:tcMar>
          </w:tcPr>
          <w:p>
            <w:pPr>
              <w:spacing w:after="0"/>
            </w:pPr>
            <w:r>
              <w:rPr>
                <w:sz w:val="15"/>
              </w:rPr>
              <w:t>0.8027</w:t>
            </w:r>
          </w:p>
        </w:tc>
        <w:tc>
          <w:tcPr>
            <w:tcW w:type="dxa" w:w="1461"/>
            <w:vAlign w:val="center"/>
            <w:tcMar>
              <w:top w:w="80" w:type="dxa"/>
              <w:start w:w="80" w:type="dxa"/>
              <w:bottom w:w="80" w:type="dxa"/>
              <w:end w:w="80" w:type="dxa"/>
            </w:tcMar>
          </w:tcPr>
          <w:p>
            <w:pPr>
              <w:spacing w:after="0"/>
            </w:pPr>
            <w:r>
              <w:rPr>
                <w:sz w:val="15"/>
              </w:rPr>
              <w:t>0.6611</w:t>
            </w:r>
          </w:p>
        </w:tc>
        <w:tc>
          <w:tcPr>
            <w:tcW w:type="dxa" w:w="1461"/>
            <w:vAlign w:val="center"/>
            <w:tcMar>
              <w:top w:w="80" w:type="dxa"/>
              <w:start w:w="80" w:type="dxa"/>
              <w:bottom w:w="80" w:type="dxa"/>
              <w:end w:w="80" w:type="dxa"/>
            </w:tcMar>
          </w:tcPr>
          <w:p>
            <w:pPr>
              <w:spacing w:after="0"/>
            </w:pPr>
            <w:r>
              <w:rPr>
                <w:sz w:val="15"/>
              </w:rPr>
              <w:t>0.5267</w:t>
            </w:r>
          </w:p>
        </w:tc>
        <w:tc>
          <w:tcPr>
            <w:tcW w:type="dxa" w:w="1461"/>
            <w:vAlign w:val="center"/>
            <w:tcMar>
              <w:top w:w="80" w:type="dxa"/>
              <w:start w:w="80" w:type="dxa"/>
              <w:bottom w:w="80" w:type="dxa"/>
              <w:end w:w="80" w:type="dxa"/>
            </w:tcMar>
          </w:tcPr>
          <w:p>
            <w:pPr>
              <w:spacing w:after="0"/>
            </w:pPr>
            <w:r>
              <w:rPr>
                <w:sz w:val="15"/>
              </w:rPr>
              <w:t>0.5863</w:t>
            </w:r>
          </w:p>
        </w:tc>
        <w:tc>
          <w:tcPr>
            <w:tcW w:type="dxa" w:w="1461"/>
            <w:vAlign w:val="center"/>
            <w:tcMar>
              <w:top w:w="80" w:type="dxa"/>
              <w:start w:w="80" w:type="dxa"/>
              <w:bottom w:w="80" w:type="dxa"/>
              <w:end w:w="80" w:type="dxa"/>
            </w:tcMar>
          </w:tcPr>
          <w:p>
            <w:pPr>
              <w:spacing w:after="0"/>
            </w:pPr>
            <w:r>
              <w:rPr>
                <w:sz w:val="15"/>
              </w:rPr>
              <w:t>0.8458</w:t>
            </w:r>
          </w:p>
        </w:tc>
        <w:tc>
          <w:tcPr>
            <w:tcW w:type="dxa" w:w="1461"/>
            <w:vAlign w:val="center"/>
            <w:tcMar>
              <w:top w:w="80" w:type="dxa"/>
              <w:start w:w="80" w:type="dxa"/>
              <w:bottom w:w="80" w:type="dxa"/>
              <w:end w:w="80" w:type="dxa"/>
            </w:tcMar>
          </w:tcPr>
          <w:p>
            <w:pPr>
              <w:spacing w:after="0"/>
            </w:pPr>
            <w:r>
              <w:rPr>
                <w:sz w:val="15"/>
              </w:rPr>
              <w:t>0.6525</w:t>
            </w:r>
          </w:p>
        </w:tc>
      </w:tr>
      <w:tr>
        <w:trPr>
          <w:cantSplit/>
        </w:trPr>
        <w:tc>
          <w:tcPr>
            <w:tcW w:type="dxa" w:w="1461"/>
            <w:vAlign w:val="center"/>
            <w:tcMar>
              <w:top w:w="80" w:type="dxa"/>
              <w:start w:w="80" w:type="dxa"/>
              <w:bottom w:w="80" w:type="dxa"/>
              <w:end w:w="80" w:type="dxa"/>
            </w:tcMar>
          </w:tcPr>
          <w:p>
            <w:pPr>
              <w:spacing w:after="0"/>
            </w:pPr>
            <w:r>
              <w:rPr>
                <w:sz w:val="15"/>
              </w:rPr>
              <w:t>Random Forest</w:t>
            </w:r>
          </w:p>
        </w:tc>
        <w:tc>
          <w:tcPr>
            <w:tcW w:type="dxa" w:w="1461"/>
            <w:vAlign w:val="center"/>
            <w:tcMar>
              <w:top w:w="80" w:type="dxa"/>
              <w:start w:w="80" w:type="dxa"/>
              <w:bottom w:w="80" w:type="dxa"/>
              <w:end w:w="80" w:type="dxa"/>
            </w:tcMar>
          </w:tcPr>
          <w:p>
            <w:pPr>
              <w:spacing w:after="0"/>
            </w:pPr>
            <w:r>
              <w:rPr>
                <w:sz w:val="15"/>
              </w:rPr>
              <w:t>0.7786</w:t>
            </w:r>
          </w:p>
        </w:tc>
        <w:tc>
          <w:tcPr>
            <w:tcW w:type="dxa" w:w="1461"/>
            <w:vAlign w:val="center"/>
            <w:tcMar>
              <w:top w:w="80" w:type="dxa"/>
              <w:start w:w="80" w:type="dxa"/>
              <w:bottom w:w="80" w:type="dxa"/>
              <w:end w:w="80" w:type="dxa"/>
            </w:tcMar>
          </w:tcPr>
          <w:p>
            <w:pPr>
              <w:spacing w:after="0"/>
            </w:pPr>
            <w:r>
              <w:rPr>
                <w:sz w:val="15"/>
              </w:rPr>
              <w:t>0.6062</w:t>
            </w:r>
          </w:p>
        </w:tc>
        <w:tc>
          <w:tcPr>
            <w:tcW w:type="dxa" w:w="1461"/>
            <w:vAlign w:val="center"/>
            <w:tcMar>
              <w:top w:w="80" w:type="dxa"/>
              <w:start w:w="80" w:type="dxa"/>
              <w:bottom w:w="80" w:type="dxa"/>
              <w:end w:w="80" w:type="dxa"/>
            </w:tcMar>
          </w:tcPr>
          <w:p>
            <w:pPr>
              <w:spacing w:after="0"/>
            </w:pPr>
            <w:r>
              <w:rPr>
                <w:sz w:val="15"/>
              </w:rPr>
              <w:t>0.4733</w:t>
            </w:r>
          </w:p>
        </w:tc>
        <w:tc>
          <w:tcPr>
            <w:tcW w:type="dxa" w:w="1461"/>
            <w:vAlign w:val="center"/>
            <w:tcMar>
              <w:top w:w="80" w:type="dxa"/>
              <w:start w:w="80" w:type="dxa"/>
              <w:bottom w:w="80" w:type="dxa"/>
              <w:end w:w="80" w:type="dxa"/>
            </w:tcMar>
          </w:tcPr>
          <w:p>
            <w:pPr>
              <w:spacing w:after="0"/>
            </w:pPr>
            <w:r>
              <w:rPr>
                <w:sz w:val="15"/>
              </w:rPr>
              <w:t>0.5315</w:t>
            </w:r>
          </w:p>
        </w:tc>
        <w:tc>
          <w:tcPr>
            <w:tcW w:type="dxa" w:w="1461"/>
            <w:vAlign w:val="center"/>
            <w:tcMar>
              <w:top w:w="80" w:type="dxa"/>
              <w:start w:w="80" w:type="dxa"/>
              <w:bottom w:w="80" w:type="dxa"/>
              <w:end w:w="80" w:type="dxa"/>
            </w:tcMar>
          </w:tcPr>
          <w:p>
            <w:pPr>
              <w:spacing w:after="0"/>
            </w:pPr>
            <w:r>
              <w:rPr>
                <w:sz w:val="15"/>
              </w:rPr>
              <w:t>0.8188</w:t>
            </w:r>
          </w:p>
        </w:tc>
        <w:tc>
          <w:tcPr>
            <w:tcW w:type="dxa" w:w="1461"/>
            <w:vAlign w:val="center"/>
            <w:tcMar>
              <w:top w:w="80" w:type="dxa"/>
              <w:start w:w="80" w:type="dxa"/>
              <w:bottom w:w="80" w:type="dxa"/>
              <w:end w:w="80" w:type="dxa"/>
            </w:tcMar>
          </w:tcPr>
          <w:p>
            <w:pPr>
              <w:spacing w:after="0"/>
            </w:pPr>
            <w:r>
              <w:rPr>
                <w:sz w:val="15"/>
              </w:rPr>
              <w:t>0.6078</w:t>
            </w:r>
          </w:p>
        </w:tc>
      </w:tr>
    </w:tbl>
    <w:p>
      <w:pPr>
        <w:spacing w:after="120" w:line="259" w:lineRule="auto"/>
      </w:pPr>
      <w:r>
        <w:t>The dummy baseline achieves 73.46% accuracy only by predicting the majority class and therefore has zero recall for churn. This demonstrates why accuracy alone would be misleading. Logistic Regression and Random Forest both improve substantially over the baseline on churn-focused metrics.</w:t>
      </w:r>
    </w:p>
    <w:p>
      <w:pPr>
        <w:pStyle w:val="Heading1"/>
        <w:spacing w:before="200" w:after="100"/>
      </w:pPr>
      <w:r>
        <w:t>8. Model Validation, Tuning and Threshold Analysis</w:t>
      </w:r>
    </w:p>
    <w:p>
      <w:pPr>
        <w:pStyle w:val="Heading2"/>
        <w:spacing w:before="120" w:after="100"/>
      </w:pPr>
      <w:r>
        <w:t>8.1 Five-Fold Stratified Cross-Validation</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rPr>
          <w:tblHeader w:val="true"/>
          <w:cantSplit/>
        </w:trPr>
        <w:tc>
          <w:tcPr>
            <w:tcW w:type="dxa" w:w="786"/>
            <w:vAlign w:val="center"/>
            <w:tcMar>
              <w:top w:w="80" w:type="dxa"/>
              <w:start w:w="80" w:type="dxa"/>
              <w:bottom w:w="80" w:type="dxa"/>
              <w:end w:w="80" w:type="dxa"/>
            </w:tcMar>
            <w:shd w:fill="D9E2F3"/>
          </w:tcPr>
          <w:p>
            <w:pPr>
              <w:spacing w:after="0"/>
            </w:pPr>
            <w:r>
              <w:rPr>
                <w:b/>
                <w:sz w:val="14"/>
              </w:rPr>
              <w:t>Model</w:t>
            </w:r>
          </w:p>
        </w:tc>
        <w:tc>
          <w:tcPr>
            <w:tcW w:type="dxa" w:w="786"/>
            <w:vAlign w:val="center"/>
            <w:tcMar>
              <w:top w:w="80" w:type="dxa"/>
              <w:start w:w="80" w:type="dxa"/>
              <w:bottom w:w="80" w:type="dxa"/>
              <w:end w:w="80" w:type="dxa"/>
            </w:tcMar>
            <w:shd w:fill="D9E2F3"/>
          </w:tcPr>
          <w:p>
            <w:pPr>
              <w:spacing w:after="0"/>
            </w:pPr>
            <w:r>
              <w:rPr>
                <w:b/>
                <w:sz w:val="14"/>
              </w:rPr>
              <w:t>Accuracy Mean</w:t>
            </w:r>
          </w:p>
        </w:tc>
        <w:tc>
          <w:tcPr>
            <w:tcW w:type="dxa" w:w="786"/>
            <w:vAlign w:val="center"/>
            <w:tcMar>
              <w:top w:w="80" w:type="dxa"/>
              <w:start w:w="80" w:type="dxa"/>
              <w:bottom w:w="80" w:type="dxa"/>
              <w:end w:w="80" w:type="dxa"/>
            </w:tcMar>
            <w:shd w:fill="D9E2F3"/>
          </w:tcPr>
          <w:p>
            <w:pPr>
              <w:spacing w:after="0"/>
            </w:pPr>
            <w:r>
              <w:rPr>
                <w:b/>
                <w:sz w:val="14"/>
              </w:rPr>
              <w:t>Accuracy Std</w:t>
            </w:r>
          </w:p>
        </w:tc>
        <w:tc>
          <w:tcPr>
            <w:tcW w:type="dxa" w:w="786"/>
            <w:vAlign w:val="center"/>
            <w:tcMar>
              <w:top w:w="80" w:type="dxa"/>
              <w:start w:w="80" w:type="dxa"/>
              <w:bottom w:w="80" w:type="dxa"/>
              <w:end w:w="80" w:type="dxa"/>
            </w:tcMar>
            <w:shd w:fill="D9E2F3"/>
          </w:tcPr>
          <w:p>
            <w:pPr>
              <w:spacing w:after="0"/>
            </w:pPr>
            <w:r>
              <w:rPr>
                <w:b/>
                <w:sz w:val="14"/>
              </w:rPr>
              <w:t>Precision Mean</w:t>
            </w:r>
          </w:p>
        </w:tc>
        <w:tc>
          <w:tcPr>
            <w:tcW w:type="dxa" w:w="786"/>
            <w:vAlign w:val="center"/>
            <w:tcMar>
              <w:top w:w="80" w:type="dxa"/>
              <w:start w:w="80" w:type="dxa"/>
              <w:bottom w:w="80" w:type="dxa"/>
              <w:end w:w="80" w:type="dxa"/>
            </w:tcMar>
            <w:shd w:fill="D9E2F3"/>
          </w:tcPr>
          <w:p>
            <w:pPr>
              <w:spacing w:after="0"/>
            </w:pPr>
            <w:r>
              <w:rPr>
                <w:b/>
                <w:sz w:val="14"/>
              </w:rPr>
              <w:t>Precision Std</w:t>
            </w:r>
          </w:p>
        </w:tc>
        <w:tc>
          <w:tcPr>
            <w:tcW w:type="dxa" w:w="786"/>
            <w:vAlign w:val="center"/>
            <w:tcMar>
              <w:top w:w="80" w:type="dxa"/>
              <w:start w:w="80" w:type="dxa"/>
              <w:bottom w:w="80" w:type="dxa"/>
              <w:end w:w="80" w:type="dxa"/>
            </w:tcMar>
            <w:shd w:fill="D9E2F3"/>
          </w:tcPr>
          <w:p>
            <w:pPr>
              <w:spacing w:after="0"/>
            </w:pPr>
            <w:r>
              <w:rPr>
                <w:b/>
                <w:sz w:val="14"/>
              </w:rPr>
              <w:t>Recall Mean</w:t>
            </w:r>
          </w:p>
        </w:tc>
        <w:tc>
          <w:tcPr>
            <w:tcW w:type="dxa" w:w="786"/>
            <w:vAlign w:val="center"/>
            <w:tcMar>
              <w:top w:w="80" w:type="dxa"/>
              <w:start w:w="80" w:type="dxa"/>
              <w:bottom w:w="80" w:type="dxa"/>
              <w:end w:w="80" w:type="dxa"/>
            </w:tcMar>
            <w:shd w:fill="D9E2F3"/>
          </w:tcPr>
          <w:p>
            <w:pPr>
              <w:spacing w:after="0"/>
            </w:pPr>
            <w:r>
              <w:rPr>
                <w:b/>
                <w:sz w:val="14"/>
              </w:rPr>
              <w:t>Recall Std</w:t>
            </w:r>
          </w:p>
        </w:tc>
        <w:tc>
          <w:tcPr>
            <w:tcW w:type="dxa" w:w="786"/>
            <w:vAlign w:val="center"/>
            <w:tcMar>
              <w:top w:w="80" w:type="dxa"/>
              <w:start w:w="80" w:type="dxa"/>
              <w:bottom w:w="80" w:type="dxa"/>
              <w:end w:w="80" w:type="dxa"/>
            </w:tcMar>
            <w:shd w:fill="D9E2F3"/>
          </w:tcPr>
          <w:p>
            <w:pPr>
              <w:spacing w:after="0"/>
            </w:pPr>
            <w:r>
              <w:rPr>
                <w:b/>
                <w:sz w:val="14"/>
              </w:rPr>
              <w:t>F1 Mean</w:t>
            </w:r>
          </w:p>
        </w:tc>
        <w:tc>
          <w:tcPr>
            <w:tcW w:type="dxa" w:w="786"/>
            <w:vAlign w:val="center"/>
            <w:tcMar>
              <w:top w:w="80" w:type="dxa"/>
              <w:start w:w="80" w:type="dxa"/>
              <w:bottom w:w="80" w:type="dxa"/>
              <w:end w:w="80" w:type="dxa"/>
            </w:tcMar>
            <w:shd w:fill="D9E2F3"/>
          </w:tcPr>
          <w:p>
            <w:pPr>
              <w:spacing w:after="0"/>
            </w:pPr>
            <w:r>
              <w:rPr>
                <w:b/>
                <w:sz w:val="14"/>
              </w:rPr>
              <w:t>F1 Std</w:t>
            </w:r>
          </w:p>
        </w:tc>
        <w:tc>
          <w:tcPr>
            <w:tcW w:type="dxa" w:w="786"/>
            <w:vAlign w:val="center"/>
            <w:tcMar>
              <w:top w:w="80" w:type="dxa"/>
              <w:start w:w="80" w:type="dxa"/>
              <w:bottom w:w="80" w:type="dxa"/>
              <w:end w:w="80" w:type="dxa"/>
            </w:tcMar>
            <w:shd w:fill="D9E2F3"/>
          </w:tcPr>
          <w:p>
            <w:pPr>
              <w:spacing w:after="0"/>
            </w:pPr>
            <w:r>
              <w:rPr>
                <w:b/>
                <w:sz w:val="14"/>
              </w:rPr>
              <w:t>ROC-AUC Mean</w:t>
            </w:r>
          </w:p>
        </w:tc>
        <w:tc>
          <w:tcPr>
            <w:tcW w:type="dxa" w:w="786"/>
            <w:vAlign w:val="center"/>
            <w:tcMar>
              <w:top w:w="80" w:type="dxa"/>
              <w:start w:w="80" w:type="dxa"/>
              <w:bottom w:w="80" w:type="dxa"/>
              <w:end w:w="80" w:type="dxa"/>
            </w:tcMar>
            <w:shd w:fill="D9E2F3"/>
          </w:tcPr>
          <w:p>
            <w:pPr>
              <w:spacing w:after="0"/>
            </w:pPr>
            <w:r>
              <w:rPr>
                <w:b/>
                <w:sz w:val="14"/>
              </w:rPr>
              <w:t>ROC-AUC Std</w:t>
            </w:r>
          </w:p>
        </w:tc>
        <w:tc>
          <w:tcPr>
            <w:tcW w:type="dxa" w:w="786"/>
            <w:vAlign w:val="center"/>
            <w:tcMar>
              <w:top w:w="80" w:type="dxa"/>
              <w:start w:w="80" w:type="dxa"/>
              <w:bottom w:w="80" w:type="dxa"/>
              <w:end w:w="80" w:type="dxa"/>
            </w:tcMar>
            <w:shd w:fill="D9E2F3"/>
          </w:tcPr>
          <w:p>
            <w:pPr>
              <w:spacing w:after="0"/>
            </w:pPr>
            <w:r>
              <w:rPr>
                <w:b/>
                <w:sz w:val="14"/>
              </w:rPr>
              <w:t>PR-AUC Mean</w:t>
            </w:r>
          </w:p>
        </w:tc>
        <w:tc>
          <w:tcPr>
            <w:tcW w:type="dxa" w:w="786"/>
            <w:vAlign w:val="center"/>
            <w:tcMar>
              <w:top w:w="80" w:type="dxa"/>
              <w:start w:w="80" w:type="dxa"/>
              <w:bottom w:w="80" w:type="dxa"/>
              <w:end w:w="80" w:type="dxa"/>
            </w:tcMar>
            <w:shd w:fill="D9E2F3"/>
          </w:tcPr>
          <w:p>
            <w:pPr>
              <w:spacing w:after="0"/>
            </w:pPr>
            <w:r>
              <w:rPr>
                <w:b/>
                <w:sz w:val="14"/>
              </w:rPr>
              <w:t>PR-AUC Std</w:t>
            </w:r>
          </w:p>
        </w:tc>
      </w:tr>
      <w:tr>
        <w:trPr>
          <w:cantSplit/>
        </w:trPr>
        <w:tc>
          <w:tcPr>
            <w:tcW w:type="dxa" w:w="786"/>
            <w:vAlign w:val="center"/>
            <w:tcMar>
              <w:top w:w="80" w:type="dxa"/>
              <w:start w:w="80" w:type="dxa"/>
              <w:bottom w:w="80" w:type="dxa"/>
              <w:end w:w="80" w:type="dxa"/>
            </w:tcMar>
          </w:tcPr>
          <w:p>
            <w:pPr>
              <w:spacing w:after="0"/>
            </w:pPr>
            <w:r>
              <w:rPr>
                <w:sz w:val="14"/>
              </w:rPr>
              <w:t>Logistic Regression</w:t>
            </w:r>
          </w:p>
        </w:tc>
        <w:tc>
          <w:tcPr>
            <w:tcW w:type="dxa" w:w="786"/>
            <w:vAlign w:val="center"/>
            <w:tcMar>
              <w:top w:w="80" w:type="dxa"/>
              <w:start w:w="80" w:type="dxa"/>
              <w:bottom w:w="80" w:type="dxa"/>
              <w:end w:w="80" w:type="dxa"/>
            </w:tcMar>
          </w:tcPr>
          <w:p>
            <w:pPr>
              <w:spacing w:after="0"/>
            </w:pPr>
            <w:r>
              <w:rPr>
                <w:sz w:val="14"/>
              </w:rPr>
              <w:t>0.8078</w:t>
            </w:r>
          </w:p>
        </w:tc>
        <w:tc>
          <w:tcPr>
            <w:tcW w:type="dxa" w:w="786"/>
            <w:vAlign w:val="center"/>
            <w:tcMar>
              <w:top w:w="80" w:type="dxa"/>
              <w:start w:w="80" w:type="dxa"/>
              <w:bottom w:w="80" w:type="dxa"/>
              <w:end w:w="80" w:type="dxa"/>
            </w:tcMar>
          </w:tcPr>
          <w:p>
            <w:pPr>
              <w:spacing w:after="0"/>
            </w:pPr>
            <w:r>
              <w:rPr>
                <w:sz w:val="14"/>
              </w:rPr>
              <w:t>0.0138</w:t>
            </w:r>
          </w:p>
        </w:tc>
        <w:tc>
          <w:tcPr>
            <w:tcW w:type="dxa" w:w="786"/>
            <w:vAlign w:val="center"/>
            <w:tcMar>
              <w:top w:w="80" w:type="dxa"/>
              <w:start w:w="80" w:type="dxa"/>
              <w:bottom w:w="80" w:type="dxa"/>
              <w:end w:w="80" w:type="dxa"/>
            </w:tcMar>
          </w:tcPr>
          <w:p>
            <w:pPr>
              <w:spacing w:after="0"/>
            </w:pPr>
            <w:r>
              <w:rPr>
                <w:sz w:val="14"/>
              </w:rPr>
              <w:t>0.6713</w:t>
            </w:r>
          </w:p>
        </w:tc>
        <w:tc>
          <w:tcPr>
            <w:tcW w:type="dxa" w:w="786"/>
            <w:vAlign w:val="center"/>
            <w:tcMar>
              <w:top w:w="80" w:type="dxa"/>
              <w:start w:w="80" w:type="dxa"/>
              <w:bottom w:w="80" w:type="dxa"/>
              <w:end w:w="80" w:type="dxa"/>
            </w:tcMar>
          </w:tcPr>
          <w:p>
            <w:pPr>
              <w:spacing w:after="0"/>
            </w:pPr>
            <w:r>
              <w:rPr>
                <w:sz w:val="14"/>
              </w:rPr>
              <w:t>0.0308</w:t>
            </w:r>
          </w:p>
        </w:tc>
        <w:tc>
          <w:tcPr>
            <w:tcW w:type="dxa" w:w="786"/>
            <w:vAlign w:val="center"/>
            <w:tcMar>
              <w:top w:w="80" w:type="dxa"/>
              <w:start w:w="80" w:type="dxa"/>
              <w:bottom w:w="80" w:type="dxa"/>
              <w:end w:w="80" w:type="dxa"/>
            </w:tcMar>
          </w:tcPr>
          <w:p>
            <w:pPr>
              <w:spacing w:after="0"/>
            </w:pPr>
            <w:r>
              <w:rPr>
                <w:sz w:val="14"/>
              </w:rPr>
              <w:t>0.5398</w:t>
            </w:r>
          </w:p>
        </w:tc>
        <w:tc>
          <w:tcPr>
            <w:tcW w:type="dxa" w:w="786"/>
            <w:vAlign w:val="center"/>
            <w:tcMar>
              <w:top w:w="80" w:type="dxa"/>
              <w:start w:w="80" w:type="dxa"/>
              <w:bottom w:w="80" w:type="dxa"/>
              <w:end w:w="80" w:type="dxa"/>
            </w:tcMar>
          </w:tcPr>
          <w:p>
            <w:pPr>
              <w:spacing w:after="0"/>
            </w:pPr>
            <w:r>
              <w:rPr>
                <w:sz w:val="14"/>
              </w:rPr>
              <w:t>0.0403</w:t>
            </w:r>
          </w:p>
        </w:tc>
        <w:tc>
          <w:tcPr>
            <w:tcW w:type="dxa" w:w="786"/>
            <w:vAlign w:val="center"/>
            <w:tcMar>
              <w:top w:w="80" w:type="dxa"/>
              <w:start w:w="80" w:type="dxa"/>
              <w:bottom w:w="80" w:type="dxa"/>
              <w:end w:w="80" w:type="dxa"/>
            </w:tcMar>
          </w:tcPr>
          <w:p>
            <w:pPr>
              <w:spacing w:after="0"/>
            </w:pPr>
            <w:r>
              <w:rPr>
                <w:sz w:val="14"/>
              </w:rPr>
              <w:t>0.5979</w:t>
            </w:r>
          </w:p>
        </w:tc>
        <w:tc>
          <w:tcPr>
            <w:tcW w:type="dxa" w:w="786"/>
            <w:vAlign w:val="center"/>
            <w:tcMar>
              <w:top w:w="80" w:type="dxa"/>
              <w:start w:w="80" w:type="dxa"/>
              <w:bottom w:w="80" w:type="dxa"/>
              <w:end w:w="80" w:type="dxa"/>
            </w:tcMar>
          </w:tcPr>
          <w:p>
            <w:pPr>
              <w:spacing w:after="0"/>
            </w:pPr>
            <w:r>
              <w:rPr>
                <w:sz w:val="14"/>
              </w:rPr>
              <w:t>0.0335</w:t>
            </w:r>
          </w:p>
        </w:tc>
        <w:tc>
          <w:tcPr>
            <w:tcW w:type="dxa" w:w="786"/>
            <w:vAlign w:val="center"/>
            <w:tcMar>
              <w:top w:w="80" w:type="dxa"/>
              <w:start w:w="80" w:type="dxa"/>
              <w:bottom w:w="80" w:type="dxa"/>
              <w:end w:w="80" w:type="dxa"/>
            </w:tcMar>
          </w:tcPr>
          <w:p>
            <w:pPr>
              <w:spacing w:after="0"/>
            </w:pPr>
            <w:r>
              <w:rPr>
                <w:sz w:val="14"/>
              </w:rPr>
              <w:t>0.8481</w:t>
            </w:r>
          </w:p>
        </w:tc>
        <w:tc>
          <w:tcPr>
            <w:tcW w:type="dxa" w:w="786"/>
            <w:vAlign w:val="center"/>
            <w:tcMar>
              <w:top w:w="80" w:type="dxa"/>
              <w:start w:w="80" w:type="dxa"/>
              <w:bottom w:w="80" w:type="dxa"/>
              <w:end w:w="80" w:type="dxa"/>
            </w:tcMar>
          </w:tcPr>
          <w:p>
            <w:pPr>
              <w:spacing w:after="0"/>
            </w:pPr>
            <w:r>
              <w:rPr>
                <w:sz w:val="14"/>
              </w:rPr>
              <w:t>0.0113</w:t>
            </w:r>
          </w:p>
        </w:tc>
        <w:tc>
          <w:tcPr>
            <w:tcW w:type="dxa" w:w="786"/>
            <w:vAlign w:val="center"/>
            <w:tcMar>
              <w:top w:w="80" w:type="dxa"/>
              <w:start w:w="80" w:type="dxa"/>
              <w:bottom w:w="80" w:type="dxa"/>
              <w:end w:w="80" w:type="dxa"/>
            </w:tcMar>
          </w:tcPr>
          <w:p>
            <w:pPr>
              <w:spacing w:after="0"/>
            </w:pPr>
            <w:r>
              <w:rPr>
                <w:sz w:val="14"/>
              </w:rPr>
              <w:t>0.6635</w:t>
            </w:r>
          </w:p>
        </w:tc>
        <w:tc>
          <w:tcPr>
            <w:tcW w:type="dxa" w:w="786"/>
            <w:vAlign w:val="center"/>
            <w:tcMar>
              <w:top w:w="80" w:type="dxa"/>
              <w:start w:w="80" w:type="dxa"/>
              <w:bottom w:w="80" w:type="dxa"/>
              <w:end w:w="80" w:type="dxa"/>
            </w:tcMar>
          </w:tcPr>
          <w:p>
            <w:pPr>
              <w:spacing w:after="0"/>
            </w:pPr>
            <w:r>
              <w:rPr>
                <w:sz w:val="14"/>
              </w:rPr>
              <w:t>0.0154</w:t>
            </w:r>
          </w:p>
        </w:tc>
      </w:tr>
      <w:tr>
        <w:trPr>
          <w:cantSplit/>
        </w:trPr>
        <w:tc>
          <w:tcPr>
            <w:tcW w:type="dxa" w:w="786"/>
            <w:vAlign w:val="center"/>
            <w:tcMar>
              <w:top w:w="80" w:type="dxa"/>
              <w:start w:w="80" w:type="dxa"/>
              <w:bottom w:w="80" w:type="dxa"/>
              <w:end w:w="80" w:type="dxa"/>
            </w:tcMar>
          </w:tcPr>
          <w:p>
            <w:pPr>
              <w:spacing w:after="0"/>
            </w:pPr>
            <w:r>
              <w:rPr>
                <w:sz w:val="14"/>
              </w:rPr>
              <w:t>Random Forest</w:t>
            </w:r>
          </w:p>
        </w:tc>
        <w:tc>
          <w:tcPr>
            <w:tcW w:type="dxa" w:w="786"/>
            <w:vAlign w:val="center"/>
            <w:tcMar>
              <w:top w:w="80" w:type="dxa"/>
              <w:start w:w="80" w:type="dxa"/>
              <w:bottom w:w="80" w:type="dxa"/>
              <w:end w:w="80" w:type="dxa"/>
            </w:tcMar>
          </w:tcPr>
          <w:p>
            <w:pPr>
              <w:spacing w:after="0"/>
            </w:pPr>
            <w:r>
              <w:rPr>
                <w:sz w:val="14"/>
              </w:rPr>
              <w:t>0.7858</w:t>
            </w:r>
          </w:p>
        </w:tc>
        <w:tc>
          <w:tcPr>
            <w:tcW w:type="dxa" w:w="786"/>
            <w:vAlign w:val="center"/>
            <w:tcMar>
              <w:top w:w="80" w:type="dxa"/>
              <w:start w:w="80" w:type="dxa"/>
              <w:bottom w:w="80" w:type="dxa"/>
              <w:end w:w="80" w:type="dxa"/>
            </w:tcMar>
          </w:tcPr>
          <w:p>
            <w:pPr>
              <w:spacing w:after="0"/>
            </w:pPr>
            <w:r>
              <w:rPr>
                <w:sz w:val="14"/>
              </w:rPr>
              <w:t>0.0131</w:t>
            </w:r>
          </w:p>
        </w:tc>
        <w:tc>
          <w:tcPr>
            <w:tcW w:type="dxa" w:w="786"/>
            <w:vAlign w:val="center"/>
            <w:tcMar>
              <w:top w:w="80" w:type="dxa"/>
              <w:start w:w="80" w:type="dxa"/>
              <w:bottom w:w="80" w:type="dxa"/>
              <w:end w:w="80" w:type="dxa"/>
            </w:tcMar>
          </w:tcPr>
          <w:p>
            <w:pPr>
              <w:spacing w:after="0"/>
            </w:pPr>
            <w:r>
              <w:rPr>
                <w:sz w:val="14"/>
              </w:rPr>
              <w:t>0.6235</w:t>
            </w:r>
          </w:p>
        </w:tc>
        <w:tc>
          <w:tcPr>
            <w:tcW w:type="dxa" w:w="786"/>
            <w:vAlign w:val="center"/>
            <w:tcMar>
              <w:top w:w="80" w:type="dxa"/>
              <w:start w:w="80" w:type="dxa"/>
              <w:bottom w:w="80" w:type="dxa"/>
              <w:end w:w="80" w:type="dxa"/>
            </w:tcMar>
          </w:tcPr>
          <w:p>
            <w:pPr>
              <w:spacing w:after="0"/>
            </w:pPr>
            <w:r>
              <w:rPr>
                <w:sz w:val="14"/>
              </w:rPr>
              <w:t>0.0338</w:t>
            </w:r>
          </w:p>
        </w:tc>
        <w:tc>
          <w:tcPr>
            <w:tcW w:type="dxa" w:w="786"/>
            <w:vAlign w:val="center"/>
            <w:tcMar>
              <w:top w:w="80" w:type="dxa"/>
              <w:start w:w="80" w:type="dxa"/>
              <w:bottom w:w="80" w:type="dxa"/>
              <w:end w:w="80" w:type="dxa"/>
            </w:tcMar>
          </w:tcPr>
          <w:p>
            <w:pPr>
              <w:spacing w:after="0"/>
            </w:pPr>
            <w:r>
              <w:rPr>
                <w:sz w:val="14"/>
              </w:rPr>
              <w:t>0.4876</w:t>
            </w:r>
          </w:p>
        </w:tc>
        <w:tc>
          <w:tcPr>
            <w:tcW w:type="dxa" w:w="786"/>
            <w:vAlign w:val="center"/>
            <w:tcMar>
              <w:top w:w="80" w:type="dxa"/>
              <w:start w:w="80" w:type="dxa"/>
              <w:bottom w:w="80" w:type="dxa"/>
              <w:end w:w="80" w:type="dxa"/>
            </w:tcMar>
          </w:tcPr>
          <w:p>
            <w:pPr>
              <w:spacing w:after="0"/>
            </w:pPr>
            <w:r>
              <w:rPr>
                <w:sz w:val="14"/>
              </w:rPr>
              <w:t>0.0283</w:t>
            </w:r>
          </w:p>
        </w:tc>
        <w:tc>
          <w:tcPr>
            <w:tcW w:type="dxa" w:w="786"/>
            <w:vAlign w:val="center"/>
            <w:tcMar>
              <w:top w:w="80" w:type="dxa"/>
              <w:start w:w="80" w:type="dxa"/>
              <w:bottom w:w="80" w:type="dxa"/>
              <w:end w:w="80" w:type="dxa"/>
            </w:tcMar>
          </w:tcPr>
          <w:p>
            <w:pPr>
              <w:spacing w:after="0"/>
            </w:pPr>
            <w:r>
              <w:rPr>
                <w:sz w:val="14"/>
              </w:rPr>
              <w:t>0.5470</w:t>
            </w:r>
          </w:p>
        </w:tc>
        <w:tc>
          <w:tcPr>
            <w:tcW w:type="dxa" w:w="786"/>
            <w:vAlign w:val="center"/>
            <w:tcMar>
              <w:top w:w="80" w:type="dxa"/>
              <w:start w:w="80" w:type="dxa"/>
              <w:bottom w:w="80" w:type="dxa"/>
              <w:end w:w="80" w:type="dxa"/>
            </w:tcMar>
          </w:tcPr>
          <w:p>
            <w:pPr>
              <w:spacing w:after="0"/>
            </w:pPr>
            <w:r>
              <w:rPr>
                <w:sz w:val="14"/>
              </w:rPr>
              <w:t>0.0282</w:t>
            </w:r>
          </w:p>
        </w:tc>
        <w:tc>
          <w:tcPr>
            <w:tcW w:type="dxa" w:w="786"/>
            <w:vAlign w:val="center"/>
            <w:tcMar>
              <w:top w:w="80" w:type="dxa"/>
              <w:start w:w="80" w:type="dxa"/>
              <w:bottom w:w="80" w:type="dxa"/>
              <w:end w:w="80" w:type="dxa"/>
            </w:tcMar>
          </w:tcPr>
          <w:p>
            <w:pPr>
              <w:spacing w:after="0"/>
            </w:pPr>
            <w:r>
              <w:rPr>
                <w:sz w:val="14"/>
              </w:rPr>
              <w:t>0.8227</w:t>
            </w:r>
          </w:p>
        </w:tc>
        <w:tc>
          <w:tcPr>
            <w:tcW w:type="dxa" w:w="786"/>
            <w:vAlign w:val="center"/>
            <w:tcMar>
              <w:top w:w="80" w:type="dxa"/>
              <w:start w:w="80" w:type="dxa"/>
              <w:bottom w:w="80" w:type="dxa"/>
              <w:end w:w="80" w:type="dxa"/>
            </w:tcMar>
          </w:tcPr>
          <w:p>
            <w:pPr>
              <w:spacing w:after="0"/>
            </w:pPr>
            <w:r>
              <w:rPr>
                <w:sz w:val="14"/>
              </w:rPr>
              <w:t>0.0125</w:t>
            </w:r>
          </w:p>
        </w:tc>
        <w:tc>
          <w:tcPr>
            <w:tcW w:type="dxa" w:w="786"/>
            <w:vAlign w:val="center"/>
            <w:tcMar>
              <w:top w:w="80" w:type="dxa"/>
              <w:start w:w="80" w:type="dxa"/>
              <w:bottom w:w="80" w:type="dxa"/>
              <w:end w:w="80" w:type="dxa"/>
            </w:tcMar>
          </w:tcPr>
          <w:p>
            <w:pPr>
              <w:spacing w:after="0"/>
            </w:pPr>
            <w:r>
              <w:rPr>
                <w:sz w:val="14"/>
              </w:rPr>
              <w:t>0.6143</w:t>
            </w:r>
          </w:p>
        </w:tc>
        <w:tc>
          <w:tcPr>
            <w:tcW w:type="dxa" w:w="786"/>
            <w:vAlign w:val="center"/>
            <w:tcMar>
              <w:top w:w="80" w:type="dxa"/>
              <w:start w:w="80" w:type="dxa"/>
              <w:bottom w:w="80" w:type="dxa"/>
              <w:end w:w="80" w:type="dxa"/>
            </w:tcMar>
          </w:tcPr>
          <w:p>
            <w:pPr>
              <w:spacing w:after="0"/>
            </w:pPr>
            <w:r>
              <w:rPr>
                <w:sz w:val="14"/>
              </w:rPr>
              <w:t>0.0289</w:t>
            </w:r>
          </w:p>
        </w:tc>
      </w:tr>
    </w:tbl>
    <w:p>
      <w:pPr>
        <w:spacing w:after="120" w:line="259" w:lineRule="auto"/>
      </w:pPr>
      <w:r>
        <w:t>Five-fold validation showed Logistic Regression with mean F1 0.5979 ± 0.0335 and mean ROC-AUC 0.8481 ± 0.0113; Random Forest achieved mean F1 0.5470 ± 0.0282 and mean ROC-AUC 0.8227 ± 0.0125. The relatively small fold-to-fold standard deviations indicate that the results are not being driven entirely by one train/validation partition.</w:t>
      </w:r>
    </w:p>
    <w:p>
      <w:pPr>
        <w:pStyle w:val="Heading2"/>
        <w:spacing w:before="120" w:after="100"/>
      </w:pPr>
      <w:r>
        <w:t>8.2 Hyperparameter Tuning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6"/>
              </w:rPr>
              <w:t>Model</w:t>
            </w:r>
          </w:p>
        </w:tc>
        <w:tc>
          <w:tcPr>
            <w:tcW w:type="dxa" w:w="3408"/>
            <w:vAlign w:val="center"/>
            <w:tcMar>
              <w:top w:w="80" w:type="dxa"/>
              <w:start w:w="80" w:type="dxa"/>
              <w:bottom w:w="80" w:type="dxa"/>
              <w:end w:w="80" w:type="dxa"/>
            </w:tcMar>
            <w:shd w:fill="D9E2F3"/>
          </w:tcPr>
          <w:p>
            <w:pPr>
              <w:spacing w:after="0"/>
            </w:pPr>
            <w:r>
              <w:rPr>
                <w:b/>
                <w:sz w:val="16"/>
              </w:rPr>
              <w:t>Best parameters</w:t>
            </w:r>
          </w:p>
        </w:tc>
        <w:tc>
          <w:tcPr>
            <w:tcW w:type="dxa" w:w="3408"/>
            <w:vAlign w:val="center"/>
            <w:tcMar>
              <w:top w:w="80" w:type="dxa"/>
              <w:start w:w="80" w:type="dxa"/>
              <w:bottom w:w="80" w:type="dxa"/>
              <w:end w:w="80" w:type="dxa"/>
            </w:tcMar>
            <w:shd w:fill="D9E2F3"/>
          </w:tcPr>
          <w:p>
            <w:pPr>
              <w:spacing w:after="0"/>
            </w:pPr>
            <w:r>
              <w:rPr>
                <w:b/>
                <w:sz w:val="16"/>
              </w:rPr>
              <w:t>Best CV F1</w:t>
            </w:r>
          </w:p>
        </w:tc>
      </w:tr>
      <w:tr>
        <w:trPr>
          <w:cantSplit/>
        </w:trPr>
        <w:tc>
          <w:tcPr>
            <w:tcW w:type="dxa" w:w="3408"/>
            <w:vAlign w:val="center"/>
            <w:tcMar>
              <w:top w:w="80" w:type="dxa"/>
              <w:start w:w="80" w:type="dxa"/>
              <w:bottom w:w="80" w:type="dxa"/>
              <w:end w:w="80" w:type="dxa"/>
            </w:tcMar>
          </w:tcPr>
          <w:p>
            <w:pPr>
              <w:spacing w:after="0"/>
            </w:pPr>
            <w:r>
              <w:rPr>
                <w:sz w:val="16"/>
              </w:rPr>
              <w:t>Tuned Logistic Regression</w:t>
            </w:r>
          </w:p>
        </w:tc>
        <w:tc>
          <w:tcPr>
            <w:tcW w:type="dxa" w:w="3408"/>
            <w:vAlign w:val="center"/>
            <w:tcMar>
              <w:top w:w="80" w:type="dxa"/>
              <w:start w:w="80" w:type="dxa"/>
              <w:bottom w:w="80" w:type="dxa"/>
              <w:end w:w="80" w:type="dxa"/>
            </w:tcMar>
          </w:tcPr>
          <w:p>
            <w:pPr>
              <w:spacing w:after="0"/>
            </w:pPr>
            <w:r>
              <w:rPr>
                <w:sz w:val="16"/>
              </w:rPr>
              <w:t>C=0.01; class_weight='balanced'</w:t>
            </w:r>
          </w:p>
        </w:tc>
        <w:tc>
          <w:tcPr>
            <w:tcW w:type="dxa" w:w="3408"/>
            <w:vAlign w:val="center"/>
            <w:tcMar>
              <w:top w:w="80" w:type="dxa"/>
              <w:start w:w="80" w:type="dxa"/>
              <w:bottom w:w="80" w:type="dxa"/>
              <w:end w:w="80" w:type="dxa"/>
            </w:tcMar>
          </w:tcPr>
          <w:p>
            <w:pPr>
              <w:spacing w:after="0"/>
            </w:pPr>
            <w:r>
              <w:rPr>
                <w:sz w:val="16"/>
              </w:rPr>
              <w:t>0.6360</w:t>
            </w:r>
          </w:p>
        </w:tc>
      </w:tr>
      <w:tr>
        <w:trPr>
          <w:cantSplit/>
        </w:trPr>
        <w:tc>
          <w:tcPr>
            <w:tcW w:type="dxa" w:w="3408"/>
            <w:vAlign w:val="center"/>
            <w:tcMar>
              <w:top w:w="80" w:type="dxa"/>
              <w:start w:w="80" w:type="dxa"/>
              <w:bottom w:w="80" w:type="dxa"/>
              <w:end w:w="80" w:type="dxa"/>
            </w:tcMar>
          </w:tcPr>
          <w:p>
            <w:pPr>
              <w:spacing w:after="0"/>
            </w:pPr>
            <w:r>
              <w:rPr>
                <w:sz w:val="16"/>
              </w:rPr>
              <w:t>Tuned Random Forest</w:t>
            </w:r>
          </w:p>
        </w:tc>
        <w:tc>
          <w:tcPr>
            <w:tcW w:type="dxa" w:w="3408"/>
            <w:vAlign w:val="center"/>
            <w:tcMar>
              <w:top w:w="80" w:type="dxa"/>
              <w:start w:w="80" w:type="dxa"/>
              <w:bottom w:w="80" w:type="dxa"/>
              <w:end w:w="80" w:type="dxa"/>
            </w:tcMar>
          </w:tcPr>
          <w:p>
            <w:pPr>
              <w:spacing w:after="0"/>
            </w:pPr>
            <w:r>
              <w:rPr>
                <w:sz w:val="16"/>
              </w:rPr>
              <w:t>n_estimators=250; max_depth=None; min_samples_leaf=3; class_weight='balanced'</w:t>
            </w:r>
          </w:p>
        </w:tc>
        <w:tc>
          <w:tcPr>
            <w:tcW w:type="dxa" w:w="3408"/>
            <w:vAlign w:val="center"/>
            <w:tcMar>
              <w:top w:w="80" w:type="dxa"/>
              <w:start w:w="80" w:type="dxa"/>
              <w:bottom w:w="80" w:type="dxa"/>
              <w:end w:w="80" w:type="dxa"/>
            </w:tcMar>
          </w:tcPr>
          <w:p>
            <w:pPr>
              <w:spacing w:after="0"/>
            </w:pPr>
            <w:r>
              <w:rPr>
                <w:sz w:val="16"/>
              </w:rPr>
              <w:t>0.6293</w:t>
            </w:r>
          </w:p>
        </w:tc>
      </w:tr>
    </w:tbl>
    <w:p>
      <w:pPr>
        <w:spacing w:after="120" w:line="259" w:lineRule="auto"/>
      </w:pPr>
      <w:r>
        <w:t>The tuning procedure explicitly tested both regularization strength and class weighting for Logistic Regression, and tree count, depth, leaf size, and class weighting for Random Forest. The use of class_weight=balanced reflects the minority churn class and was evaluated rather than assumed to help.</w:t>
      </w:r>
    </w:p>
    <w:p>
      <w:pPr>
        <w:pStyle w:val="Heading2"/>
        <w:spacing w:before="120" w:after="100"/>
      </w:pPr>
      <w:r>
        <w:t>8.3 Tuned Test Results and Threshold Analysis</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val="true"/>
          <w:cantSplit/>
        </w:trPr>
        <w:tc>
          <w:tcPr>
            <w:tcW w:type="dxa" w:w="1022"/>
            <w:vAlign w:val="center"/>
            <w:tcMar>
              <w:top w:w="80" w:type="dxa"/>
              <w:start w:w="80" w:type="dxa"/>
              <w:bottom w:w="80" w:type="dxa"/>
              <w:end w:w="80" w:type="dxa"/>
            </w:tcMar>
            <w:shd w:fill="D9E2F3"/>
          </w:tcPr>
          <w:p>
            <w:pPr>
              <w:spacing w:after="0"/>
            </w:pPr>
            <w:r>
              <w:rPr>
                <w:b/>
                <w:sz w:val="14"/>
              </w:rPr>
              <w:t>Model</w:t>
            </w:r>
          </w:p>
        </w:tc>
        <w:tc>
          <w:tcPr>
            <w:tcW w:type="dxa" w:w="1022"/>
            <w:vAlign w:val="center"/>
            <w:tcMar>
              <w:top w:w="80" w:type="dxa"/>
              <w:start w:w="80" w:type="dxa"/>
              <w:bottom w:w="80" w:type="dxa"/>
              <w:end w:w="80" w:type="dxa"/>
            </w:tcMar>
            <w:shd w:fill="D9E2F3"/>
          </w:tcPr>
          <w:p>
            <w:pPr>
              <w:spacing w:after="0"/>
            </w:pPr>
            <w:r>
              <w:rPr>
                <w:b/>
                <w:sz w:val="14"/>
              </w:rPr>
              <w:t>Accuracy</w:t>
            </w:r>
          </w:p>
        </w:tc>
        <w:tc>
          <w:tcPr>
            <w:tcW w:type="dxa" w:w="1022"/>
            <w:vAlign w:val="center"/>
            <w:tcMar>
              <w:top w:w="80" w:type="dxa"/>
              <w:start w:w="80" w:type="dxa"/>
              <w:bottom w:w="80" w:type="dxa"/>
              <w:end w:w="80" w:type="dxa"/>
            </w:tcMar>
            <w:shd w:fill="D9E2F3"/>
          </w:tcPr>
          <w:p>
            <w:pPr>
              <w:spacing w:after="0"/>
            </w:pPr>
            <w:r>
              <w:rPr>
                <w:b/>
                <w:sz w:val="14"/>
              </w:rPr>
              <w:t>Precision</w:t>
            </w:r>
          </w:p>
        </w:tc>
        <w:tc>
          <w:tcPr>
            <w:tcW w:type="dxa" w:w="1022"/>
            <w:vAlign w:val="center"/>
            <w:tcMar>
              <w:top w:w="80" w:type="dxa"/>
              <w:start w:w="80" w:type="dxa"/>
              <w:bottom w:w="80" w:type="dxa"/>
              <w:end w:w="80" w:type="dxa"/>
            </w:tcMar>
            <w:shd w:fill="D9E2F3"/>
          </w:tcPr>
          <w:p>
            <w:pPr>
              <w:spacing w:after="0"/>
            </w:pPr>
            <w:r>
              <w:rPr>
                <w:b/>
                <w:sz w:val="14"/>
              </w:rPr>
              <w:t>Recall</w:t>
            </w:r>
          </w:p>
        </w:tc>
        <w:tc>
          <w:tcPr>
            <w:tcW w:type="dxa" w:w="1022"/>
            <w:vAlign w:val="center"/>
            <w:tcMar>
              <w:top w:w="80" w:type="dxa"/>
              <w:start w:w="80" w:type="dxa"/>
              <w:bottom w:w="80" w:type="dxa"/>
              <w:end w:w="80" w:type="dxa"/>
            </w:tcMar>
            <w:shd w:fill="D9E2F3"/>
          </w:tcPr>
          <w:p>
            <w:pPr>
              <w:spacing w:after="0"/>
            </w:pPr>
            <w:r>
              <w:rPr>
                <w:b/>
                <w:sz w:val="14"/>
              </w:rPr>
              <w:t>F1_Score</w:t>
            </w:r>
          </w:p>
        </w:tc>
        <w:tc>
          <w:tcPr>
            <w:tcW w:type="dxa" w:w="1022"/>
            <w:vAlign w:val="center"/>
            <w:tcMar>
              <w:top w:w="80" w:type="dxa"/>
              <w:start w:w="80" w:type="dxa"/>
              <w:bottom w:w="80" w:type="dxa"/>
              <w:end w:w="80" w:type="dxa"/>
            </w:tcMar>
            <w:shd w:fill="D9E2F3"/>
          </w:tcPr>
          <w:p>
            <w:pPr>
              <w:spacing w:after="0"/>
            </w:pPr>
            <w:r>
              <w:rPr>
                <w:b/>
                <w:sz w:val="14"/>
              </w:rPr>
              <w:t>ROC_AUC</w:t>
            </w:r>
          </w:p>
        </w:tc>
        <w:tc>
          <w:tcPr>
            <w:tcW w:type="dxa" w:w="1022"/>
            <w:vAlign w:val="center"/>
            <w:tcMar>
              <w:top w:w="80" w:type="dxa"/>
              <w:start w:w="80" w:type="dxa"/>
              <w:bottom w:w="80" w:type="dxa"/>
              <w:end w:w="80" w:type="dxa"/>
            </w:tcMar>
            <w:shd w:fill="D9E2F3"/>
          </w:tcPr>
          <w:p>
            <w:pPr>
              <w:spacing w:after="0"/>
            </w:pPr>
            <w:r>
              <w:rPr>
                <w:b/>
                <w:sz w:val="14"/>
              </w:rPr>
              <w:t>PR_AUC</w:t>
            </w:r>
          </w:p>
        </w:tc>
        <w:tc>
          <w:tcPr>
            <w:tcW w:type="dxa" w:w="1022"/>
            <w:vAlign w:val="center"/>
            <w:tcMar>
              <w:top w:w="80" w:type="dxa"/>
              <w:start w:w="80" w:type="dxa"/>
              <w:bottom w:w="80" w:type="dxa"/>
              <w:end w:w="80" w:type="dxa"/>
            </w:tcMar>
            <w:shd w:fill="D9E2F3"/>
          </w:tcPr>
          <w:p>
            <w:pPr>
              <w:spacing w:after="0"/>
            </w:pPr>
            <w:r>
              <w:rPr>
                <w:b/>
                <w:sz w:val="14"/>
              </w:rPr>
              <w:t>FN</w:t>
            </w:r>
          </w:p>
        </w:tc>
        <w:tc>
          <w:tcPr>
            <w:tcW w:type="dxa" w:w="1022"/>
            <w:vAlign w:val="center"/>
            <w:tcMar>
              <w:top w:w="80" w:type="dxa"/>
              <w:start w:w="80" w:type="dxa"/>
              <w:bottom w:w="80" w:type="dxa"/>
              <w:end w:w="80" w:type="dxa"/>
            </w:tcMar>
            <w:shd w:fill="D9E2F3"/>
          </w:tcPr>
          <w:p>
            <w:pPr>
              <w:spacing w:after="0"/>
            </w:pPr>
            <w:r>
              <w:rPr>
                <w:b/>
                <w:sz w:val="14"/>
              </w:rPr>
              <w:t>FP</w:t>
            </w:r>
          </w:p>
        </w:tc>
        <w:tc>
          <w:tcPr>
            <w:tcW w:type="dxa" w:w="1022"/>
            <w:vAlign w:val="center"/>
            <w:tcMar>
              <w:top w:w="80" w:type="dxa"/>
              <w:start w:w="80" w:type="dxa"/>
              <w:bottom w:w="80" w:type="dxa"/>
              <w:end w:w="80" w:type="dxa"/>
            </w:tcMar>
            <w:shd w:fill="D9E2F3"/>
          </w:tcPr>
          <w:p>
            <w:pPr>
              <w:spacing w:after="0"/>
            </w:pPr>
            <w:r>
              <w:rPr>
                <w:b/>
                <w:sz w:val="14"/>
              </w:rPr>
              <w:t>Error_Total</w:t>
            </w:r>
          </w:p>
        </w:tc>
      </w:tr>
      <w:tr>
        <w:trPr>
          <w:cantSplit/>
        </w:trPr>
        <w:tc>
          <w:tcPr>
            <w:tcW w:type="dxa" w:w="1022"/>
            <w:vAlign w:val="center"/>
            <w:tcMar>
              <w:top w:w="80" w:type="dxa"/>
              <w:start w:w="80" w:type="dxa"/>
              <w:bottom w:w="80" w:type="dxa"/>
              <w:end w:w="80" w:type="dxa"/>
            </w:tcMar>
          </w:tcPr>
          <w:p>
            <w:pPr>
              <w:spacing w:after="0"/>
            </w:pPr>
            <w:r>
              <w:rPr>
                <w:sz w:val="14"/>
              </w:rPr>
              <w:t>Tuned Logistic Regression</w:t>
            </w:r>
          </w:p>
        </w:tc>
        <w:tc>
          <w:tcPr>
            <w:tcW w:type="dxa" w:w="1022"/>
            <w:vAlign w:val="center"/>
            <w:tcMar>
              <w:top w:w="80" w:type="dxa"/>
              <w:start w:w="80" w:type="dxa"/>
              <w:bottom w:w="80" w:type="dxa"/>
              <w:end w:w="80" w:type="dxa"/>
            </w:tcMar>
          </w:tcPr>
          <w:p>
            <w:pPr>
              <w:spacing w:after="0"/>
            </w:pPr>
            <w:r>
              <w:rPr>
                <w:sz w:val="14"/>
              </w:rPr>
              <w:t>0.7516</w:t>
            </w:r>
          </w:p>
        </w:tc>
        <w:tc>
          <w:tcPr>
            <w:tcW w:type="dxa" w:w="1022"/>
            <w:vAlign w:val="center"/>
            <w:tcMar>
              <w:top w:w="80" w:type="dxa"/>
              <w:start w:w="80" w:type="dxa"/>
              <w:bottom w:w="80" w:type="dxa"/>
              <w:end w:w="80" w:type="dxa"/>
            </w:tcMar>
          </w:tcPr>
          <w:p>
            <w:pPr>
              <w:spacing w:after="0"/>
            </w:pPr>
            <w:r>
              <w:rPr>
                <w:sz w:val="14"/>
              </w:rPr>
              <w:t>0.5212</w:t>
            </w:r>
          </w:p>
        </w:tc>
        <w:tc>
          <w:tcPr>
            <w:tcW w:type="dxa" w:w="1022"/>
            <w:vAlign w:val="center"/>
            <w:tcMar>
              <w:top w:w="80" w:type="dxa"/>
              <w:start w:w="80" w:type="dxa"/>
              <w:bottom w:w="80" w:type="dxa"/>
              <w:end w:w="80" w:type="dxa"/>
            </w:tcMar>
          </w:tcPr>
          <w:p>
            <w:pPr>
              <w:spacing w:after="0"/>
            </w:pPr>
            <w:r>
              <w:rPr>
                <w:sz w:val="14"/>
              </w:rPr>
              <w:t>0.7888</w:t>
            </w:r>
          </w:p>
        </w:tc>
        <w:tc>
          <w:tcPr>
            <w:tcW w:type="dxa" w:w="1022"/>
            <w:vAlign w:val="center"/>
            <w:tcMar>
              <w:top w:w="80" w:type="dxa"/>
              <w:start w:w="80" w:type="dxa"/>
              <w:bottom w:w="80" w:type="dxa"/>
              <w:end w:w="80" w:type="dxa"/>
            </w:tcMar>
          </w:tcPr>
          <w:p>
            <w:pPr>
              <w:spacing w:after="0"/>
            </w:pPr>
            <w:r>
              <w:rPr>
                <w:sz w:val="14"/>
              </w:rPr>
              <w:t>0.6277</w:t>
            </w:r>
          </w:p>
        </w:tc>
        <w:tc>
          <w:tcPr>
            <w:tcW w:type="dxa" w:w="1022"/>
            <w:vAlign w:val="center"/>
            <w:tcMar>
              <w:top w:w="80" w:type="dxa"/>
              <w:start w:w="80" w:type="dxa"/>
              <w:bottom w:w="80" w:type="dxa"/>
              <w:end w:w="80" w:type="dxa"/>
            </w:tcMar>
          </w:tcPr>
          <w:p>
            <w:pPr>
              <w:spacing w:after="0"/>
            </w:pPr>
            <w:r>
              <w:rPr>
                <w:sz w:val="14"/>
              </w:rPr>
              <w:t>0.8451</w:t>
            </w:r>
          </w:p>
        </w:tc>
        <w:tc>
          <w:tcPr>
            <w:tcW w:type="dxa" w:w="1022"/>
            <w:vAlign w:val="center"/>
            <w:tcMar>
              <w:top w:w="80" w:type="dxa"/>
              <w:start w:w="80" w:type="dxa"/>
              <w:bottom w:w="80" w:type="dxa"/>
              <w:end w:w="80" w:type="dxa"/>
            </w:tcMar>
          </w:tcPr>
          <w:p>
            <w:pPr>
              <w:spacing w:after="0"/>
            </w:pPr>
            <w:r>
              <w:rPr>
                <w:sz w:val="14"/>
              </w:rPr>
              <w:t>0.6537</w:t>
            </w:r>
          </w:p>
        </w:tc>
        <w:tc>
          <w:tcPr>
            <w:tcW w:type="dxa" w:w="1022"/>
            <w:vAlign w:val="center"/>
            <w:tcMar>
              <w:top w:w="80" w:type="dxa"/>
              <w:start w:w="80" w:type="dxa"/>
              <w:bottom w:w="80" w:type="dxa"/>
              <w:end w:w="80" w:type="dxa"/>
            </w:tcMar>
          </w:tcPr>
          <w:p>
            <w:pPr>
              <w:spacing w:after="0"/>
            </w:pPr>
            <w:r>
              <w:rPr>
                <w:sz w:val="14"/>
              </w:rPr>
              <w:t>79</w:t>
            </w:r>
          </w:p>
        </w:tc>
        <w:tc>
          <w:tcPr>
            <w:tcW w:type="dxa" w:w="1022"/>
            <w:vAlign w:val="center"/>
            <w:tcMar>
              <w:top w:w="80" w:type="dxa"/>
              <w:start w:w="80" w:type="dxa"/>
              <w:bottom w:w="80" w:type="dxa"/>
              <w:end w:w="80" w:type="dxa"/>
            </w:tcMar>
          </w:tcPr>
          <w:p>
            <w:pPr>
              <w:spacing w:after="0"/>
            </w:pPr>
            <w:r>
              <w:rPr>
                <w:sz w:val="14"/>
              </w:rPr>
              <w:t>271</w:t>
            </w:r>
          </w:p>
        </w:tc>
        <w:tc>
          <w:tcPr>
            <w:tcW w:type="dxa" w:w="1022"/>
            <w:vAlign w:val="center"/>
            <w:tcMar>
              <w:top w:w="80" w:type="dxa"/>
              <w:start w:w="80" w:type="dxa"/>
              <w:bottom w:w="80" w:type="dxa"/>
              <w:end w:w="80" w:type="dxa"/>
            </w:tcMar>
          </w:tcPr>
          <w:p>
            <w:pPr>
              <w:spacing w:after="0"/>
            </w:pPr>
            <w:r>
              <w:rPr>
                <w:sz w:val="14"/>
              </w:rPr>
              <w:t>350</w:t>
            </w:r>
          </w:p>
        </w:tc>
      </w:tr>
      <w:tr>
        <w:trPr>
          <w:cantSplit/>
        </w:trPr>
        <w:tc>
          <w:tcPr>
            <w:tcW w:type="dxa" w:w="1022"/>
            <w:vAlign w:val="center"/>
            <w:tcMar>
              <w:top w:w="80" w:type="dxa"/>
              <w:start w:w="80" w:type="dxa"/>
              <w:bottom w:w="80" w:type="dxa"/>
              <w:end w:w="80" w:type="dxa"/>
            </w:tcMar>
          </w:tcPr>
          <w:p>
            <w:pPr>
              <w:spacing w:after="0"/>
            </w:pPr>
            <w:r>
              <w:rPr>
                <w:sz w:val="14"/>
              </w:rPr>
              <w:t>Tuned Random Forest</w:t>
            </w:r>
          </w:p>
        </w:tc>
        <w:tc>
          <w:tcPr>
            <w:tcW w:type="dxa" w:w="1022"/>
            <w:vAlign w:val="center"/>
            <w:tcMar>
              <w:top w:w="80" w:type="dxa"/>
              <w:start w:w="80" w:type="dxa"/>
              <w:bottom w:w="80" w:type="dxa"/>
              <w:end w:w="80" w:type="dxa"/>
            </w:tcMar>
          </w:tcPr>
          <w:p>
            <w:pPr>
              <w:spacing w:after="0"/>
            </w:pPr>
            <w:r>
              <w:rPr>
                <w:sz w:val="14"/>
              </w:rPr>
              <w:t>0.7708</w:t>
            </w:r>
          </w:p>
        </w:tc>
        <w:tc>
          <w:tcPr>
            <w:tcW w:type="dxa" w:w="1022"/>
            <w:vAlign w:val="center"/>
            <w:tcMar>
              <w:top w:w="80" w:type="dxa"/>
              <w:start w:w="80" w:type="dxa"/>
              <w:bottom w:w="80" w:type="dxa"/>
              <w:end w:w="80" w:type="dxa"/>
            </w:tcMar>
          </w:tcPr>
          <w:p>
            <w:pPr>
              <w:spacing w:after="0"/>
            </w:pPr>
            <w:r>
              <w:rPr>
                <w:sz w:val="14"/>
              </w:rPr>
              <w:t>0.5548</w:t>
            </w:r>
          </w:p>
        </w:tc>
        <w:tc>
          <w:tcPr>
            <w:tcW w:type="dxa" w:w="1022"/>
            <w:vAlign w:val="center"/>
            <w:tcMar>
              <w:top w:w="80" w:type="dxa"/>
              <w:start w:w="80" w:type="dxa"/>
              <w:bottom w:w="80" w:type="dxa"/>
              <w:end w:w="80" w:type="dxa"/>
            </w:tcMar>
          </w:tcPr>
          <w:p>
            <w:pPr>
              <w:spacing w:after="0"/>
            </w:pPr>
            <w:r>
              <w:rPr>
                <w:sz w:val="14"/>
              </w:rPr>
              <w:t>0.6898</w:t>
            </w:r>
          </w:p>
        </w:tc>
        <w:tc>
          <w:tcPr>
            <w:tcW w:type="dxa" w:w="1022"/>
            <w:vAlign w:val="center"/>
            <w:tcMar>
              <w:top w:w="80" w:type="dxa"/>
              <w:start w:w="80" w:type="dxa"/>
              <w:bottom w:w="80" w:type="dxa"/>
              <w:end w:w="80" w:type="dxa"/>
            </w:tcMar>
          </w:tcPr>
          <w:p>
            <w:pPr>
              <w:spacing w:after="0"/>
            </w:pPr>
            <w:r>
              <w:rPr>
                <w:sz w:val="14"/>
              </w:rPr>
              <w:t>0.6150</w:t>
            </w:r>
          </w:p>
        </w:tc>
        <w:tc>
          <w:tcPr>
            <w:tcW w:type="dxa" w:w="1022"/>
            <w:vAlign w:val="center"/>
            <w:tcMar>
              <w:top w:w="80" w:type="dxa"/>
              <w:start w:w="80" w:type="dxa"/>
              <w:bottom w:w="80" w:type="dxa"/>
              <w:end w:w="80" w:type="dxa"/>
            </w:tcMar>
          </w:tcPr>
          <w:p>
            <w:pPr>
              <w:spacing w:after="0"/>
            </w:pPr>
            <w:r>
              <w:rPr>
                <w:sz w:val="14"/>
              </w:rPr>
              <w:t>0.8367</w:t>
            </w:r>
          </w:p>
        </w:tc>
        <w:tc>
          <w:tcPr>
            <w:tcW w:type="dxa" w:w="1022"/>
            <w:vAlign w:val="center"/>
            <w:tcMar>
              <w:top w:w="80" w:type="dxa"/>
              <w:start w:w="80" w:type="dxa"/>
              <w:bottom w:w="80" w:type="dxa"/>
              <w:end w:w="80" w:type="dxa"/>
            </w:tcMar>
          </w:tcPr>
          <w:p>
            <w:pPr>
              <w:spacing w:after="0"/>
            </w:pPr>
            <w:r>
              <w:rPr>
                <w:sz w:val="14"/>
              </w:rPr>
              <w:t>0.6444</w:t>
            </w:r>
          </w:p>
        </w:tc>
        <w:tc>
          <w:tcPr>
            <w:tcW w:type="dxa" w:w="1022"/>
            <w:vAlign w:val="center"/>
            <w:tcMar>
              <w:top w:w="80" w:type="dxa"/>
              <w:start w:w="80" w:type="dxa"/>
              <w:bottom w:w="80" w:type="dxa"/>
              <w:end w:w="80" w:type="dxa"/>
            </w:tcMar>
          </w:tcPr>
          <w:p>
            <w:pPr>
              <w:spacing w:after="0"/>
            </w:pPr>
            <w:r>
              <w:rPr>
                <w:sz w:val="14"/>
              </w:rPr>
              <w:t>116</w:t>
            </w:r>
          </w:p>
        </w:tc>
        <w:tc>
          <w:tcPr>
            <w:tcW w:type="dxa" w:w="1022"/>
            <w:vAlign w:val="center"/>
            <w:tcMar>
              <w:top w:w="80" w:type="dxa"/>
              <w:start w:w="80" w:type="dxa"/>
              <w:bottom w:w="80" w:type="dxa"/>
              <w:end w:w="80" w:type="dxa"/>
            </w:tcMar>
          </w:tcPr>
          <w:p>
            <w:pPr>
              <w:spacing w:after="0"/>
            </w:pPr>
            <w:r>
              <w:rPr>
                <w:sz w:val="14"/>
              </w:rPr>
              <w:t>207</w:t>
            </w:r>
          </w:p>
        </w:tc>
        <w:tc>
          <w:tcPr>
            <w:tcW w:type="dxa" w:w="1022"/>
            <w:vAlign w:val="center"/>
            <w:tcMar>
              <w:top w:w="80" w:type="dxa"/>
              <w:start w:w="80" w:type="dxa"/>
              <w:bottom w:w="80" w:type="dxa"/>
              <w:end w:w="80" w:type="dxa"/>
            </w:tcMar>
          </w:tcPr>
          <w:p>
            <w:pPr>
              <w:spacing w:after="0"/>
            </w:pPr>
            <w:r>
              <w:rPr>
                <w:sz w:val="14"/>
              </w:rPr>
              <w:t>323</w:t>
            </w:r>
          </w:p>
        </w:tc>
      </w:tr>
      <w:tr>
        <w:trPr>
          <w:cantSplit/>
        </w:trPr>
        <w:tc>
          <w:tcPr>
            <w:tcW w:type="dxa" w:w="1022"/>
            <w:vAlign w:val="center"/>
            <w:tcMar>
              <w:top w:w="80" w:type="dxa"/>
              <w:start w:w="80" w:type="dxa"/>
              <w:bottom w:w="80" w:type="dxa"/>
              <w:end w:w="80" w:type="dxa"/>
            </w:tcMar>
          </w:tcPr>
          <w:p>
            <w:pPr>
              <w:spacing w:after="0"/>
            </w:pPr>
            <w:r>
              <w:rPr>
                <w:sz w:val="14"/>
              </w:rPr>
              <w:t>Tuned Logistic Regression (Threshold=0.52)</w:t>
            </w:r>
          </w:p>
        </w:tc>
        <w:tc>
          <w:tcPr>
            <w:tcW w:type="dxa" w:w="1022"/>
            <w:vAlign w:val="center"/>
            <w:tcMar>
              <w:top w:w="80" w:type="dxa"/>
              <w:start w:w="80" w:type="dxa"/>
              <w:bottom w:w="80" w:type="dxa"/>
              <w:end w:w="80" w:type="dxa"/>
            </w:tcMar>
          </w:tcPr>
          <w:p>
            <w:pPr>
              <w:spacing w:after="0"/>
            </w:pPr>
            <w:r>
              <w:rPr>
                <w:sz w:val="14"/>
              </w:rPr>
              <w:t>0.7587</w:t>
            </w:r>
          </w:p>
        </w:tc>
        <w:tc>
          <w:tcPr>
            <w:tcW w:type="dxa" w:w="1022"/>
            <w:vAlign w:val="center"/>
            <w:tcMar>
              <w:top w:w="80" w:type="dxa"/>
              <w:start w:w="80" w:type="dxa"/>
              <w:bottom w:w="80" w:type="dxa"/>
              <w:end w:w="80" w:type="dxa"/>
            </w:tcMar>
          </w:tcPr>
          <w:p>
            <w:pPr>
              <w:spacing w:after="0"/>
            </w:pPr>
            <w:r>
              <w:rPr>
                <w:sz w:val="14"/>
              </w:rPr>
              <w:t>0.5314</w:t>
            </w:r>
          </w:p>
        </w:tc>
        <w:tc>
          <w:tcPr>
            <w:tcW w:type="dxa" w:w="1022"/>
            <w:vAlign w:val="center"/>
            <w:tcMar>
              <w:top w:w="80" w:type="dxa"/>
              <w:start w:w="80" w:type="dxa"/>
              <w:bottom w:w="80" w:type="dxa"/>
              <w:end w:w="80" w:type="dxa"/>
            </w:tcMar>
          </w:tcPr>
          <w:p>
            <w:pPr>
              <w:spacing w:after="0"/>
            </w:pPr>
            <w:r>
              <w:rPr>
                <w:sz w:val="14"/>
              </w:rPr>
              <w:t>0.7701</w:t>
            </w:r>
          </w:p>
        </w:tc>
        <w:tc>
          <w:tcPr>
            <w:tcW w:type="dxa" w:w="1022"/>
            <w:vAlign w:val="center"/>
            <w:tcMar>
              <w:top w:w="80" w:type="dxa"/>
              <w:start w:w="80" w:type="dxa"/>
              <w:bottom w:w="80" w:type="dxa"/>
              <w:end w:w="80" w:type="dxa"/>
            </w:tcMar>
          </w:tcPr>
          <w:p>
            <w:pPr>
              <w:spacing w:after="0"/>
            </w:pPr>
            <w:r>
              <w:rPr>
                <w:sz w:val="14"/>
              </w:rPr>
              <w:t>0.6288</w:t>
            </w:r>
          </w:p>
        </w:tc>
        <w:tc>
          <w:tcPr>
            <w:tcW w:type="dxa" w:w="1022"/>
            <w:vAlign w:val="center"/>
            <w:tcMar>
              <w:top w:w="80" w:type="dxa"/>
              <w:start w:w="80" w:type="dxa"/>
              <w:bottom w:w="80" w:type="dxa"/>
              <w:end w:w="80" w:type="dxa"/>
            </w:tcMar>
          </w:tcPr>
          <w:p>
            <w:pPr>
              <w:spacing w:after="0"/>
            </w:pPr>
            <w:r>
              <w:rPr>
                <w:sz w:val="14"/>
              </w:rPr>
              <w:t>0.8451</w:t>
            </w:r>
          </w:p>
        </w:tc>
        <w:tc>
          <w:tcPr>
            <w:tcW w:type="dxa" w:w="1022"/>
            <w:vAlign w:val="center"/>
            <w:tcMar>
              <w:top w:w="80" w:type="dxa"/>
              <w:start w:w="80" w:type="dxa"/>
              <w:bottom w:w="80" w:type="dxa"/>
              <w:end w:w="80" w:type="dxa"/>
            </w:tcMar>
          </w:tcPr>
          <w:p>
            <w:pPr>
              <w:spacing w:after="0"/>
            </w:pPr>
            <w:r>
              <w:rPr>
                <w:sz w:val="14"/>
              </w:rPr>
              <w:t>0.6537</w:t>
            </w:r>
          </w:p>
        </w:tc>
        <w:tc>
          <w:tcPr>
            <w:tcW w:type="dxa" w:w="1022"/>
            <w:vAlign w:val="center"/>
            <w:tcMar>
              <w:top w:w="80" w:type="dxa"/>
              <w:start w:w="80" w:type="dxa"/>
              <w:bottom w:w="80" w:type="dxa"/>
              <w:end w:w="80" w:type="dxa"/>
            </w:tcMar>
          </w:tcPr>
          <w:p>
            <w:pPr>
              <w:spacing w:after="0"/>
            </w:pPr>
            <w:r>
              <w:rPr>
                <w:sz w:val="14"/>
              </w:rPr>
              <w:t>86</w:t>
            </w:r>
          </w:p>
        </w:tc>
        <w:tc>
          <w:tcPr>
            <w:tcW w:type="dxa" w:w="1022"/>
            <w:vAlign w:val="center"/>
            <w:tcMar>
              <w:top w:w="80" w:type="dxa"/>
              <w:start w:w="80" w:type="dxa"/>
              <w:bottom w:w="80" w:type="dxa"/>
              <w:end w:w="80" w:type="dxa"/>
            </w:tcMar>
          </w:tcPr>
          <w:p>
            <w:pPr>
              <w:spacing w:after="0"/>
            </w:pPr>
            <w:r>
              <w:rPr>
                <w:sz w:val="14"/>
              </w:rPr>
              <w:t>254</w:t>
            </w:r>
          </w:p>
        </w:tc>
        <w:tc>
          <w:tcPr>
            <w:tcW w:type="dxa" w:w="1022"/>
            <w:vAlign w:val="center"/>
            <w:tcMar>
              <w:top w:w="80" w:type="dxa"/>
              <w:start w:w="80" w:type="dxa"/>
              <w:bottom w:w="80" w:type="dxa"/>
              <w:end w:w="80" w:type="dxa"/>
            </w:tcMar>
          </w:tcPr>
          <w:p>
            <w:pPr>
              <w:spacing w:after="0"/>
            </w:pPr>
            <w:r>
              <w:rPr>
                <w:sz w:val="14"/>
              </w:rPr>
              <w:t>340</w:t>
            </w:r>
          </w:p>
        </w:tc>
      </w:tr>
    </w:tbl>
    <w:p>
      <w:pPr>
        <w:jc w:val="center"/>
      </w:pPr>
      <w:r>
        <w:drawing>
          <wp:inline xmlns:a="http://schemas.openxmlformats.org/drawingml/2006/main" xmlns:pic="http://schemas.openxmlformats.org/drawingml/2006/picture">
            <wp:extent cx="5806440" cy="3839778"/>
            <wp:docPr id="16" name="Picture 16"/>
            <wp:cNvGraphicFramePr>
              <a:graphicFrameLocks noChangeAspect="1"/>
            </wp:cNvGraphicFramePr>
            <a:graphic>
              <a:graphicData uri="http://schemas.openxmlformats.org/drawingml/2006/picture">
                <pic:pic>
                  <pic:nvPicPr>
                    <pic:cNvPr id="0" name="20_threshold_analysis.png"/>
                    <pic:cNvPicPr/>
                  </pic:nvPicPr>
                  <pic:blipFill>
                    <a:blip r:embed="rId26"/>
                    <a:stretch>
                      <a:fillRect/>
                    </a:stretch>
                  </pic:blipFill>
                  <pic:spPr>
                    <a:xfrm>
                      <a:off x="0" y="0"/>
                      <a:ext cx="5806440" cy="3839778"/>
                    </a:xfrm>
                    <a:prstGeom prst="rect"/>
                  </pic:spPr>
                </pic:pic>
              </a:graphicData>
            </a:graphic>
          </wp:inline>
        </w:drawing>
      </w:r>
    </w:p>
    <w:p>
      <w:pPr>
        <w:jc w:val="center"/>
      </w:pPr>
      <w:r>
        <w:rPr>
          <w:i/>
          <w:color w:val="595959"/>
          <w:sz w:val="18"/>
        </w:rPr>
        <w:t>Figure 16. Precision and recall across Logistic Regression decision thresholds, with the selected threshold of 0.52.</w:t>
      </w:r>
    </w:p>
    <w:p>
      <w:pPr>
        <w:spacing w:after="120" w:line="259" w:lineRule="auto"/>
      </w:pPr>
      <w:r>
        <w:t>The default tuned Logistic Regression produced recall 78.88% and F1 62.77%. The threshold selected from out-of-fold training predictions was 0.52, producing test F1 62.88%, precision 53.14%, recall 77.01%, and accuracy 75.87%. This is a small F1 change, so the main value of the analysis is demonstrating that the classification threshold is a decision parameter rather than an immutable model property.</w:t>
      </w:r>
    </w:p>
    <w:p>
      <w:pPr>
        <w:pStyle w:val="Heading1"/>
        <w:spacing w:before="200" w:after="100"/>
      </w:pPr>
      <w:r>
        <w:t>9. Error Analysis and Model Interpretation</w:t>
      </w:r>
    </w:p>
    <w:p>
      <w:pPr>
        <w:spacing w:after="120" w:line="259" w:lineRule="auto"/>
      </w:pPr>
      <w:r>
        <w:t>Error analysis goes beyond headline metrics by examining the actual customers behind incorrect predictions. For the tuned Logistic Regression at the default 0.50 threshold, the test set contained 295 true positives, 764 true negatives, 271 false positives, and 79 false negatives. The total error count was 350.</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8"/>
              </w:rPr>
              <w:t>Prediction type</w:t>
            </w:r>
          </w:p>
        </w:tc>
        <w:tc>
          <w:tcPr>
            <w:tcW w:type="dxa" w:w="5112"/>
            <w:vAlign w:val="center"/>
            <w:tcMar>
              <w:top w:w="80" w:type="dxa"/>
              <w:start w:w="80" w:type="dxa"/>
              <w:bottom w:w="80" w:type="dxa"/>
              <w:end w:w="80" w:type="dxa"/>
            </w:tcMar>
            <w:shd w:fill="D9E2F3"/>
          </w:tcPr>
          <w:p>
            <w:pPr>
              <w:spacing w:after="0"/>
            </w:pPr>
            <w:r>
              <w:rPr>
                <w:b/>
                <w:sz w:val="18"/>
              </w:rPr>
              <w:t>Count</w:t>
            </w:r>
          </w:p>
        </w:tc>
      </w:tr>
      <w:tr>
        <w:trPr>
          <w:cantSplit/>
        </w:trPr>
        <w:tc>
          <w:tcPr>
            <w:tcW w:type="dxa" w:w="5112"/>
            <w:vAlign w:val="center"/>
            <w:tcMar>
              <w:top w:w="80" w:type="dxa"/>
              <w:start w:w="80" w:type="dxa"/>
              <w:bottom w:w="80" w:type="dxa"/>
              <w:end w:w="80" w:type="dxa"/>
            </w:tcMar>
          </w:tcPr>
          <w:p>
            <w:pPr>
              <w:spacing w:after="0"/>
            </w:pPr>
            <w:r>
              <w:rPr>
                <w:sz w:val="18"/>
              </w:rPr>
              <w:t>True Negative</w:t>
            </w:r>
          </w:p>
        </w:tc>
        <w:tc>
          <w:tcPr>
            <w:tcW w:type="dxa" w:w="5112"/>
            <w:vAlign w:val="center"/>
            <w:tcMar>
              <w:top w:w="80" w:type="dxa"/>
              <w:start w:w="80" w:type="dxa"/>
              <w:bottom w:w="80" w:type="dxa"/>
              <w:end w:w="80" w:type="dxa"/>
            </w:tcMar>
          </w:tcPr>
          <w:p>
            <w:pPr>
              <w:spacing w:after="0"/>
            </w:pPr>
            <w:r>
              <w:rPr>
                <w:sz w:val="18"/>
              </w:rPr>
              <w:t>764</w:t>
            </w:r>
          </w:p>
        </w:tc>
      </w:tr>
      <w:tr>
        <w:trPr>
          <w:cantSplit/>
        </w:trPr>
        <w:tc>
          <w:tcPr>
            <w:tcW w:type="dxa" w:w="5112"/>
            <w:vAlign w:val="center"/>
            <w:tcMar>
              <w:top w:w="80" w:type="dxa"/>
              <w:start w:w="80" w:type="dxa"/>
              <w:bottom w:w="80" w:type="dxa"/>
              <w:end w:w="80" w:type="dxa"/>
            </w:tcMar>
          </w:tcPr>
          <w:p>
            <w:pPr>
              <w:spacing w:after="0"/>
            </w:pPr>
            <w:r>
              <w:rPr>
                <w:sz w:val="18"/>
              </w:rPr>
              <w:t>True Positive</w:t>
            </w:r>
          </w:p>
        </w:tc>
        <w:tc>
          <w:tcPr>
            <w:tcW w:type="dxa" w:w="5112"/>
            <w:vAlign w:val="center"/>
            <w:tcMar>
              <w:top w:w="80" w:type="dxa"/>
              <w:start w:w="80" w:type="dxa"/>
              <w:bottom w:w="80" w:type="dxa"/>
              <w:end w:w="80" w:type="dxa"/>
            </w:tcMar>
          </w:tcPr>
          <w:p>
            <w:pPr>
              <w:spacing w:after="0"/>
            </w:pPr>
            <w:r>
              <w:rPr>
                <w:sz w:val="18"/>
              </w:rPr>
              <w:t>295</w:t>
            </w:r>
          </w:p>
        </w:tc>
      </w:tr>
      <w:tr>
        <w:trPr>
          <w:cantSplit/>
        </w:trPr>
        <w:tc>
          <w:tcPr>
            <w:tcW w:type="dxa" w:w="5112"/>
            <w:vAlign w:val="center"/>
            <w:tcMar>
              <w:top w:w="80" w:type="dxa"/>
              <w:start w:w="80" w:type="dxa"/>
              <w:bottom w:w="80" w:type="dxa"/>
              <w:end w:w="80" w:type="dxa"/>
            </w:tcMar>
          </w:tcPr>
          <w:p>
            <w:pPr>
              <w:spacing w:after="0"/>
            </w:pPr>
            <w:r>
              <w:rPr>
                <w:sz w:val="18"/>
              </w:rPr>
              <w:t>False Positive</w:t>
            </w:r>
          </w:p>
        </w:tc>
        <w:tc>
          <w:tcPr>
            <w:tcW w:type="dxa" w:w="5112"/>
            <w:vAlign w:val="center"/>
            <w:tcMar>
              <w:top w:w="80" w:type="dxa"/>
              <w:start w:w="80" w:type="dxa"/>
              <w:bottom w:w="80" w:type="dxa"/>
              <w:end w:w="80" w:type="dxa"/>
            </w:tcMar>
          </w:tcPr>
          <w:p>
            <w:pPr>
              <w:spacing w:after="0"/>
            </w:pPr>
            <w:r>
              <w:rPr>
                <w:sz w:val="18"/>
              </w:rPr>
              <w:t>271</w:t>
            </w:r>
          </w:p>
        </w:tc>
      </w:tr>
      <w:tr>
        <w:trPr>
          <w:cantSplit/>
        </w:trPr>
        <w:tc>
          <w:tcPr>
            <w:tcW w:type="dxa" w:w="5112"/>
            <w:vAlign w:val="center"/>
            <w:tcMar>
              <w:top w:w="80" w:type="dxa"/>
              <w:start w:w="80" w:type="dxa"/>
              <w:bottom w:w="80" w:type="dxa"/>
              <w:end w:w="80" w:type="dxa"/>
            </w:tcMar>
          </w:tcPr>
          <w:p>
            <w:pPr>
              <w:spacing w:after="0"/>
            </w:pPr>
            <w:r>
              <w:rPr>
                <w:sz w:val="18"/>
              </w:rPr>
              <w:t>False Negative</w:t>
            </w:r>
          </w:p>
        </w:tc>
        <w:tc>
          <w:tcPr>
            <w:tcW w:type="dxa" w:w="5112"/>
            <w:vAlign w:val="center"/>
            <w:tcMar>
              <w:top w:w="80" w:type="dxa"/>
              <w:start w:w="80" w:type="dxa"/>
              <w:bottom w:w="80" w:type="dxa"/>
              <w:end w:w="80" w:type="dxa"/>
            </w:tcMar>
          </w:tcPr>
          <w:p>
            <w:pPr>
              <w:spacing w:after="0"/>
            </w:pPr>
            <w:r>
              <w:rPr>
                <w:sz w:val="18"/>
              </w:rPr>
              <w:t>79</w:t>
            </w:r>
          </w:p>
        </w:tc>
      </w:tr>
    </w:tbl>
    <w:p>
      <w:pPr>
        <w:pStyle w:val="Heading2"/>
        <w:spacing w:before="120" w:after="100"/>
      </w:pPr>
      <w:r>
        <w:t>9.1 False-Negative and False-Positive Profiles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1278"/>
            <w:vAlign w:val="center"/>
            <w:tcMar>
              <w:top w:w="80" w:type="dxa"/>
              <w:start w:w="80" w:type="dxa"/>
              <w:bottom w:w="80" w:type="dxa"/>
              <w:end w:w="80" w:type="dxa"/>
            </w:tcMar>
            <w:shd w:fill="D9E2F3"/>
          </w:tcPr>
          <w:p>
            <w:pPr>
              <w:spacing w:after="0"/>
            </w:pPr>
            <w:r>
              <w:rPr>
                <w:b/>
                <w:sz w:val="15"/>
              </w:rPr>
              <w:t>Prediction_Type</w:t>
            </w:r>
          </w:p>
        </w:tc>
        <w:tc>
          <w:tcPr>
            <w:tcW w:type="dxa" w:w="1278"/>
            <w:vAlign w:val="center"/>
            <w:tcMar>
              <w:top w:w="80" w:type="dxa"/>
              <w:start w:w="80" w:type="dxa"/>
              <w:bottom w:w="80" w:type="dxa"/>
              <w:end w:w="80" w:type="dxa"/>
            </w:tcMar>
            <w:shd w:fill="D9E2F3"/>
          </w:tcPr>
          <w:p>
            <w:pPr>
              <w:spacing w:after="0"/>
            </w:pPr>
            <w:r>
              <w:rPr>
                <w:b/>
                <w:sz w:val="15"/>
              </w:rPr>
              <w:t>Customers</w:t>
            </w:r>
          </w:p>
        </w:tc>
        <w:tc>
          <w:tcPr>
            <w:tcW w:type="dxa" w:w="1278"/>
            <w:vAlign w:val="center"/>
            <w:tcMar>
              <w:top w:w="80" w:type="dxa"/>
              <w:start w:w="80" w:type="dxa"/>
              <w:bottom w:w="80" w:type="dxa"/>
              <w:end w:w="80" w:type="dxa"/>
            </w:tcMar>
            <w:shd w:fill="D9E2F3"/>
          </w:tcPr>
          <w:p>
            <w:pPr>
              <w:spacing w:after="0"/>
            </w:pPr>
            <w:r>
              <w:rPr>
                <w:b/>
                <w:sz w:val="15"/>
              </w:rPr>
              <w:t>Mean_Tenure</w:t>
            </w:r>
          </w:p>
        </w:tc>
        <w:tc>
          <w:tcPr>
            <w:tcW w:type="dxa" w:w="1278"/>
            <w:vAlign w:val="center"/>
            <w:tcMar>
              <w:top w:w="80" w:type="dxa"/>
              <w:start w:w="80" w:type="dxa"/>
              <w:bottom w:w="80" w:type="dxa"/>
              <w:end w:w="80" w:type="dxa"/>
            </w:tcMar>
            <w:shd w:fill="D9E2F3"/>
          </w:tcPr>
          <w:p>
            <w:pPr>
              <w:spacing w:after="0"/>
            </w:pPr>
            <w:r>
              <w:rPr>
                <w:b/>
                <w:sz w:val="15"/>
              </w:rPr>
              <w:t>Median_Tenure</w:t>
            </w:r>
          </w:p>
        </w:tc>
        <w:tc>
          <w:tcPr>
            <w:tcW w:type="dxa" w:w="1278"/>
            <w:vAlign w:val="center"/>
            <w:tcMar>
              <w:top w:w="80" w:type="dxa"/>
              <w:start w:w="80" w:type="dxa"/>
              <w:bottom w:w="80" w:type="dxa"/>
              <w:end w:w="80" w:type="dxa"/>
            </w:tcMar>
            <w:shd w:fill="D9E2F3"/>
          </w:tcPr>
          <w:p>
            <w:pPr>
              <w:spacing w:after="0"/>
            </w:pPr>
            <w:r>
              <w:rPr>
                <w:b/>
                <w:sz w:val="15"/>
              </w:rPr>
              <w:t>Mean_MonthlyCharges</w:t>
            </w:r>
          </w:p>
        </w:tc>
        <w:tc>
          <w:tcPr>
            <w:tcW w:type="dxa" w:w="1278"/>
            <w:vAlign w:val="center"/>
            <w:tcMar>
              <w:top w:w="80" w:type="dxa"/>
              <w:start w:w="80" w:type="dxa"/>
              <w:bottom w:w="80" w:type="dxa"/>
              <w:end w:w="80" w:type="dxa"/>
            </w:tcMar>
            <w:shd w:fill="D9E2F3"/>
          </w:tcPr>
          <w:p>
            <w:pPr>
              <w:spacing w:after="0"/>
            </w:pPr>
            <w:r>
              <w:rPr>
                <w:b/>
                <w:sz w:val="15"/>
              </w:rPr>
              <w:t>Mean_TotalCharges</w:t>
            </w:r>
          </w:p>
        </w:tc>
        <w:tc>
          <w:tcPr>
            <w:tcW w:type="dxa" w:w="1278"/>
            <w:vAlign w:val="center"/>
            <w:tcMar>
              <w:top w:w="80" w:type="dxa"/>
              <w:start w:w="80" w:type="dxa"/>
              <w:bottom w:w="80" w:type="dxa"/>
              <w:end w:w="80" w:type="dxa"/>
            </w:tcMar>
            <w:shd w:fill="D9E2F3"/>
          </w:tcPr>
          <w:p>
            <w:pPr>
              <w:spacing w:after="0"/>
            </w:pPr>
            <w:r>
              <w:rPr>
                <w:b/>
                <w:sz w:val="15"/>
              </w:rPr>
              <w:t>Mean_Num_Services</w:t>
            </w:r>
          </w:p>
        </w:tc>
        <w:tc>
          <w:tcPr>
            <w:tcW w:type="dxa" w:w="1278"/>
            <w:vAlign w:val="center"/>
            <w:tcMar>
              <w:top w:w="80" w:type="dxa"/>
              <w:start w:w="80" w:type="dxa"/>
              <w:bottom w:w="80" w:type="dxa"/>
              <w:end w:w="80" w:type="dxa"/>
            </w:tcMar>
            <w:shd w:fill="D9E2F3"/>
          </w:tcPr>
          <w:p>
            <w:pPr>
              <w:spacing w:after="0"/>
            </w:pPr>
            <w:r>
              <w:rPr>
                <w:b/>
                <w:sz w:val="15"/>
              </w:rPr>
              <w:t>New_Customer_Percent</w:t>
            </w:r>
          </w:p>
        </w:tc>
      </w:tr>
      <w:tr>
        <w:trPr>
          <w:cantSplit/>
        </w:trPr>
        <w:tc>
          <w:tcPr>
            <w:tcW w:type="dxa" w:w="1278"/>
            <w:vAlign w:val="center"/>
            <w:tcMar>
              <w:top w:w="80" w:type="dxa"/>
              <w:start w:w="80" w:type="dxa"/>
              <w:bottom w:w="80" w:type="dxa"/>
              <w:end w:w="80" w:type="dxa"/>
            </w:tcMar>
          </w:tcPr>
          <w:p>
            <w:pPr>
              <w:spacing w:after="0"/>
            </w:pPr>
            <w:r>
              <w:rPr>
                <w:sz w:val="15"/>
              </w:rPr>
              <w:t>False Negative</w:t>
            </w:r>
          </w:p>
        </w:tc>
        <w:tc>
          <w:tcPr>
            <w:tcW w:type="dxa" w:w="1278"/>
            <w:vAlign w:val="center"/>
            <w:tcMar>
              <w:top w:w="80" w:type="dxa"/>
              <w:start w:w="80" w:type="dxa"/>
              <w:bottom w:w="80" w:type="dxa"/>
              <w:end w:w="80" w:type="dxa"/>
            </w:tcMar>
          </w:tcPr>
          <w:p>
            <w:pPr>
              <w:spacing w:after="0"/>
            </w:pPr>
            <w:r>
              <w:rPr>
                <w:sz w:val="15"/>
              </w:rPr>
              <w:t>79</w:t>
            </w:r>
          </w:p>
        </w:tc>
        <w:tc>
          <w:tcPr>
            <w:tcW w:type="dxa" w:w="1278"/>
            <w:vAlign w:val="center"/>
            <w:tcMar>
              <w:top w:w="80" w:type="dxa"/>
              <w:start w:w="80" w:type="dxa"/>
              <w:bottom w:w="80" w:type="dxa"/>
              <w:end w:w="80" w:type="dxa"/>
            </w:tcMar>
          </w:tcPr>
          <w:p>
            <w:pPr>
              <w:spacing w:after="0"/>
            </w:pPr>
            <w:r>
              <w:rPr>
                <w:sz w:val="15"/>
              </w:rPr>
              <w:t>30.53</w:t>
            </w:r>
          </w:p>
        </w:tc>
        <w:tc>
          <w:tcPr>
            <w:tcW w:type="dxa" w:w="1278"/>
            <w:vAlign w:val="center"/>
            <w:tcMar>
              <w:top w:w="80" w:type="dxa"/>
              <w:start w:w="80" w:type="dxa"/>
              <w:bottom w:w="80" w:type="dxa"/>
              <w:end w:w="80" w:type="dxa"/>
            </w:tcMar>
          </w:tcPr>
          <w:p>
            <w:pPr>
              <w:spacing w:after="0"/>
            </w:pPr>
            <w:r>
              <w:rPr>
                <w:sz w:val="15"/>
              </w:rPr>
              <w:t>31.00</w:t>
            </w:r>
          </w:p>
        </w:tc>
        <w:tc>
          <w:tcPr>
            <w:tcW w:type="dxa" w:w="1278"/>
            <w:vAlign w:val="center"/>
            <w:tcMar>
              <w:top w:w="80" w:type="dxa"/>
              <w:start w:w="80" w:type="dxa"/>
              <w:bottom w:w="80" w:type="dxa"/>
              <w:end w:w="80" w:type="dxa"/>
            </w:tcMar>
          </w:tcPr>
          <w:p>
            <w:pPr>
              <w:spacing w:after="0"/>
            </w:pPr>
            <w:r>
              <w:rPr>
                <w:sz w:val="15"/>
              </w:rPr>
              <w:t>60.31</w:t>
            </w:r>
          </w:p>
        </w:tc>
        <w:tc>
          <w:tcPr>
            <w:tcW w:type="dxa" w:w="1278"/>
            <w:vAlign w:val="center"/>
            <w:tcMar>
              <w:top w:w="80" w:type="dxa"/>
              <w:start w:w="80" w:type="dxa"/>
              <w:bottom w:w="80" w:type="dxa"/>
              <w:end w:w="80" w:type="dxa"/>
            </w:tcMar>
          </w:tcPr>
          <w:p>
            <w:pPr>
              <w:spacing w:after="0"/>
            </w:pPr>
            <w:r>
              <w:rPr>
                <w:sz w:val="15"/>
              </w:rPr>
              <w:t>2491.16</w:t>
            </w:r>
          </w:p>
        </w:tc>
        <w:tc>
          <w:tcPr>
            <w:tcW w:type="dxa" w:w="1278"/>
            <w:vAlign w:val="center"/>
            <w:tcMar>
              <w:top w:w="80" w:type="dxa"/>
              <w:start w:w="80" w:type="dxa"/>
              <w:bottom w:w="80" w:type="dxa"/>
              <w:end w:w="80" w:type="dxa"/>
            </w:tcMar>
          </w:tcPr>
          <w:p>
            <w:pPr>
              <w:spacing w:after="0"/>
            </w:pPr>
            <w:r>
              <w:rPr>
                <w:sz w:val="15"/>
              </w:rPr>
              <w:t>3.48</w:t>
            </w:r>
          </w:p>
        </w:tc>
        <w:tc>
          <w:tcPr>
            <w:tcW w:type="dxa" w:w="1278"/>
            <w:vAlign w:val="center"/>
            <w:tcMar>
              <w:top w:w="80" w:type="dxa"/>
              <w:start w:w="80" w:type="dxa"/>
              <w:bottom w:w="80" w:type="dxa"/>
              <w:end w:w="80" w:type="dxa"/>
            </w:tcMar>
          </w:tcPr>
          <w:p>
            <w:pPr>
              <w:spacing w:after="0"/>
            </w:pPr>
            <w:r>
              <w:rPr>
                <w:sz w:val="15"/>
              </w:rPr>
              <w:t>24.05</w:t>
            </w:r>
          </w:p>
        </w:tc>
      </w:tr>
      <w:tr>
        <w:trPr>
          <w:cantSplit/>
        </w:trPr>
        <w:tc>
          <w:tcPr>
            <w:tcW w:type="dxa" w:w="1278"/>
            <w:vAlign w:val="center"/>
            <w:tcMar>
              <w:top w:w="80" w:type="dxa"/>
              <w:start w:w="80" w:type="dxa"/>
              <w:bottom w:w="80" w:type="dxa"/>
              <w:end w:w="80" w:type="dxa"/>
            </w:tcMar>
          </w:tcPr>
          <w:p>
            <w:pPr>
              <w:spacing w:after="0"/>
            </w:pPr>
            <w:r>
              <w:rPr>
                <w:sz w:val="15"/>
              </w:rPr>
              <w:t>False Positive</w:t>
            </w:r>
          </w:p>
        </w:tc>
        <w:tc>
          <w:tcPr>
            <w:tcW w:type="dxa" w:w="1278"/>
            <w:vAlign w:val="center"/>
            <w:tcMar>
              <w:top w:w="80" w:type="dxa"/>
              <w:start w:w="80" w:type="dxa"/>
              <w:bottom w:w="80" w:type="dxa"/>
              <w:end w:w="80" w:type="dxa"/>
            </w:tcMar>
          </w:tcPr>
          <w:p>
            <w:pPr>
              <w:spacing w:after="0"/>
            </w:pPr>
            <w:r>
              <w:rPr>
                <w:sz w:val="15"/>
              </w:rPr>
              <w:t>271</w:t>
            </w:r>
          </w:p>
        </w:tc>
        <w:tc>
          <w:tcPr>
            <w:tcW w:type="dxa" w:w="1278"/>
            <w:vAlign w:val="center"/>
            <w:tcMar>
              <w:top w:w="80" w:type="dxa"/>
              <w:start w:w="80" w:type="dxa"/>
              <w:bottom w:w="80" w:type="dxa"/>
              <w:end w:w="80" w:type="dxa"/>
            </w:tcMar>
          </w:tcPr>
          <w:p>
            <w:pPr>
              <w:spacing w:after="0"/>
            </w:pPr>
            <w:r>
              <w:rPr>
                <w:sz w:val="15"/>
              </w:rPr>
              <w:t>19.53</w:t>
            </w:r>
          </w:p>
        </w:tc>
        <w:tc>
          <w:tcPr>
            <w:tcW w:type="dxa" w:w="1278"/>
            <w:vAlign w:val="center"/>
            <w:tcMar>
              <w:top w:w="80" w:type="dxa"/>
              <w:start w:w="80" w:type="dxa"/>
              <w:bottom w:w="80" w:type="dxa"/>
              <w:end w:w="80" w:type="dxa"/>
            </w:tcMar>
          </w:tcPr>
          <w:p>
            <w:pPr>
              <w:spacing w:after="0"/>
            </w:pPr>
            <w:r>
              <w:rPr>
                <w:sz w:val="15"/>
              </w:rPr>
              <w:t>16.00</w:t>
            </w:r>
          </w:p>
        </w:tc>
        <w:tc>
          <w:tcPr>
            <w:tcW w:type="dxa" w:w="1278"/>
            <w:vAlign w:val="center"/>
            <w:tcMar>
              <w:top w:w="80" w:type="dxa"/>
              <w:start w:w="80" w:type="dxa"/>
              <w:bottom w:w="80" w:type="dxa"/>
              <w:end w:w="80" w:type="dxa"/>
            </w:tcMar>
          </w:tcPr>
          <w:p>
            <w:pPr>
              <w:spacing w:after="0"/>
            </w:pPr>
            <w:r>
              <w:rPr>
                <w:sz w:val="15"/>
              </w:rPr>
              <w:t>76.72</w:t>
            </w:r>
          </w:p>
        </w:tc>
        <w:tc>
          <w:tcPr>
            <w:tcW w:type="dxa" w:w="1278"/>
            <w:vAlign w:val="center"/>
            <w:tcMar>
              <w:top w:w="80" w:type="dxa"/>
              <w:start w:w="80" w:type="dxa"/>
              <w:bottom w:w="80" w:type="dxa"/>
              <w:end w:w="80" w:type="dxa"/>
            </w:tcMar>
          </w:tcPr>
          <w:p>
            <w:pPr>
              <w:spacing w:after="0"/>
            </w:pPr>
            <w:r>
              <w:rPr>
                <w:sz w:val="15"/>
              </w:rPr>
              <w:t>1693.79</w:t>
            </w:r>
          </w:p>
        </w:tc>
        <w:tc>
          <w:tcPr>
            <w:tcW w:type="dxa" w:w="1278"/>
            <w:vAlign w:val="center"/>
            <w:tcMar>
              <w:top w:w="80" w:type="dxa"/>
              <w:start w:w="80" w:type="dxa"/>
              <w:bottom w:w="80" w:type="dxa"/>
              <w:end w:w="80" w:type="dxa"/>
            </w:tcMar>
          </w:tcPr>
          <w:p>
            <w:pPr>
              <w:spacing w:after="0"/>
            </w:pPr>
            <w:r>
              <w:rPr>
                <w:sz w:val="15"/>
              </w:rPr>
              <w:t>3.22</w:t>
            </w:r>
          </w:p>
        </w:tc>
        <w:tc>
          <w:tcPr>
            <w:tcW w:type="dxa" w:w="1278"/>
            <w:vAlign w:val="center"/>
            <w:tcMar>
              <w:top w:w="80" w:type="dxa"/>
              <w:start w:w="80" w:type="dxa"/>
              <w:bottom w:w="80" w:type="dxa"/>
              <w:end w:w="80" w:type="dxa"/>
            </w:tcMar>
          </w:tcPr>
          <w:p>
            <w:pPr>
              <w:spacing w:after="0"/>
            </w:pPr>
            <w:r>
              <w:rPr>
                <w:sz w:val="15"/>
              </w:rPr>
              <w:t>31.00</w:t>
            </w:r>
          </w:p>
        </w:tc>
      </w:tr>
      <w:tr>
        <w:trPr>
          <w:cantSplit/>
        </w:trPr>
        <w:tc>
          <w:tcPr>
            <w:tcW w:type="dxa" w:w="1278"/>
            <w:vAlign w:val="center"/>
            <w:tcMar>
              <w:top w:w="80" w:type="dxa"/>
              <w:start w:w="80" w:type="dxa"/>
              <w:bottom w:w="80" w:type="dxa"/>
              <w:end w:w="80" w:type="dxa"/>
            </w:tcMar>
          </w:tcPr>
          <w:p>
            <w:pPr>
              <w:spacing w:after="0"/>
            </w:pPr>
            <w:r>
              <w:rPr>
                <w:sz w:val="15"/>
              </w:rPr>
              <w:t>True Negative</w:t>
            </w:r>
          </w:p>
        </w:tc>
        <w:tc>
          <w:tcPr>
            <w:tcW w:type="dxa" w:w="1278"/>
            <w:vAlign w:val="center"/>
            <w:tcMar>
              <w:top w:w="80" w:type="dxa"/>
              <w:start w:w="80" w:type="dxa"/>
              <w:bottom w:w="80" w:type="dxa"/>
              <w:end w:w="80" w:type="dxa"/>
            </w:tcMar>
          </w:tcPr>
          <w:p>
            <w:pPr>
              <w:spacing w:after="0"/>
            </w:pPr>
            <w:r>
              <w:rPr>
                <w:sz w:val="15"/>
              </w:rPr>
              <w:t>764</w:t>
            </w:r>
          </w:p>
        </w:tc>
        <w:tc>
          <w:tcPr>
            <w:tcW w:type="dxa" w:w="1278"/>
            <w:vAlign w:val="center"/>
            <w:tcMar>
              <w:top w:w="80" w:type="dxa"/>
              <w:start w:w="80" w:type="dxa"/>
              <w:bottom w:w="80" w:type="dxa"/>
              <w:end w:w="80" w:type="dxa"/>
            </w:tcMar>
          </w:tcPr>
          <w:p>
            <w:pPr>
              <w:spacing w:after="0"/>
            </w:pPr>
            <w:r>
              <w:rPr>
                <w:sz w:val="15"/>
              </w:rPr>
              <w:t>43.87</w:t>
            </w:r>
          </w:p>
        </w:tc>
        <w:tc>
          <w:tcPr>
            <w:tcW w:type="dxa" w:w="1278"/>
            <w:vAlign w:val="center"/>
            <w:tcMar>
              <w:top w:w="80" w:type="dxa"/>
              <w:start w:w="80" w:type="dxa"/>
              <w:bottom w:w="80" w:type="dxa"/>
              <w:end w:w="80" w:type="dxa"/>
            </w:tcMar>
          </w:tcPr>
          <w:p>
            <w:pPr>
              <w:spacing w:after="0"/>
            </w:pPr>
            <w:r>
              <w:rPr>
                <w:sz w:val="15"/>
              </w:rPr>
              <w:t>49.00</w:t>
            </w:r>
          </w:p>
        </w:tc>
        <w:tc>
          <w:tcPr>
            <w:tcW w:type="dxa" w:w="1278"/>
            <w:vAlign w:val="center"/>
            <w:tcMar>
              <w:top w:w="80" w:type="dxa"/>
              <w:start w:w="80" w:type="dxa"/>
              <w:bottom w:w="80" w:type="dxa"/>
              <w:end w:w="80" w:type="dxa"/>
            </w:tcMar>
          </w:tcPr>
          <w:p>
            <w:pPr>
              <w:spacing w:after="0"/>
            </w:pPr>
            <w:r>
              <w:rPr>
                <w:sz w:val="15"/>
              </w:rPr>
              <w:t>55.36</w:t>
            </w:r>
          </w:p>
        </w:tc>
        <w:tc>
          <w:tcPr>
            <w:tcW w:type="dxa" w:w="1278"/>
            <w:vAlign w:val="center"/>
            <w:tcMar>
              <w:top w:w="80" w:type="dxa"/>
              <w:start w:w="80" w:type="dxa"/>
              <w:bottom w:w="80" w:type="dxa"/>
              <w:end w:w="80" w:type="dxa"/>
            </w:tcMar>
          </w:tcPr>
          <w:p>
            <w:pPr>
              <w:spacing w:after="0"/>
            </w:pPr>
            <w:r>
              <w:rPr>
                <w:sz w:val="15"/>
              </w:rPr>
              <w:t>2773.34</w:t>
            </w:r>
          </w:p>
        </w:tc>
        <w:tc>
          <w:tcPr>
            <w:tcW w:type="dxa" w:w="1278"/>
            <w:vAlign w:val="center"/>
            <w:tcMar>
              <w:top w:w="80" w:type="dxa"/>
              <w:start w:w="80" w:type="dxa"/>
              <w:bottom w:w="80" w:type="dxa"/>
              <w:end w:w="80" w:type="dxa"/>
            </w:tcMar>
          </w:tcPr>
          <w:p>
            <w:pPr>
              <w:spacing w:after="0"/>
            </w:pPr>
            <w:r>
              <w:rPr>
                <w:sz w:val="15"/>
              </w:rPr>
              <w:t>3.45</w:t>
            </w:r>
          </w:p>
        </w:tc>
        <w:tc>
          <w:tcPr>
            <w:tcW w:type="dxa" w:w="1278"/>
            <w:vAlign w:val="center"/>
            <w:tcMar>
              <w:top w:w="80" w:type="dxa"/>
              <w:start w:w="80" w:type="dxa"/>
              <w:bottom w:w="80" w:type="dxa"/>
              <w:end w:w="80" w:type="dxa"/>
            </w:tcMar>
          </w:tcPr>
          <w:p>
            <w:pPr>
              <w:spacing w:after="0"/>
            </w:pPr>
            <w:r>
              <w:rPr>
                <w:sz w:val="15"/>
              </w:rPr>
              <w:t>7.07</w:t>
            </w:r>
          </w:p>
        </w:tc>
      </w:tr>
      <w:tr>
        <w:trPr>
          <w:cantSplit/>
        </w:trPr>
        <w:tc>
          <w:tcPr>
            <w:tcW w:type="dxa" w:w="1278"/>
            <w:vAlign w:val="center"/>
            <w:tcMar>
              <w:top w:w="80" w:type="dxa"/>
              <w:start w:w="80" w:type="dxa"/>
              <w:bottom w:w="80" w:type="dxa"/>
              <w:end w:w="80" w:type="dxa"/>
            </w:tcMar>
          </w:tcPr>
          <w:p>
            <w:pPr>
              <w:spacing w:after="0"/>
            </w:pPr>
            <w:r>
              <w:rPr>
                <w:sz w:val="15"/>
              </w:rPr>
              <w:t>True Positive</w:t>
            </w:r>
          </w:p>
        </w:tc>
        <w:tc>
          <w:tcPr>
            <w:tcW w:type="dxa" w:w="1278"/>
            <w:vAlign w:val="center"/>
            <w:tcMar>
              <w:top w:w="80" w:type="dxa"/>
              <w:start w:w="80" w:type="dxa"/>
              <w:bottom w:w="80" w:type="dxa"/>
              <w:end w:w="80" w:type="dxa"/>
            </w:tcMar>
          </w:tcPr>
          <w:p>
            <w:pPr>
              <w:spacing w:after="0"/>
            </w:pPr>
            <w:r>
              <w:rPr>
                <w:sz w:val="15"/>
              </w:rPr>
              <w:t>295</w:t>
            </w:r>
          </w:p>
        </w:tc>
        <w:tc>
          <w:tcPr>
            <w:tcW w:type="dxa" w:w="1278"/>
            <w:vAlign w:val="center"/>
            <w:tcMar>
              <w:top w:w="80" w:type="dxa"/>
              <w:start w:w="80" w:type="dxa"/>
              <w:bottom w:w="80" w:type="dxa"/>
              <w:end w:w="80" w:type="dxa"/>
            </w:tcMar>
          </w:tcPr>
          <w:p>
            <w:pPr>
              <w:spacing w:after="0"/>
            </w:pPr>
            <w:r>
              <w:rPr>
                <w:sz w:val="15"/>
              </w:rPr>
              <w:t>12.69</w:t>
            </w:r>
          </w:p>
        </w:tc>
        <w:tc>
          <w:tcPr>
            <w:tcW w:type="dxa" w:w="1278"/>
            <w:vAlign w:val="center"/>
            <w:tcMar>
              <w:top w:w="80" w:type="dxa"/>
              <w:start w:w="80" w:type="dxa"/>
              <w:bottom w:w="80" w:type="dxa"/>
              <w:end w:w="80" w:type="dxa"/>
            </w:tcMar>
          </w:tcPr>
          <w:p>
            <w:pPr>
              <w:spacing w:after="0"/>
            </w:pPr>
            <w:r>
              <w:rPr>
                <w:sz w:val="15"/>
              </w:rPr>
              <w:t>5.00</w:t>
            </w:r>
          </w:p>
        </w:tc>
        <w:tc>
          <w:tcPr>
            <w:tcW w:type="dxa" w:w="1278"/>
            <w:vAlign w:val="center"/>
            <w:tcMar>
              <w:top w:w="80" w:type="dxa"/>
              <w:start w:w="80" w:type="dxa"/>
              <w:bottom w:w="80" w:type="dxa"/>
              <w:end w:w="80" w:type="dxa"/>
            </w:tcMar>
          </w:tcPr>
          <w:p>
            <w:pPr>
              <w:spacing w:after="0"/>
            </w:pPr>
            <w:r>
              <w:rPr>
                <w:sz w:val="15"/>
              </w:rPr>
              <w:t>76.10</w:t>
            </w:r>
          </w:p>
        </w:tc>
        <w:tc>
          <w:tcPr>
            <w:tcW w:type="dxa" w:w="1278"/>
            <w:vAlign w:val="center"/>
            <w:tcMar>
              <w:top w:w="80" w:type="dxa"/>
              <w:start w:w="80" w:type="dxa"/>
              <w:bottom w:w="80" w:type="dxa"/>
              <w:end w:w="80" w:type="dxa"/>
            </w:tcMar>
          </w:tcPr>
          <w:p>
            <w:pPr>
              <w:spacing w:after="0"/>
            </w:pPr>
            <w:r>
              <w:rPr>
                <w:sz w:val="15"/>
              </w:rPr>
              <w:t>1108.70</w:t>
            </w:r>
          </w:p>
        </w:tc>
        <w:tc>
          <w:tcPr>
            <w:tcW w:type="dxa" w:w="1278"/>
            <w:vAlign w:val="center"/>
            <w:tcMar>
              <w:top w:w="80" w:type="dxa"/>
              <w:start w:w="80" w:type="dxa"/>
              <w:bottom w:w="80" w:type="dxa"/>
              <w:end w:w="80" w:type="dxa"/>
            </w:tcMar>
          </w:tcPr>
          <w:p>
            <w:pPr>
              <w:spacing w:after="0"/>
            </w:pPr>
            <w:r>
              <w:rPr>
                <w:sz w:val="15"/>
              </w:rPr>
              <w:t>2.86</w:t>
            </w:r>
          </w:p>
        </w:tc>
        <w:tc>
          <w:tcPr>
            <w:tcW w:type="dxa" w:w="1278"/>
            <w:vAlign w:val="center"/>
            <w:tcMar>
              <w:top w:w="80" w:type="dxa"/>
              <w:start w:w="80" w:type="dxa"/>
              <w:bottom w:w="80" w:type="dxa"/>
              <w:end w:w="80" w:type="dxa"/>
            </w:tcMar>
          </w:tcPr>
          <w:p>
            <w:pPr>
              <w:spacing w:after="0"/>
            </w:pPr>
            <w:r>
              <w:rPr>
                <w:sz w:val="15"/>
              </w:rPr>
              <w:t>52.20</w:t>
            </w:r>
          </w:p>
        </w:tc>
      </w:tr>
    </w:tbl>
    <w:p>
      <w:pPr>
        <w:spacing w:after="120" w:line="259" w:lineRule="auto"/>
      </w:pPr>
      <w:r>
        <w:t>False negatives had mean tenure 30.53 months and mean MonthlyCharges 60.31, making them less similar to the strongest simple churn pattern than the true positives. False positives had mean tenure 19.53 months and mean MonthlyCharges 76.72, which makes them look more like the observed churn profile even though they did not churn. This helps explain why the model can flag plausible churn-like customers who ultimately remain.</w:t>
      </w:r>
    </w:p>
    <w:p>
      <w:pPr>
        <w:pStyle w:val="Heading2"/>
        <w:spacing w:before="120" w:after="100"/>
      </w:pPr>
      <w:r>
        <w:t>9.2 Error Rates Across Customer Groups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tcMar>
              <w:top w:w="80" w:type="dxa"/>
              <w:start w:w="80" w:type="dxa"/>
              <w:bottom w:w="80" w:type="dxa"/>
              <w:end w:w="80" w:type="dxa"/>
            </w:tcMar>
            <w:shd w:fill="D9E2F3"/>
          </w:tcPr>
          <w:p>
            <w:pPr>
              <w:spacing w:after="0"/>
            </w:pPr>
            <w:r>
              <w:rPr>
                <w:b/>
                <w:sz w:val="16"/>
              </w:rPr>
              <w:t>Tenure_Group</w:t>
            </w:r>
          </w:p>
        </w:tc>
        <w:tc>
          <w:tcPr>
            <w:tcW w:type="dxa" w:w="2556"/>
            <w:vAlign w:val="center"/>
            <w:tcMar>
              <w:top w:w="80" w:type="dxa"/>
              <w:start w:w="80" w:type="dxa"/>
              <w:bottom w:w="80" w:type="dxa"/>
              <w:end w:w="80" w:type="dxa"/>
            </w:tcMar>
            <w:shd w:fill="D9E2F3"/>
          </w:tcPr>
          <w:p>
            <w:pPr>
              <w:spacing w:after="0"/>
            </w:pPr>
            <w:r>
              <w:rPr>
                <w:b/>
                <w:sz w:val="16"/>
              </w:rPr>
              <w:t>Customers</w:t>
            </w:r>
          </w:p>
        </w:tc>
        <w:tc>
          <w:tcPr>
            <w:tcW w:type="dxa" w:w="2556"/>
            <w:vAlign w:val="center"/>
            <w:tcMar>
              <w:top w:w="80" w:type="dxa"/>
              <w:start w:w="80" w:type="dxa"/>
              <w:bottom w:w="80" w:type="dxa"/>
              <w:end w:w="80" w:type="dxa"/>
            </w:tcMar>
            <w:shd w:fill="D9E2F3"/>
          </w:tcPr>
          <w:p>
            <w:pPr>
              <w:spacing w:after="0"/>
            </w:pPr>
            <w:r>
              <w:rPr>
                <w:b/>
                <w:sz w:val="16"/>
              </w:rPr>
              <w:t>Errors</w:t>
            </w:r>
          </w:p>
        </w:tc>
        <w:tc>
          <w:tcPr>
            <w:tcW w:type="dxa" w:w="2556"/>
            <w:vAlign w:val="center"/>
            <w:tcMar>
              <w:top w:w="80" w:type="dxa"/>
              <w:start w:w="80" w:type="dxa"/>
              <w:bottom w:w="80" w:type="dxa"/>
              <w:end w:w="80" w:type="dxa"/>
            </w:tcMar>
            <w:shd w:fill="D9E2F3"/>
          </w:tcPr>
          <w:p>
            <w:pPr>
              <w:spacing w:after="0"/>
            </w:pPr>
            <w:r>
              <w:rPr>
                <w:b/>
                <w:sz w:val="16"/>
              </w:rPr>
              <w:t>Error_Rate_Percent</w:t>
            </w:r>
          </w:p>
        </w:tc>
      </w:tr>
      <w:tr>
        <w:trPr>
          <w:cantSplit/>
        </w:trPr>
        <w:tc>
          <w:tcPr>
            <w:tcW w:type="dxa" w:w="2556"/>
            <w:vAlign w:val="center"/>
            <w:tcMar>
              <w:top w:w="80" w:type="dxa"/>
              <w:start w:w="80" w:type="dxa"/>
              <w:bottom w:w="80" w:type="dxa"/>
              <w:end w:w="80" w:type="dxa"/>
            </w:tcMar>
          </w:tcPr>
          <w:p>
            <w:pPr>
              <w:spacing w:after="0"/>
            </w:pPr>
            <w:r>
              <w:rPr>
                <w:sz w:val="16"/>
              </w:rPr>
              <w:t>0-6 months</w:t>
            </w:r>
          </w:p>
        </w:tc>
        <w:tc>
          <w:tcPr>
            <w:tcW w:type="dxa" w:w="2556"/>
            <w:vAlign w:val="center"/>
            <w:tcMar>
              <w:top w:w="80" w:type="dxa"/>
              <w:start w:w="80" w:type="dxa"/>
              <w:bottom w:w="80" w:type="dxa"/>
              <w:end w:w="80" w:type="dxa"/>
            </w:tcMar>
          </w:tcPr>
          <w:p>
            <w:pPr>
              <w:spacing w:after="0"/>
            </w:pPr>
            <w:r>
              <w:rPr>
                <w:sz w:val="16"/>
              </w:rPr>
              <w:t>311</w:t>
            </w:r>
          </w:p>
        </w:tc>
        <w:tc>
          <w:tcPr>
            <w:tcW w:type="dxa" w:w="2556"/>
            <w:vAlign w:val="center"/>
            <w:tcMar>
              <w:top w:w="80" w:type="dxa"/>
              <w:start w:w="80" w:type="dxa"/>
              <w:bottom w:w="80" w:type="dxa"/>
              <w:end w:w="80" w:type="dxa"/>
            </w:tcMar>
          </w:tcPr>
          <w:p>
            <w:pPr>
              <w:spacing w:after="0"/>
            </w:pPr>
            <w:r>
              <w:rPr>
                <w:sz w:val="16"/>
              </w:rPr>
              <w:t>103</w:t>
            </w:r>
          </w:p>
        </w:tc>
        <w:tc>
          <w:tcPr>
            <w:tcW w:type="dxa" w:w="2556"/>
            <w:vAlign w:val="center"/>
            <w:tcMar>
              <w:top w:w="80" w:type="dxa"/>
              <w:start w:w="80" w:type="dxa"/>
              <w:bottom w:w="80" w:type="dxa"/>
              <w:end w:w="80" w:type="dxa"/>
            </w:tcMar>
          </w:tcPr>
          <w:p>
            <w:pPr>
              <w:spacing w:after="0"/>
            </w:pPr>
            <w:r>
              <w:rPr>
                <w:sz w:val="16"/>
              </w:rPr>
              <w:t>33.12</w:t>
            </w:r>
          </w:p>
        </w:tc>
      </w:tr>
      <w:tr>
        <w:trPr>
          <w:cantSplit/>
        </w:trPr>
        <w:tc>
          <w:tcPr>
            <w:tcW w:type="dxa" w:w="2556"/>
            <w:vAlign w:val="center"/>
            <w:tcMar>
              <w:top w:w="80" w:type="dxa"/>
              <w:start w:w="80" w:type="dxa"/>
              <w:bottom w:w="80" w:type="dxa"/>
              <w:end w:w="80" w:type="dxa"/>
            </w:tcMar>
          </w:tcPr>
          <w:p>
            <w:pPr>
              <w:spacing w:after="0"/>
            </w:pPr>
            <w:r>
              <w:rPr>
                <w:sz w:val="16"/>
              </w:rPr>
              <w:t>13-24 months</w:t>
            </w:r>
          </w:p>
        </w:tc>
        <w:tc>
          <w:tcPr>
            <w:tcW w:type="dxa" w:w="2556"/>
            <w:vAlign w:val="center"/>
            <w:tcMar>
              <w:top w:w="80" w:type="dxa"/>
              <w:start w:w="80" w:type="dxa"/>
              <w:bottom w:w="80" w:type="dxa"/>
              <w:end w:w="80" w:type="dxa"/>
            </w:tcMar>
          </w:tcPr>
          <w:p>
            <w:pPr>
              <w:spacing w:after="0"/>
            </w:pPr>
            <w:r>
              <w:rPr>
                <w:sz w:val="16"/>
              </w:rPr>
              <w:t>206</w:t>
            </w:r>
          </w:p>
        </w:tc>
        <w:tc>
          <w:tcPr>
            <w:tcW w:type="dxa" w:w="2556"/>
            <w:vAlign w:val="center"/>
            <w:tcMar>
              <w:top w:w="80" w:type="dxa"/>
              <w:start w:w="80" w:type="dxa"/>
              <w:bottom w:w="80" w:type="dxa"/>
              <w:end w:w="80" w:type="dxa"/>
            </w:tcMar>
          </w:tcPr>
          <w:p>
            <w:pPr>
              <w:spacing w:after="0"/>
            </w:pPr>
            <w:r>
              <w:rPr>
                <w:sz w:val="16"/>
              </w:rPr>
              <w:t>72</w:t>
            </w:r>
          </w:p>
        </w:tc>
        <w:tc>
          <w:tcPr>
            <w:tcW w:type="dxa" w:w="2556"/>
            <w:vAlign w:val="center"/>
            <w:tcMar>
              <w:top w:w="80" w:type="dxa"/>
              <w:start w:w="80" w:type="dxa"/>
              <w:bottom w:w="80" w:type="dxa"/>
              <w:end w:w="80" w:type="dxa"/>
            </w:tcMar>
          </w:tcPr>
          <w:p>
            <w:pPr>
              <w:spacing w:after="0"/>
            </w:pPr>
            <w:r>
              <w:rPr>
                <w:sz w:val="16"/>
              </w:rPr>
              <w:t>34.95</w:t>
            </w:r>
          </w:p>
        </w:tc>
      </w:tr>
      <w:tr>
        <w:trPr>
          <w:cantSplit/>
        </w:trPr>
        <w:tc>
          <w:tcPr>
            <w:tcW w:type="dxa" w:w="2556"/>
            <w:vAlign w:val="center"/>
            <w:tcMar>
              <w:top w:w="80" w:type="dxa"/>
              <w:start w:w="80" w:type="dxa"/>
              <w:bottom w:w="80" w:type="dxa"/>
              <w:end w:w="80" w:type="dxa"/>
            </w:tcMar>
          </w:tcPr>
          <w:p>
            <w:pPr>
              <w:spacing w:after="0"/>
            </w:pPr>
            <w:r>
              <w:rPr>
                <w:sz w:val="16"/>
              </w:rPr>
              <w:t>25-48 months</w:t>
            </w:r>
          </w:p>
        </w:tc>
        <w:tc>
          <w:tcPr>
            <w:tcW w:type="dxa" w:w="2556"/>
            <w:vAlign w:val="center"/>
            <w:tcMar>
              <w:top w:w="80" w:type="dxa"/>
              <w:start w:w="80" w:type="dxa"/>
              <w:bottom w:w="80" w:type="dxa"/>
              <w:end w:w="80" w:type="dxa"/>
            </w:tcMar>
          </w:tcPr>
          <w:p>
            <w:pPr>
              <w:spacing w:after="0"/>
            </w:pPr>
            <w:r>
              <w:rPr>
                <w:sz w:val="16"/>
              </w:rPr>
              <w:t>304</w:t>
            </w:r>
          </w:p>
        </w:tc>
        <w:tc>
          <w:tcPr>
            <w:tcW w:type="dxa" w:w="2556"/>
            <w:vAlign w:val="center"/>
            <w:tcMar>
              <w:top w:w="80" w:type="dxa"/>
              <w:start w:w="80" w:type="dxa"/>
              <w:bottom w:w="80" w:type="dxa"/>
              <w:end w:w="80" w:type="dxa"/>
            </w:tcMar>
          </w:tcPr>
          <w:p>
            <w:pPr>
              <w:spacing w:after="0"/>
            </w:pPr>
            <w:r>
              <w:rPr>
                <w:sz w:val="16"/>
              </w:rPr>
              <w:t>79</w:t>
            </w:r>
          </w:p>
        </w:tc>
        <w:tc>
          <w:tcPr>
            <w:tcW w:type="dxa" w:w="2556"/>
            <w:vAlign w:val="center"/>
            <w:tcMar>
              <w:top w:w="80" w:type="dxa"/>
              <w:start w:w="80" w:type="dxa"/>
              <w:bottom w:w="80" w:type="dxa"/>
              <w:end w:w="80" w:type="dxa"/>
            </w:tcMar>
          </w:tcPr>
          <w:p>
            <w:pPr>
              <w:spacing w:after="0"/>
            </w:pPr>
            <w:r>
              <w:rPr>
                <w:sz w:val="16"/>
              </w:rPr>
              <w:t>25.99</w:t>
            </w:r>
          </w:p>
        </w:tc>
      </w:tr>
      <w:tr>
        <w:trPr>
          <w:cantSplit/>
        </w:trPr>
        <w:tc>
          <w:tcPr>
            <w:tcW w:type="dxa" w:w="2556"/>
            <w:vAlign w:val="center"/>
            <w:tcMar>
              <w:top w:w="80" w:type="dxa"/>
              <w:start w:w="80" w:type="dxa"/>
              <w:bottom w:w="80" w:type="dxa"/>
              <w:end w:w="80" w:type="dxa"/>
            </w:tcMar>
          </w:tcPr>
          <w:p>
            <w:pPr>
              <w:spacing w:after="0"/>
            </w:pPr>
            <w:r>
              <w:rPr>
                <w:sz w:val="16"/>
              </w:rPr>
              <w:t>49-72 months</w:t>
            </w:r>
          </w:p>
        </w:tc>
        <w:tc>
          <w:tcPr>
            <w:tcW w:type="dxa" w:w="2556"/>
            <w:vAlign w:val="center"/>
            <w:tcMar>
              <w:top w:w="80" w:type="dxa"/>
              <w:start w:w="80" w:type="dxa"/>
              <w:bottom w:w="80" w:type="dxa"/>
              <w:end w:w="80" w:type="dxa"/>
            </w:tcMar>
          </w:tcPr>
          <w:p>
            <w:pPr>
              <w:spacing w:after="0"/>
            </w:pPr>
            <w:r>
              <w:rPr>
                <w:sz w:val="16"/>
              </w:rPr>
              <w:t>450</w:t>
            </w:r>
          </w:p>
        </w:tc>
        <w:tc>
          <w:tcPr>
            <w:tcW w:type="dxa" w:w="2556"/>
            <w:vAlign w:val="center"/>
            <w:tcMar>
              <w:top w:w="80" w:type="dxa"/>
              <w:start w:w="80" w:type="dxa"/>
              <w:bottom w:w="80" w:type="dxa"/>
              <w:end w:w="80" w:type="dxa"/>
            </w:tcMar>
          </w:tcPr>
          <w:p>
            <w:pPr>
              <w:spacing w:after="0"/>
            </w:pPr>
            <w:r>
              <w:rPr>
                <w:sz w:val="16"/>
              </w:rPr>
              <w:t>46</w:t>
            </w:r>
          </w:p>
        </w:tc>
        <w:tc>
          <w:tcPr>
            <w:tcW w:type="dxa" w:w="2556"/>
            <w:vAlign w:val="center"/>
            <w:tcMar>
              <w:top w:w="80" w:type="dxa"/>
              <w:start w:w="80" w:type="dxa"/>
              <w:bottom w:w="80" w:type="dxa"/>
              <w:end w:w="80" w:type="dxa"/>
            </w:tcMar>
          </w:tcPr>
          <w:p>
            <w:pPr>
              <w:spacing w:after="0"/>
            </w:pPr>
            <w:r>
              <w:rPr>
                <w:sz w:val="16"/>
              </w:rPr>
              <w:t>10.22</w:t>
            </w:r>
          </w:p>
        </w:tc>
      </w:tr>
      <w:tr>
        <w:trPr>
          <w:cantSplit/>
        </w:trPr>
        <w:tc>
          <w:tcPr>
            <w:tcW w:type="dxa" w:w="2556"/>
            <w:vAlign w:val="center"/>
            <w:tcMar>
              <w:top w:w="80" w:type="dxa"/>
              <w:start w:w="80" w:type="dxa"/>
              <w:bottom w:w="80" w:type="dxa"/>
              <w:end w:w="80" w:type="dxa"/>
            </w:tcMar>
          </w:tcPr>
          <w:p>
            <w:pPr>
              <w:spacing w:after="0"/>
            </w:pPr>
            <w:r>
              <w:rPr>
                <w:sz w:val="16"/>
              </w:rPr>
              <w:t>7-12 months</w:t>
            </w:r>
          </w:p>
        </w:tc>
        <w:tc>
          <w:tcPr>
            <w:tcW w:type="dxa" w:w="2556"/>
            <w:vAlign w:val="center"/>
            <w:tcMar>
              <w:top w:w="80" w:type="dxa"/>
              <w:start w:w="80" w:type="dxa"/>
              <w:bottom w:w="80" w:type="dxa"/>
              <w:end w:w="80" w:type="dxa"/>
            </w:tcMar>
          </w:tcPr>
          <w:p>
            <w:pPr>
              <w:spacing w:after="0"/>
            </w:pPr>
            <w:r>
              <w:rPr>
                <w:sz w:val="16"/>
              </w:rPr>
              <w:t>138</w:t>
            </w:r>
          </w:p>
        </w:tc>
        <w:tc>
          <w:tcPr>
            <w:tcW w:type="dxa" w:w="2556"/>
            <w:vAlign w:val="center"/>
            <w:tcMar>
              <w:top w:w="80" w:type="dxa"/>
              <w:start w:w="80" w:type="dxa"/>
              <w:bottom w:w="80" w:type="dxa"/>
              <w:end w:w="80" w:type="dxa"/>
            </w:tcMar>
          </w:tcPr>
          <w:p>
            <w:pPr>
              <w:spacing w:after="0"/>
            </w:pPr>
            <w:r>
              <w:rPr>
                <w:sz w:val="16"/>
              </w:rPr>
              <w:t>50</w:t>
            </w:r>
          </w:p>
        </w:tc>
        <w:tc>
          <w:tcPr>
            <w:tcW w:type="dxa" w:w="2556"/>
            <w:vAlign w:val="center"/>
            <w:tcMar>
              <w:top w:w="80" w:type="dxa"/>
              <w:start w:w="80" w:type="dxa"/>
              <w:bottom w:w="80" w:type="dxa"/>
              <w:end w:w="80" w:type="dxa"/>
            </w:tcMar>
          </w:tcPr>
          <w:p>
            <w:pPr>
              <w:spacing w:after="0"/>
            </w:pPr>
            <w:r>
              <w:rPr>
                <w:sz w:val="16"/>
              </w:rPr>
              <w:t>36.23</w:t>
            </w:r>
          </w:p>
        </w:tc>
      </w:tr>
    </w:tbl>
    <w:p>
      <w:pPr>
        <w:spacing w:after="120" w:line="259" w:lineRule="auto"/>
      </w:pPr>
      <w:r>
        <w:t>Prediction difficulty is highest in several shorter-tenure groups: error rates were 33.12% for 0–6 months, 36.23% for 7–12 months, and 34.95% for 13–24 months, compared with 10.22% for 49–72 months. The pattern is consistent with the model having more difficulty distinguishing customers in the high-churn early lifecycle.</w:t>
      </w:r>
    </w:p>
    <w:p>
      <w:r>
        <w:br w:type="page"/>
      </w:r>
    </w:p>
    <w:p>
      <w:pPr>
        <w:pStyle w:val="Heading3"/>
        <w:spacing w:before="120" w:after="100"/>
      </w:pPr>
      <w:r>
        <w:t>9.2.1 Contract Error Rates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tcMar>
              <w:top w:w="80" w:type="dxa"/>
              <w:start w:w="80" w:type="dxa"/>
              <w:bottom w:w="80" w:type="dxa"/>
              <w:end w:w="80" w:type="dxa"/>
            </w:tcMar>
            <w:shd w:fill="D9E2F3"/>
          </w:tcPr>
          <w:p>
            <w:pPr>
              <w:spacing w:after="0"/>
            </w:pPr>
            <w:r>
              <w:rPr>
                <w:b/>
                <w:sz w:val="16"/>
              </w:rPr>
              <w:t>Contract</w:t>
            </w:r>
          </w:p>
        </w:tc>
        <w:tc>
          <w:tcPr>
            <w:tcW w:type="dxa" w:w="2556"/>
            <w:vAlign w:val="center"/>
            <w:tcMar>
              <w:top w:w="80" w:type="dxa"/>
              <w:start w:w="80" w:type="dxa"/>
              <w:bottom w:w="80" w:type="dxa"/>
              <w:end w:w="80" w:type="dxa"/>
            </w:tcMar>
            <w:shd w:fill="D9E2F3"/>
          </w:tcPr>
          <w:p>
            <w:pPr>
              <w:spacing w:after="0"/>
            </w:pPr>
            <w:r>
              <w:rPr>
                <w:b/>
                <w:sz w:val="16"/>
              </w:rPr>
              <w:t>Customers</w:t>
            </w:r>
          </w:p>
        </w:tc>
        <w:tc>
          <w:tcPr>
            <w:tcW w:type="dxa" w:w="2556"/>
            <w:vAlign w:val="center"/>
            <w:tcMar>
              <w:top w:w="80" w:type="dxa"/>
              <w:start w:w="80" w:type="dxa"/>
              <w:bottom w:w="80" w:type="dxa"/>
              <w:end w:w="80" w:type="dxa"/>
            </w:tcMar>
            <w:shd w:fill="D9E2F3"/>
          </w:tcPr>
          <w:p>
            <w:pPr>
              <w:spacing w:after="0"/>
            </w:pPr>
            <w:r>
              <w:rPr>
                <w:b/>
                <w:sz w:val="16"/>
              </w:rPr>
              <w:t>Errors</w:t>
            </w:r>
          </w:p>
        </w:tc>
        <w:tc>
          <w:tcPr>
            <w:tcW w:type="dxa" w:w="2556"/>
            <w:vAlign w:val="center"/>
            <w:tcMar>
              <w:top w:w="80" w:type="dxa"/>
              <w:start w:w="80" w:type="dxa"/>
              <w:bottom w:w="80" w:type="dxa"/>
              <w:end w:w="80" w:type="dxa"/>
            </w:tcMar>
            <w:shd w:fill="D9E2F3"/>
          </w:tcPr>
          <w:p>
            <w:pPr>
              <w:spacing w:after="0"/>
            </w:pPr>
            <w:r>
              <w:rPr>
                <w:b/>
                <w:sz w:val="16"/>
              </w:rPr>
              <w:t>Error_Rate_Percent</w:t>
            </w:r>
          </w:p>
        </w:tc>
      </w:tr>
      <w:tr>
        <w:trPr>
          <w:cantSplit/>
        </w:trPr>
        <w:tc>
          <w:tcPr>
            <w:tcW w:type="dxa" w:w="2556"/>
            <w:vAlign w:val="center"/>
            <w:tcMar>
              <w:top w:w="80" w:type="dxa"/>
              <w:start w:w="80" w:type="dxa"/>
              <w:bottom w:w="80" w:type="dxa"/>
              <w:end w:w="80" w:type="dxa"/>
            </w:tcMar>
          </w:tcPr>
          <w:p>
            <w:pPr>
              <w:spacing w:after="0"/>
            </w:pPr>
            <w:r>
              <w:rPr>
                <w:sz w:val="16"/>
              </w:rPr>
              <w:t>Month-to-month</w:t>
            </w:r>
          </w:p>
        </w:tc>
        <w:tc>
          <w:tcPr>
            <w:tcW w:type="dxa" w:w="2556"/>
            <w:vAlign w:val="center"/>
            <w:tcMar>
              <w:top w:w="80" w:type="dxa"/>
              <w:start w:w="80" w:type="dxa"/>
              <w:bottom w:w="80" w:type="dxa"/>
              <w:end w:w="80" w:type="dxa"/>
            </w:tcMar>
          </w:tcPr>
          <w:p>
            <w:pPr>
              <w:spacing w:after="0"/>
            </w:pPr>
            <w:r>
              <w:rPr>
                <w:sz w:val="16"/>
              </w:rPr>
              <w:t>773</w:t>
            </w:r>
          </w:p>
        </w:tc>
        <w:tc>
          <w:tcPr>
            <w:tcW w:type="dxa" w:w="2556"/>
            <w:vAlign w:val="center"/>
            <w:tcMar>
              <w:top w:w="80" w:type="dxa"/>
              <w:start w:w="80" w:type="dxa"/>
              <w:bottom w:w="80" w:type="dxa"/>
              <w:end w:w="80" w:type="dxa"/>
            </w:tcMar>
          </w:tcPr>
          <w:p>
            <w:pPr>
              <w:spacing w:after="0"/>
            </w:pPr>
            <w:r>
              <w:rPr>
                <w:sz w:val="16"/>
              </w:rPr>
              <w:t>292</w:t>
            </w:r>
          </w:p>
        </w:tc>
        <w:tc>
          <w:tcPr>
            <w:tcW w:type="dxa" w:w="2556"/>
            <w:vAlign w:val="center"/>
            <w:tcMar>
              <w:top w:w="80" w:type="dxa"/>
              <w:start w:w="80" w:type="dxa"/>
              <w:bottom w:w="80" w:type="dxa"/>
              <w:end w:w="80" w:type="dxa"/>
            </w:tcMar>
          </w:tcPr>
          <w:p>
            <w:pPr>
              <w:spacing w:after="0"/>
            </w:pPr>
            <w:r>
              <w:rPr>
                <w:sz w:val="16"/>
              </w:rPr>
              <w:t>37.77</w:t>
            </w:r>
          </w:p>
        </w:tc>
      </w:tr>
      <w:tr>
        <w:trPr>
          <w:cantSplit/>
        </w:trPr>
        <w:tc>
          <w:tcPr>
            <w:tcW w:type="dxa" w:w="2556"/>
            <w:vAlign w:val="center"/>
            <w:tcMar>
              <w:top w:w="80" w:type="dxa"/>
              <w:start w:w="80" w:type="dxa"/>
              <w:bottom w:w="80" w:type="dxa"/>
              <w:end w:w="80" w:type="dxa"/>
            </w:tcMar>
          </w:tcPr>
          <w:p>
            <w:pPr>
              <w:spacing w:after="0"/>
            </w:pPr>
            <w:r>
              <w:rPr>
                <w:sz w:val="16"/>
              </w:rPr>
              <w:t>One year</w:t>
            </w:r>
          </w:p>
        </w:tc>
        <w:tc>
          <w:tcPr>
            <w:tcW w:type="dxa" w:w="2556"/>
            <w:vAlign w:val="center"/>
            <w:tcMar>
              <w:top w:w="80" w:type="dxa"/>
              <w:start w:w="80" w:type="dxa"/>
              <w:bottom w:w="80" w:type="dxa"/>
              <w:end w:w="80" w:type="dxa"/>
            </w:tcMar>
          </w:tcPr>
          <w:p>
            <w:pPr>
              <w:spacing w:after="0"/>
            </w:pPr>
            <w:r>
              <w:rPr>
                <w:sz w:val="16"/>
              </w:rPr>
              <w:t>300</w:t>
            </w:r>
          </w:p>
        </w:tc>
        <w:tc>
          <w:tcPr>
            <w:tcW w:type="dxa" w:w="2556"/>
            <w:vAlign w:val="center"/>
            <w:tcMar>
              <w:top w:w="80" w:type="dxa"/>
              <w:start w:w="80" w:type="dxa"/>
              <w:bottom w:w="80" w:type="dxa"/>
              <w:end w:w="80" w:type="dxa"/>
            </w:tcMar>
          </w:tcPr>
          <w:p>
            <w:pPr>
              <w:spacing w:after="0"/>
            </w:pPr>
            <w:r>
              <w:rPr>
                <w:sz w:val="16"/>
              </w:rPr>
              <w:t>49</w:t>
            </w:r>
          </w:p>
        </w:tc>
        <w:tc>
          <w:tcPr>
            <w:tcW w:type="dxa" w:w="2556"/>
            <w:vAlign w:val="center"/>
            <w:tcMar>
              <w:top w:w="80" w:type="dxa"/>
              <w:start w:w="80" w:type="dxa"/>
              <w:bottom w:w="80" w:type="dxa"/>
              <w:end w:w="80" w:type="dxa"/>
            </w:tcMar>
          </w:tcPr>
          <w:p>
            <w:pPr>
              <w:spacing w:after="0"/>
            </w:pPr>
            <w:r>
              <w:rPr>
                <w:sz w:val="16"/>
              </w:rPr>
              <w:t>16.33</w:t>
            </w:r>
          </w:p>
        </w:tc>
      </w:tr>
      <w:tr>
        <w:trPr>
          <w:cantSplit/>
        </w:trPr>
        <w:tc>
          <w:tcPr>
            <w:tcW w:type="dxa" w:w="2556"/>
            <w:vAlign w:val="center"/>
            <w:tcMar>
              <w:top w:w="80" w:type="dxa"/>
              <w:start w:w="80" w:type="dxa"/>
              <w:bottom w:w="80" w:type="dxa"/>
              <w:end w:w="80" w:type="dxa"/>
            </w:tcMar>
          </w:tcPr>
          <w:p>
            <w:pPr>
              <w:spacing w:after="0"/>
            </w:pPr>
            <w:r>
              <w:rPr>
                <w:sz w:val="16"/>
              </w:rPr>
              <w:t>Two year</w:t>
            </w:r>
          </w:p>
        </w:tc>
        <w:tc>
          <w:tcPr>
            <w:tcW w:type="dxa" w:w="2556"/>
            <w:vAlign w:val="center"/>
            <w:tcMar>
              <w:top w:w="80" w:type="dxa"/>
              <w:start w:w="80" w:type="dxa"/>
              <w:bottom w:w="80" w:type="dxa"/>
              <w:end w:w="80" w:type="dxa"/>
            </w:tcMar>
          </w:tcPr>
          <w:p>
            <w:pPr>
              <w:spacing w:after="0"/>
            </w:pPr>
            <w:r>
              <w:rPr>
                <w:sz w:val="16"/>
              </w:rPr>
              <w:t>336</w:t>
            </w:r>
          </w:p>
        </w:tc>
        <w:tc>
          <w:tcPr>
            <w:tcW w:type="dxa" w:w="2556"/>
            <w:vAlign w:val="center"/>
            <w:tcMar>
              <w:top w:w="80" w:type="dxa"/>
              <w:start w:w="80" w:type="dxa"/>
              <w:bottom w:w="80" w:type="dxa"/>
              <w:end w:w="80" w:type="dxa"/>
            </w:tcMar>
          </w:tcPr>
          <w:p>
            <w:pPr>
              <w:spacing w:after="0"/>
            </w:pPr>
            <w:r>
              <w:rPr>
                <w:sz w:val="16"/>
              </w:rPr>
              <w:t>9</w:t>
            </w:r>
          </w:p>
        </w:tc>
        <w:tc>
          <w:tcPr>
            <w:tcW w:type="dxa" w:w="2556"/>
            <w:vAlign w:val="center"/>
            <w:tcMar>
              <w:top w:w="80" w:type="dxa"/>
              <w:start w:w="80" w:type="dxa"/>
              <w:bottom w:w="80" w:type="dxa"/>
              <w:end w:w="80" w:type="dxa"/>
            </w:tcMar>
          </w:tcPr>
          <w:p>
            <w:pPr>
              <w:spacing w:after="0"/>
            </w:pPr>
            <w:r>
              <w:rPr>
                <w:sz w:val="16"/>
              </w:rPr>
              <w:t>2.68</w:t>
            </w:r>
          </w:p>
        </w:tc>
      </w:tr>
    </w:tbl>
    <w:p>
      <w:pPr>
        <w:spacing w:after="120" w:line="259" w:lineRule="auto"/>
      </w:pPr>
      <w:r>
        <w:t>Month-to-month customers had a 37.77% error rate, versus 16.33% for one-year and 2.68% for two-year contracts. This suggests that the broad month-to-month risk pattern is useful but not sufficient to separate individual outcomes perfectly.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tcMar>
              <w:top w:w="80" w:type="dxa"/>
              <w:start w:w="80" w:type="dxa"/>
              <w:bottom w:w="80" w:type="dxa"/>
              <w:end w:w="80" w:type="dxa"/>
            </w:tcMar>
            <w:shd w:fill="D9E2F3"/>
          </w:tcPr>
          <w:p>
            <w:pPr>
              <w:spacing w:after="0"/>
            </w:pPr>
            <w:r>
              <w:rPr>
                <w:b/>
                <w:sz w:val="16"/>
              </w:rPr>
              <w:t>InternetService</w:t>
            </w:r>
          </w:p>
        </w:tc>
        <w:tc>
          <w:tcPr>
            <w:tcW w:type="dxa" w:w="2556"/>
            <w:vAlign w:val="center"/>
            <w:tcMar>
              <w:top w:w="80" w:type="dxa"/>
              <w:start w:w="80" w:type="dxa"/>
              <w:bottom w:w="80" w:type="dxa"/>
              <w:end w:w="80" w:type="dxa"/>
            </w:tcMar>
            <w:shd w:fill="D9E2F3"/>
          </w:tcPr>
          <w:p>
            <w:pPr>
              <w:spacing w:after="0"/>
            </w:pPr>
            <w:r>
              <w:rPr>
                <w:b/>
                <w:sz w:val="16"/>
              </w:rPr>
              <w:t>Customers</w:t>
            </w:r>
          </w:p>
        </w:tc>
        <w:tc>
          <w:tcPr>
            <w:tcW w:type="dxa" w:w="2556"/>
            <w:vAlign w:val="center"/>
            <w:tcMar>
              <w:top w:w="80" w:type="dxa"/>
              <w:start w:w="80" w:type="dxa"/>
              <w:bottom w:w="80" w:type="dxa"/>
              <w:end w:w="80" w:type="dxa"/>
            </w:tcMar>
            <w:shd w:fill="D9E2F3"/>
          </w:tcPr>
          <w:p>
            <w:pPr>
              <w:spacing w:after="0"/>
            </w:pPr>
            <w:r>
              <w:rPr>
                <w:b/>
                <w:sz w:val="16"/>
              </w:rPr>
              <w:t>Errors</w:t>
            </w:r>
          </w:p>
        </w:tc>
        <w:tc>
          <w:tcPr>
            <w:tcW w:type="dxa" w:w="2556"/>
            <w:vAlign w:val="center"/>
            <w:tcMar>
              <w:top w:w="80" w:type="dxa"/>
              <w:start w:w="80" w:type="dxa"/>
              <w:bottom w:w="80" w:type="dxa"/>
              <w:end w:w="80" w:type="dxa"/>
            </w:tcMar>
            <w:shd w:fill="D9E2F3"/>
          </w:tcPr>
          <w:p>
            <w:pPr>
              <w:spacing w:after="0"/>
            </w:pPr>
            <w:r>
              <w:rPr>
                <w:b/>
                <w:sz w:val="16"/>
              </w:rPr>
              <w:t>Error_Rate_Percent</w:t>
            </w:r>
          </w:p>
        </w:tc>
      </w:tr>
      <w:tr>
        <w:trPr>
          <w:cantSplit/>
        </w:trPr>
        <w:tc>
          <w:tcPr>
            <w:tcW w:type="dxa" w:w="2556"/>
            <w:vAlign w:val="center"/>
            <w:tcMar>
              <w:top w:w="80" w:type="dxa"/>
              <w:start w:w="80" w:type="dxa"/>
              <w:bottom w:w="80" w:type="dxa"/>
              <w:end w:w="80" w:type="dxa"/>
            </w:tcMar>
          </w:tcPr>
          <w:p>
            <w:pPr>
              <w:spacing w:after="0"/>
            </w:pPr>
            <w:r>
              <w:rPr>
                <w:sz w:val="16"/>
              </w:rPr>
              <w:t>DSL</w:t>
            </w:r>
          </w:p>
        </w:tc>
        <w:tc>
          <w:tcPr>
            <w:tcW w:type="dxa" w:w="2556"/>
            <w:vAlign w:val="center"/>
            <w:tcMar>
              <w:top w:w="80" w:type="dxa"/>
              <w:start w:w="80" w:type="dxa"/>
              <w:bottom w:w="80" w:type="dxa"/>
              <w:end w:w="80" w:type="dxa"/>
            </w:tcMar>
          </w:tcPr>
          <w:p>
            <w:pPr>
              <w:spacing w:after="0"/>
            </w:pPr>
            <w:r>
              <w:rPr>
                <w:sz w:val="16"/>
              </w:rPr>
              <w:t>484</w:t>
            </w:r>
          </w:p>
        </w:tc>
        <w:tc>
          <w:tcPr>
            <w:tcW w:type="dxa" w:w="2556"/>
            <w:vAlign w:val="center"/>
            <w:tcMar>
              <w:top w:w="80" w:type="dxa"/>
              <w:start w:w="80" w:type="dxa"/>
              <w:bottom w:w="80" w:type="dxa"/>
              <w:end w:w="80" w:type="dxa"/>
            </w:tcMar>
          </w:tcPr>
          <w:p>
            <w:pPr>
              <w:spacing w:after="0"/>
            </w:pPr>
            <w:r>
              <w:rPr>
                <w:sz w:val="16"/>
              </w:rPr>
              <w:t>107</w:t>
            </w:r>
          </w:p>
        </w:tc>
        <w:tc>
          <w:tcPr>
            <w:tcW w:type="dxa" w:w="2556"/>
            <w:vAlign w:val="center"/>
            <w:tcMar>
              <w:top w:w="80" w:type="dxa"/>
              <w:start w:w="80" w:type="dxa"/>
              <w:bottom w:w="80" w:type="dxa"/>
              <w:end w:w="80" w:type="dxa"/>
            </w:tcMar>
          </w:tcPr>
          <w:p>
            <w:pPr>
              <w:spacing w:after="0"/>
            </w:pPr>
            <w:r>
              <w:rPr>
                <w:sz w:val="16"/>
              </w:rPr>
              <w:t>22.11</w:t>
            </w:r>
          </w:p>
        </w:tc>
      </w:tr>
      <w:tr>
        <w:trPr>
          <w:cantSplit/>
        </w:trPr>
        <w:tc>
          <w:tcPr>
            <w:tcW w:type="dxa" w:w="2556"/>
            <w:vAlign w:val="center"/>
            <w:tcMar>
              <w:top w:w="80" w:type="dxa"/>
              <w:start w:w="80" w:type="dxa"/>
              <w:bottom w:w="80" w:type="dxa"/>
              <w:end w:w="80" w:type="dxa"/>
            </w:tcMar>
          </w:tcPr>
          <w:p>
            <w:pPr>
              <w:spacing w:after="0"/>
            </w:pPr>
            <w:r>
              <w:rPr>
                <w:sz w:val="16"/>
              </w:rPr>
              <w:t>Fiber optic</w:t>
            </w:r>
          </w:p>
        </w:tc>
        <w:tc>
          <w:tcPr>
            <w:tcW w:type="dxa" w:w="2556"/>
            <w:vAlign w:val="center"/>
            <w:tcMar>
              <w:top w:w="80" w:type="dxa"/>
              <w:start w:w="80" w:type="dxa"/>
              <w:bottom w:w="80" w:type="dxa"/>
              <w:end w:w="80" w:type="dxa"/>
            </w:tcMar>
          </w:tcPr>
          <w:p>
            <w:pPr>
              <w:spacing w:after="0"/>
            </w:pPr>
            <w:r>
              <w:rPr>
                <w:sz w:val="16"/>
              </w:rPr>
              <w:t>613</w:t>
            </w:r>
          </w:p>
        </w:tc>
        <w:tc>
          <w:tcPr>
            <w:tcW w:type="dxa" w:w="2556"/>
            <w:vAlign w:val="center"/>
            <w:tcMar>
              <w:top w:w="80" w:type="dxa"/>
              <w:start w:w="80" w:type="dxa"/>
              <w:bottom w:w="80" w:type="dxa"/>
              <w:end w:w="80" w:type="dxa"/>
            </w:tcMar>
          </w:tcPr>
          <w:p>
            <w:pPr>
              <w:spacing w:after="0"/>
            </w:pPr>
            <w:r>
              <w:rPr>
                <w:sz w:val="16"/>
              </w:rPr>
              <w:t>217</w:t>
            </w:r>
          </w:p>
        </w:tc>
        <w:tc>
          <w:tcPr>
            <w:tcW w:type="dxa" w:w="2556"/>
            <w:vAlign w:val="center"/>
            <w:tcMar>
              <w:top w:w="80" w:type="dxa"/>
              <w:start w:w="80" w:type="dxa"/>
              <w:bottom w:w="80" w:type="dxa"/>
              <w:end w:w="80" w:type="dxa"/>
            </w:tcMar>
          </w:tcPr>
          <w:p>
            <w:pPr>
              <w:spacing w:after="0"/>
            </w:pPr>
            <w:r>
              <w:rPr>
                <w:sz w:val="16"/>
              </w:rPr>
              <w:t>35.40</w:t>
            </w:r>
          </w:p>
        </w:tc>
      </w:tr>
      <w:tr>
        <w:trPr>
          <w:cantSplit/>
        </w:trPr>
        <w:tc>
          <w:tcPr>
            <w:tcW w:type="dxa" w:w="2556"/>
            <w:vAlign w:val="center"/>
            <w:tcMar>
              <w:top w:w="80" w:type="dxa"/>
              <w:start w:w="80" w:type="dxa"/>
              <w:bottom w:w="80" w:type="dxa"/>
              <w:end w:w="80" w:type="dxa"/>
            </w:tcMar>
          </w:tcPr>
          <w:p>
            <w:pPr>
              <w:spacing w:after="0"/>
            </w:pPr>
            <w:r>
              <w:rPr>
                <w:sz w:val="16"/>
              </w:rPr>
              <w:t>No</w:t>
            </w:r>
          </w:p>
        </w:tc>
        <w:tc>
          <w:tcPr>
            <w:tcW w:type="dxa" w:w="2556"/>
            <w:vAlign w:val="center"/>
            <w:tcMar>
              <w:top w:w="80" w:type="dxa"/>
              <w:start w:w="80" w:type="dxa"/>
              <w:bottom w:w="80" w:type="dxa"/>
              <w:end w:w="80" w:type="dxa"/>
            </w:tcMar>
          </w:tcPr>
          <w:p>
            <w:pPr>
              <w:spacing w:after="0"/>
            </w:pPr>
            <w:r>
              <w:rPr>
                <w:sz w:val="16"/>
              </w:rPr>
              <w:t>312</w:t>
            </w:r>
          </w:p>
        </w:tc>
        <w:tc>
          <w:tcPr>
            <w:tcW w:type="dxa" w:w="2556"/>
            <w:vAlign w:val="center"/>
            <w:tcMar>
              <w:top w:w="80" w:type="dxa"/>
              <w:start w:w="80" w:type="dxa"/>
              <w:bottom w:w="80" w:type="dxa"/>
              <w:end w:w="80" w:type="dxa"/>
            </w:tcMar>
          </w:tcPr>
          <w:p>
            <w:pPr>
              <w:spacing w:after="0"/>
            </w:pPr>
            <w:r>
              <w:rPr>
                <w:sz w:val="16"/>
              </w:rPr>
              <w:t>26</w:t>
            </w:r>
          </w:p>
        </w:tc>
        <w:tc>
          <w:tcPr>
            <w:tcW w:type="dxa" w:w="2556"/>
            <w:vAlign w:val="center"/>
            <w:tcMar>
              <w:top w:w="80" w:type="dxa"/>
              <w:start w:w="80" w:type="dxa"/>
              <w:bottom w:w="80" w:type="dxa"/>
              <w:end w:w="80" w:type="dxa"/>
            </w:tcMar>
          </w:tcPr>
          <w:p>
            <w:pPr>
              <w:spacing w:after="0"/>
            </w:pPr>
            <w:r>
              <w:rPr>
                <w:sz w:val="16"/>
              </w:rPr>
              <w:t>8.33</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tcMar>
              <w:top w:w="80" w:type="dxa"/>
              <w:start w:w="80" w:type="dxa"/>
              <w:bottom w:w="80" w:type="dxa"/>
              <w:end w:w="80" w:type="dxa"/>
            </w:tcMar>
            <w:shd w:fill="D9E2F3"/>
          </w:tcPr>
          <w:p>
            <w:pPr>
              <w:spacing w:after="0"/>
            </w:pPr>
            <w:r>
              <w:rPr>
                <w:b/>
                <w:sz w:val="16"/>
              </w:rPr>
              <w:t>PaymentMethod</w:t>
            </w:r>
          </w:p>
        </w:tc>
        <w:tc>
          <w:tcPr>
            <w:tcW w:type="dxa" w:w="2556"/>
            <w:vAlign w:val="center"/>
            <w:tcMar>
              <w:top w:w="80" w:type="dxa"/>
              <w:start w:w="80" w:type="dxa"/>
              <w:bottom w:w="80" w:type="dxa"/>
              <w:end w:w="80" w:type="dxa"/>
            </w:tcMar>
            <w:shd w:fill="D9E2F3"/>
          </w:tcPr>
          <w:p>
            <w:pPr>
              <w:spacing w:after="0"/>
            </w:pPr>
            <w:r>
              <w:rPr>
                <w:b/>
                <w:sz w:val="16"/>
              </w:rPr>
              <w:t>Customers</w:t>
            </w:r>
          </w:p>
        </w:tc>
        <w:tc>
          <w:tcPr>
            <w:tcW w:type="dxa" w:w="2556"/>
            <w:vAlign w:val="center"/>
            <w:tcMar>
              <w:top w:w="80" w:type="dxa"/>
              <w:start w:w="80" w:type="dxa"/>
              <w:bottom w:w="80" w:type="dxa"/>
              <w:end w:w="80" w:type="dxa"/>
            </w:tcMar>
            <w:shd w:fill="D9E2F3"/>
          </w:tcPr>
          <w:p>
            <w:pPr>
              <w:spacing w:after="0"/>
            </w:pPr>
            <w:r>
              <w:rPr>
                <w:b/>
                <w:sz w:val="16"/>
              </w:rPr>
              <w:t>Errors</w:t>
            </w:r>
          </w:p>
        </w:tc>
        <w:tc>
          <w:tcPr>
            <w:tcW w:type="dxa" w:w="2556"/>
            <w:vAlign w:val="center"/>
            <w:tcMar>
              <w:top w:w="80" w:type="dxa"/>
              <w:start w:w="80" w:type="dxa"/>
              <w:bottom w:w="80" w:type="dxa"/>
              <w:end w:w="80" w:type="dxa"/>
            </w:tcMar>
            <w:shd w:fill="D9E2F3"/>
          </w:tcPr>
          <w:p>
            <w:pPr>
              <w:spacing w:after="0"/>
            </w:pPr>
            <w:r>
              <w:rPr>
                <w:b/>
                <w:sz w:val="16"/>
              </w:rPr>
              <w:t>Error_Rate_Percent</w:t>
            </w:r>
          </w:p>
        </w:tc>
      </w:tr>
      <w:tr>
        <w:trPr>
          <w:cantSplit/>
        </w:trPr>
        <w:tc>
          <w:tcPr>
            <w:tcW w:type="dxa" w:w="2556"/>
            <w:vAlign w:val="center"/>
            <w:tcMar>
              <w:top w:w="80" w:type="dxa"/>
              <w:start w:w="80" w:type="dxa"/>
              <w:bottom w:w="80" w:type="dxa"/>
              <w:end w:w="80" w:type="dxa"/>
            </w:tcMar>
          </w:tcPr>
          <w:p>
            <w:pPr>
              <w:spacing w:after="0"/>
            </w:pPr>
            <w:r>
              <w:rPr>
                <w:sz w:val="16"/>
              </w:rPr>
              <w:t>Bank transfer (automatic)</w:t>
            </w:r>
          </w:p>
        </w:tc>
        <w:tc>
          <w:tcPr>
            <w:tcW w:type="dxa" w:w="2556"/>
            <w:vAlign w:val="center"/>
            <w:tcMar>
              <w:top w:w="80" w:type="dxa"/>
              <w:start w:w="80" w:type="dxa"/>
              <w:bottom w:w="80" w:type="dxa"/>
              <w:end w:w="80" w:type="dxa"/>
            </w:tcMar>
          </w:tcPr>
          <w:p>
            <w:pPr>
              <w:spacing w:after="0"/>
            </w:pPr>
            <w:r>
              <w:rPr>
                <w:sz w:val="16"/>
              </w:rPr>
              <w:t>300</w:t>
            </w:r>
          </w:p>
        </w:tc>
        <w:tc>
          <w:tcPr>
            <w:tcW w:type="dxa" w:w="2556"/>
            <w:vAlign w:val="center"/>
            <w:tcMar>
              <w:top w:w="80" w:type="dxa"/>
              <w:start w:w="80" w:type="dxa"/>
              <w:bottom w:w="80" w:type="dxa"/>
              <w:end w:w="80" w:type="dxa"/>
            </w:tcMar>
          </w:tcPr>
          <w:p>
            <w:pPr>
              <w:spacing w:after="0"/>
            </w:pPr>
            <w:r>
              <w:rPr>
                <w:sz w:val="16"/>
              </w:rPr>
              <w:t>50</w:t>
            </w:r>
          </w:p>
        </w:tc>
        <w:tc>
          <w:tcPr>
            <w:tcW w:type="dxa" w:w="2556"/>
            <w:vAlign w:val="center"/>
            <w:tcMar>
              <w:top w:w="80" w:type="dxa"/>
              <w:start w:w="80" w:type="dxa"/>
              <w:bottom w:w="80" w:type="dxa"/>
              <w:end w:w="80" w:type="dxa"/>
            </w:tcMar>
          </w:tcPr>
          <w:p>
            <w:pPr>
              <w:spacing w:after="0"/>
            </w:pPr>
            <w:r>
              <w:rPr>
                <w:sz w:val="16"/>
              </w:rPr>
              <w:t>16.67</w:t>
            </w:r>
          </w:p>
        </w:tc>
      </w:tr>
      <w:tr>
        <w:trPr>
          <w:cantSplit/>
        </w:trPr>
        <w:tc>
          <w:tcPr>
            <w:tcW w:type="dxa" w:w="2556"/>
            <w:vAlign w:val="center"/>
            <w:tcMar>
              <w:top w:w="80" w:type="dxa"/>
              <w:start w:w="80" w:type="dxa"/>
              <w:bottom w:w="80" w:type="dxa"/>
              <w:end w:w="80" w:type="dxa"/>
            </w:tcMar>
          </w:tcPr>
          <w:p>
            <w:pPr>
              <w:spacing w:after="0"/>
            </w:pPr>
            <w:r>
              <w:rPr>
                <w:sz w:val="16"/>
              </w:rPr>
              <w:t>Credit card (automatic)</w:t>
            </w:r>
          </w:p>
        </w:tc>
        <w:tc>
          <w:tcPr>
            <w:tcW w:type="dxa" w:w="2556"/>
            <w:vAlign w:val="center"/>
            <w:tcMar>
              <w:top w:w="80" w:type="dxa"/>
              <w:start w:w="80" w:type="dxa"/>
              <w:bottom w:w="80" w:type="dxa"/>
              <w:end w:w="80" w:type="dxa"/>
            </w:tcMar>
          </w:tcPr>
          <w:p>
            <w:pPr>
              <w:spacing w:after="0"/>
            </w:pPr>
            <w:r>
              <w:rPr>
                <w:sz w:val="16"/>
              </w:rPr>
              <w:t>309</w:t>
            </w:r>
          </w:p>
        </w:tc>
        <w:tc>
          <w:tcPr>
            <w:tcW w:type="dxa" w:w="2556"/>
            <w:vAlign w:val="center"/>
            <w:tcMar>
              <w:top w:w="80" w:type="dxa"/>
              <w:start w:w="80" w:type="dxa"/>
              <w:bottom w:w="80" w:type="dxa"/>
              <w:end w:w="80" w:type="dxa"/>
            </w:tcMar>
          </w:tcPr>
          <w:p>
            <w:pPr>
              <w:spacing w:after="0"/>
            </w:pPr>
            <w:r>
              <w:rPr>
                <w:sz w:val="16"/>
              </w:rPr>
              <w:t>56</w:t>
            </w:r>
          </w:p>
        </w:tc>
        <w:tc>
          <w:tcPr>
            <w:tcW w:type="dxa" w:w="2556"/>
            <w:vAlign w:val="center"/>
            <w:tcMar>
              <w:top w:w="80" w:type="dxa"/>
              <w:start w:w="80" w:type="dxa"/>
              <w:bottom w:w="80" w:type="dxa"/>
              <w:end w:w="80" w:type="dxa"/>
            </w:tcMar>
          </w:tcPr>
          <w:p>
            <w:pPr>
              <w:spacing w:after="0"/>
            </w:pPr>
            <w:r>
              <w:rPr>
                <w:sz w:val="16"/>
              </w:rPr>
              <w:t>18.12</w:t>
            </w:r>
          </w:p>
        </w:tc>
      </w:tr>
      <w:tr>
        <w:trPr>
          <w:cantSplit/>
        </w:trPr>
        <w:tc>
          <w:tcPr>
            <w:tcW w:type="dxa" w:w="2556"/>
            <w:vAlign w:val="center"/>
            <w:tcMar>
              <w:top w:w="80" w:type="dxa"/>
              <w:start w:w="80" w:type="dxa"/>
              <w:bottom w:w="80" w:type="dxa"/>
              <w:end w:w="80" w:type="dxa"/>
            </w:tcMar>
          </w:tcPr>
          <w:p>
            <w:pPr>
              <w:spacing w:after="0"/>
            </w:pPr>
            <w:r>
              <w:rPr>
                <w:sz w:val="16"/>
              </w:rPr>
              <w:t>Electronic check</w:t>
            </w:r>
          </w:p>
        </w:tc>
        <w:tc>
          <w:tcPr>
            <w:tcW w:type="dxa" w:w="2556"/>
            <w:vAlign w:val="center"/>
            <w:tcMar>
              <w:top w:w="80" w:type="dxa"/>
              <w:start w:w="80" w:type="dxa"/>
              <w:bottom w:w="80" w:type="dxa"/>
              <w:end w:w="80" w:type="dxa"/>
            </w:tcMar>
          </w:tcPr>
          <w:p>
            <w:pPr>
              <w:spacing w:after="0"/>
            </w:pPr>
            <w:r>
              <w:rPr>
                <w:sz w:val="16"/>
              </w:rPr>
              <w:t>474</w:t>
            </w:r>
          </w:p>
        </w:tc>
        <w:tc>
          <w:tcPr>
            <w:tcW w:type="dxa" w:w="2556"/>
            <w:vAlign w:val="center"/>
            <w:tcMar>
              <w:top w:w="80" w:type="dxa"/>
              <w:start w:w="80" w:type="dxa"/>
              <w:bottom w:w="80" w:type="dxa"/>
              <w:end w:w="80" w:type="dxa"/>
            </w:tcMar>
          </w:tcPr>
          <w:p>
            <w:pPr>
              <w:spacing w:after="0"/>
            </w:pPr>
            <w:r>
              <w:rPr>
                <w:sz w:val="16"/>
              </w:rPr>
              <w:t>172</w:t>
            </w:r>
          </w:p>
        </w:tc>
        <w:tc>
          <w:tcPr>
            <w:tcW w:type="dxa" w:w="2556"/>
            <w:vAlign w:val="center"/>
            <w:tcMar>
              <w:top w:w="80" w:type="dxa"/>
              <w:start w:w="80" w:type="dxa"/>
              <w:bottom w:w="80" w:type="dxa"/>
              <w:end w:w="80" w:type="dxa"/>
            </w:tcMar>
          </w:tcPr>
          <w:p>
            <w:pPr>
              <w:spacing w:after="0"/>
            </w:pPr>
            <w:r>
              <w:rPr>
                <w:sz w:val="16"/>
              </w:rPr>
              <w:t>36.29</w:t>
            </w:r>
          </w:p>
        </w:tc>
      </w:tr>
      <w:tr>
        <w:trPr>
          <w:cantSplit/>
        </w:trPr>
        <w:tc>
          <w:tcPr>
            <w:tcW w:type="dxa" w:w="2556"/>
            <w:vAlign w:val="center"/>
            <w:tcMar>
              <w:top w:w="80" w:type="dxa"/>
              <w:start w:w="80" w:type="dxa"/>
              <w:bottom w:w="80" w:type="dxa"/>
              <w:end w:w="80" w:type="dxa"/>
            </w:tcMar>
          </w:tcPr>
          <w:p>
            <w:pPr>
              <w:spacing w:after="0"/>
            </w:pPr>
            <w:r>
              <w:rPr>
                <w:sz w:val="16"/>
              </w:rPr>
              <w:t>Mailed check</w:t>
            </w:r>
          </w:p>
        </w:tc>
        <w:tc>
          <w:tcPr>
            <w:tcW w:type="dxa" w:w="2556"/>
            <w:vAlign w:val="center"/>
            <w:tcMar>
              <w:top w:w="80" w:type="dxa"/>
              <w:start w:w="80" w:type="dxa"/>
              <w:bottom w:w="80" w:type="dxa"/>
              <w:end w:w="80" w:type="dxa"/>
            </w:tcMar>
          </w:tcPr>
          <w:p>
            <w:pPr>
              <w:spacing w:after="0"/>
            </w:pPr>
            <w:r>
              <w:rPr>
                <w:sz w:val="16"/>
              </w:rPr>
              <w:t>326</w:t>
            </w:r>
          </w:p>
        </w:tc>
        <w:tc>
          <w:tcPr>
            <w:tcW w:type="dxa" w:w="2556"/>
            <w:vAlign w:val="center"/>
            <w:tcMar>
              <w:top w:w="80" w:type="dxa"/>
              <w:start w:w="80" w:type="dxa"/>
              <w:bottom w:w="80" w:type="dxa"/>
              <w:end w:w="80" w:type="dxa"/>
            </w:tcMar>
          </w:tcPr>
          <w:p>
            <w:pPr>
              <w:spacing w:after="0"/>
            </w:pPr>
            <w:r>
              <w:rPr>
                <w:sz w:val="16"/>
              </w:rPr>
              <w:t>72</w:t>
            </w:r>
          </w:p>
        </w:tc>
        <w:tc>
          <w:tcPr>
            <w:tcW w:type="dxa" w:w="2556"/>
            <w:vAlign w:val="center"/>
            <w:tcMar>
              <w:top w:w="80" w:type="dxa"/>
              <w:start w:w="80" w:type="dxa"/>
              <w:bottom w:w="80" w:type="dxa"/>
              <w:end w:w="80" w:type="dxa"/>
            </w:tcMar>
          </w:tcPr>
          <w:p>
            <w:pPr>
              <w:spacing w:after="0"/>
            </w:pPr>
            <w:r>
              <w:rPr>
                <w:sz w:val="16"/>
              </w:rPr>
              <w:t>22.09</w:t>
            </w:r>
          </w:p>
        </w:tc>
      </w:tr>
    </w:tbl>
    <w:p>
      <w:pPr>
        <w:spacing w:after="120" w:line="259" w:lineRule="auto"/>
      </w:pPr>
      <w:r>
        <w:t>Fiber-optic customers had a 35.40% error rate and electronic-check users had a 36.29% error rate. These groups both show high observed churn and high prediction difficulty, reinforcing that strong group-level association does not automatically produce perfect individual-level classification.</w:t>
      </w:r>
    </w:p>
    <w:p>
      <w:pPr>
        <w:pStyle w:val="Heading2"/>
        <w:spacing w:before="120" w:after="100"/>
      </w:pPr>
      <w:r>
        <w:t>9.3 Feature Interpretation</w:t>
      </w:r>
    </w:p>
    <w:p>
      <w:pPr>
        <w:jc w:val="center"/>
      </w:pPr>
      <w:r>
        <w:drawing>
          <wp:inline xmlns:a="http://schemas.openxmlformats.org/drawingml/2006/main" xmlns:pic="http://schemas.openxmlformats.org/drawingml/2006/picture">
            <wp:extent cx="5806440" cy="4041814"/>
            <wp:docPr id="17" name="Picture 17"/>
            <wp:cNvGraphicFramePr>
              <a:graphicFrameLocks noChangeAspect="1"/>
            </wp:cNvGraphicFramePr>
            <a:graphic>
              <a:graphicData uri="http://schemas.openxmlformats.org/drawingml/2006/picture">
                <pic:pic>
                  <pic:nvPicPr>
                    <pic:cNvPr id="0" name="18_logistic_coefficients.png"/>
                    <pic:cNvPicPr/>
                  </pic:nvPicPr>
                  <pic:blipFill>
                    <a:blip r:embed="rId27"/>
                    <a:stretch>
                      <a:fillRect/>
                    </a:stretch>
                  </pic:blipFill>
                  <pic:spPr>
                    <a:xfrm>
                      <a:off x="0" y="0"/>
                      <a:ext cx="5806440" cy="4041814"/>
                    </a:xfrm>
                    <a:prstGeom prst="rect"/>
                  </pic:spPr>
                </pic:pic>
              </a:graphicData>
            </a:graphic>
          </wp:inline>
        </w:drawing>
      </w:r>
    </w:p>
    <w:p>
      <w:pPr>
        <w:jc w:val="center"/>
      </w:pPr>
      <w:r>
        <w:rPr>
          <w:i/>
          <w:color w:val="595959"/>
          <w:sz w:val="18"/>
        </w:rPr>
        <w:t>Figure 17. Top Logistic Regression coefficients by absolute magnitude.</w:t>
      </w:r>
    </w:p>
    <w:p>
      <w:pPr>
        <w:jc w:val="center"/>
      </w:pPr>
      <w:r>
        <w:drawing>
          <wp:inline xmlns:a="http://schemas.openxmlformats.org/drawingml/2006/main" xmlns:pic="http://schemas.openxmlformats.org/drawingml/2006/picture">
            <wp:extent cx="5806440" cy="4041814"/>
            <wp:docPr id="18" name="Picture 18"/>
            <wp:cNvGraphicFramePr>
              <a:graphicFrameLocks noChangeAspect="1"/>
            </wp:cNvGraphicFramePr>
            <a:graphic>
              <a:graphicData uri="http://schemas.openxmlformats.org/drawingml/2006/picture">
                <pic:pic>
                  <pic:nvPicPr>
                    <pic:cNvPr id="0" name="19_rf_importance.png"/>
                    <pic:cNvPicPr/>
                  </pic:nvPicPr>
                  <pic:blipFill>
                    <a:blip r:embed="rId28"/>
                    <a:stretch>
                      <a:fillRect/>
                    </a:stretch>
                  </pic:blipFill>
                  <pic:spPr>
                    <a:xfrm>
                      <a:off x="0" y="0"/>
                      <a:ext cx="5806440" cy="4041814"/>
                    </a:xfrm>
                    <a:prstGeom prst="rect"/>
                  </pic:spPr>
                </pic:pic>
              </a:graphicData>
            </a:graphic>
          </wp:inline>
        </w:drawing>
      </w:r>
    </w:p>
    <w:p>
      <w:pPr>
        <w:jc w:val="center"/>
      </w:pPr>
      <w:r>
        <w:rPr>
          <w:i/>
          <w:color w:val="595959"/>
          <w:sz w:val="18"/>
        </w:rPr>
        <w:t>Figure 18. Top Random Forest feature importances.</w:t>
      </w:r>
    </w:p>
    <w:p>
      <w:pPr>
        <w:spacing w:after="120" w:line="259" w:lineRule="auto"/>
      </w:pPr>
      <w:r>
        <w:t>The two model families highlight a similar core set of predictors. Logistic Regression assigns positive coefficients to month-to-month contract, fiber optic service, new-customer status, higher monthly charges, and electronic check, while longer tenure and two-year contracts have negative coefficients. Random Forest likewise ranks month-to-month contract, tenure, TotalCharges, MonthlyCharges, two-year contract, OnlineSecurity, TechSupport, InternetService, and PaymentMethod among its most important features. These outputs should be interpreted as model associations and predictive contribution, not causal effects.</w:t>
      </w:r>
    </w:p>
    <w:p>
      <w:pPr>
        <w:pStyle w:val="Heading1"/>
        <w:spacing w:before="200" w:after="100"/>
      </w:pPr>
      <w:r>
        <w:t>10. Key Insights and Evidence-Based Recommendations</w:t>
      </w:r>
    </w:p>
    <w:p>
      <w:pPr>
        <w:pStyle w:val="Heading2"/>
        <w:spacing w:before="120" w:after="100"/>
      </w:pPr>
      <w:r>
        <w:t>10.1 Key Findings</w:t>
      </w:r>
    </w:p>
    <w:p>
      <w:pPr>
        <w:spacing w:after="120" w:line="259" w:lineRule="auto"/>
      </w:pPr>
      <w:r>
        <w:t>Overall churn: 26.54% of customers churned. Churn is a substantial outcome class, so model evaluation should not rely on accuracy alone. Caution: This describes the observed dataset and is not a population estimate.</w:t>
      </w:r>
    </w:p>
    <w:p>
      <w:pPr>
        <w:spacing w:after="120" w:line="259" w:lineRule="auto"/>
      </w:pPr>
      <w:r>
        <w:t>Customer lifecycle: Mean tenure is 17.98 months for churned customers versus 37.57 months for non-churned customers. Shorter-tenure customers show a stronger association with churn. Caution: This is an association and does not prove that tenure causes churn.</w:t>
      </w:r>
    </w:p>
    <w:p>
      <w:pPr>
        <w:spacing w:after="120" w:line="259" w:lineRule="auto"/>
      </w:pPr>
      <w:r>
        <w:t>New customers: Customers in the 0-6 month group have a 52.94% churn rate, compared with 19.51% for customers with more than six months. The first six months are an important customer lifecycle segment. Caution: This is a descriptive comparison.</w:t>
      </w:r>
    </w:p>
    <w:p>
      <w:pPr>
        <w:spacing w:after="120" w:line="259" w:lineRule="auto"/>
      </w:pPr>
      <w:r>
        <w:t>Contract: Month-to-month churn = 42.71%, one-year = 11.27%, two-year = 2.83%. Contract type is strongly associated with observed churn. Caution: The analysis does not establish a causal effect of contract type.</w:t>
      </w:r>
    </w:p>
    <w:p>
      <w:pPr>
        <w:spacing w:after="120" w:line="259" w:lineRule="auto"/>
      </w:pPr>
      <w:r>
        <w:t>Internet service: Fiber optic churn = 41.89%, DSL = 18.96%, no internet = 7.40%. Internet service type separates customer groups with materially different observed churn rates. Caution: Service type may interact with contract, pricing, tenure, and other characteristics.</w:t>
      </w:r>
    </w:p>
    <w:p>
      <w:pPr>
        <w:spacing w:after="120" w:line="259" w:lineRule="auto"/>
      </w:pPr>
      <w:r>
        <w:t>Payment method: Electronic-check churn = 45.29%, automatic bank transfer = 16.71%, automatic credit card = 15.24%. Payment method is a strong descriptive separator in this dataset. Caution: Payment method should not be interpreted as a direct cause without controlled analysis.</w:t>
      </w:r>
    </w:p>
    <w:p>
      <w:pPr>
        <w:spacing w:after="120" w:line="259" w:lineRule="auto"/>
      </w:pPr>
      <w:r>
        <w:t>Charges: Mean monthly charges are 74.44 for churned customers and 61.27 for non-churned customers. Churned customers have higher average monthly charges but shorter average tenure. Caution: Charges are related to subscribed services and customer tenure.</w:t>
      </w:r>
    </w:p>
    <w:p>
      <w:pPr>
        <w:spacing w:after="120" w:line="259" w:lineRule="auto"/>
      </w:pPr>
      <w:r>
        <w:t>Customer segmentation: K-Means produced two segments with different tenure, service adoption, charges, and observed churn. Unsupervised segmentation adds a descriptive customer-profile layer to the churn model. Caution: Churn was not used when creating the clusters.</w:t>
      </w:r>
    </w:p>
    <w:p>
      <w:pPr>
        <w:spacing w:after="120" w:line="259" w:lineRule="auto"/>
      </w:pPr>
      <w:r>
        <w:t>Model errors: The tuned Logistic Regression produced 79 false negatives and 271 false positives on the test set. The model still has uncertainty for a meaningful subset of customers. Caution: The appropriate error balance depends on the operational cost of each error.</w:t>
      </w:r>
    </w:p>
    <w:p>
      <w:pPr>
        <w:pStyle w:val="Heading2"/>
        <w:spacing w:before="120" w:after="100"/>
      </w:pPr>
      <w:r>
        <w:t>10.2 Recommendations</w:t>
      </w:r>
    </w:p>
    <w:p>
      <w:pPr>
        <w:pStyle w:val="Heading3"/>
        <w:spacing w:before="120" w:after="100"/>
      </w:pPr>
      <w:r>
        <w:t>R1 — Early lifecycle</w:t>
      </w:r>
    </w:p>
    <w:p>
      <w:pPr>
        <w:spacing w:after="120" w:line="259" w:lineRule="auto"/>
      </w:pPr>
      <w:r>
        <w:t>Use stronger onboarding and early-tenure engagement for customers within their first six months.</w:t>
      </w:r>
    </w:p>
    <w:p>
      <w:pPr>
        <w:spacing w:after="120" w:line="259" w:lineRule="auto"/>
      </w:pPr>
      <w:r>
        <w:rPr>
          <w:b/>
        </w:rPr>
        <w:t xml:space="preserve">Potential action: </w:t>
      </w:r>
      <w:r>
        <w:t>Provide structured onboarding, service education, and early support check-ins.</w:t>
      </w:r>
    </w:p>
    <w:p>
      <w:pPr>
        <w:spacing w:after="120" w:line="259" w:lineRule="auto"/>
      </w:pPr>
      <w:r>
        <w:rPr>
          <w:b/>
        </w:rPr>
        <w:t xml:space="preserve">Evidence: </w:t>
      </w:r>
      <w:r>
        <w:t>0-6 month churn rate = 52.94%.</w:t>
      </w:r>
    </w:p>
    <w:p>
      <w:pPr>
        <w:spacing w:after="120" w:line="259" w:lineRule="auto"/>
      </w:pPr>
      <w:r>
        <w:rPr>
          <w:b/>
        </w:rPr>
        <w:t xml:space="preserve">Trade-off: </w:t>
      </w:r>
      <w:r>
        <w:t>Requires additional support or engagement resources.</w:t>
      </w:r>
    </w:p>
    <w:p>
      <w:pPr>
        <w:pStyle w:val="Heading3"/>
        <w:spacing w:before="120" w:after="100"/>
      </w:pPr>
      <w:r>
        <w:t>R2 — Contract</w:t>
      </w:r>
    </w:p>
    <w:p>
      <w:pPr>
        <w:spacing w:after="120" w:line="259" w:lineRule="auto"/>
      </w:pPr>
      <w:r>
        <w:t>Analyze month-to-month customers as a distinct retention segment.</w:t>
      </w:r>
    </w:p>
    <w:p>
      <w:pPr>
        <w:spacing w:after="120" w:line="259" w:lineRule="auto"/>
      </w:pPr>
      <w:r>
        <w:rPr>
          <w:b/>
        </w:rPr>
        <w:t xml:space="preserve">Potential action: </w:t>
      </w:r>
      <w:r>
        <w:t>Evaluate contract education and retention offers for eligible customers.</w:t>
      </w:r>
    </w:p>
    <w:p>
      <w:pPr>
        <w:spacing w:after="120" w:line="259" w:lineRule="auto"/>
      </w:pPr>
      <w:r>
        <w:rPr>
          <w:b/>
        </w:rPr>
        <w:t xml:space="preserve">Evidence: </w:t>
      </w:r>
      <w:r>
        <w:t>Month-to-month churn rate = 42.71%.</w:t>
      </w:r>
    </w:p>
    <w:p>
      <w:pPr>
        <w:spacing w:after="120" w:line="259" w:lineRule="auto"/>
      </w:pPr>
      <w:r>
        <w:rPr>
          <w:b/>
        </w:rPr>
        <w:t xml:space="preserve">Trade-off: </w:t>
      </w:r>
      <w:r>
        <w:t>Incentives may affect short-term revenue or margin.</w:t>
      </w:r>
    </w:p>
    <w:p>
      <w:pPr>
        <w:pStyle w:val="Heading3"/>
        <w:spacing w:before="120" w:after="100"/>
      </w:pPr>
      <w:r>
        <w:t>R3 — Payment experience</w:t>
      </w:r>
    </w:p>
    <w:p>
      <w:pPr>
        <w:spacing w:after="120" w:line="259" w:lineRule="auto"/>
      </w:pPr>
      <w:r>
        <w:t>Investigate customer and billing characteristics associated with electronic-check users.</w:t>
      </w:r>
    </w:p>
    <w:p>
      <w:pPr>
        <w:spacing w:after="120" w:line="259" w:lineRule="auto"/>
      </w:pPr>
      <w:r>
        <w:rPr>
          <w:b/>
        </w:rPr>
        <w:t xml:space="preserve">Potential action: </w:t>
      </w:r>
      <w:r>
        <w:t>Study billing communication, payment experience, and voluntary payment-method changes.</w:t>
      </w:r>
    </w:p>
    <w:p>
      <w:pPr>
        <w:spacing w:after="120" w:line="259" w:lineRule="auto"/>
      </w:pPr>
      <w:r>
        <w:rPr>
          <w:b/>
        </w:rPr>
        <w:t xml:space="preserve">Evidence: </w:t>
      </w:r>
      <w:r>
        <w:t>Electronic-check churn rate = 45.29%.</w:t>
      </w:r>
    </w:p>
    <w:p>
      <w:pPr>
        <w:spacing w:after="120" w:line="259" w:lineRule="auto"/>
      </w:pPr>
      <w:r>
        <w:rPr>
          <w:b/>
        </w:rPr>
        <w:t xml:space="preserve">Trade-off: </w:t>
      </w:r>
      <w:r>
        <w:t>Any payment-method change requires careful communication.</w:t>
      </w:r>
    </w:p>
    <w:p>
      <w:pPr>
        <w:pStyle w:val="Heading3"/>
        <w:spacing w:before="120" w:after="100"/>
      </w:pPr>
      <w:r>
        <w:t>R4 — Support and security</w:t>
      </w:r>
    </w:p>
    <w:p>
      <w:pPr>
        <w:spacing w:after="120" w:line="259" w:lineRule="auto"/>
      </w:pPr>
      <w:r>
        <w:t>Evaluate support and security-service adoption as part of retention analysis.</w:t>
      </w:r>
    </w:p>
    <w:p>
      <w:pPr>
        <w:spacing w:after="120" w:line="259" w:lineRule="auto"/>
      </w:pPr>
      <w:r>
        <w:rPr>
          <w:b/>
        </w:rPr>
        <w:t xml:space="preserve">Potential action: </w:t>
      </w:r>
      <w:r>
        <w:t>Test targeted service education, support availability, or suitable bundles.</w:t>
      </w:r>
    </w:p>
    <w:p>
      <w:pPr>
        <w:spacing w:after="120" w:line="259" w:lineRule="auto"/>
      </w:pPr>
      <w:r>
        <w:rPr>
          <w:b/>
        </w:rPr>
        <w:t xml:space="preserve">Evidence: </w:t>
      </w:r>
      <w:r>
        <w:t>Customers without OnlineSecurity and TechSupport show substantially higher observed churn.</w:t>
      </w:r>
    </w:p>
    <w:p>
      <w:pPr>
        <w:spacing w:after="120" w:line="259" w:lineRule="auto"/>
      </w:pPr>
      <w:r>
        <w:rPr>
          <w:b/>
        </w:rPr>
        <w:t xml:space="preserve">Trade-off: </w:t>
      </w:r>
      <w:r>
        <w:t>Additional services can increase customer cost.</w:t>
      </w:r>
    </w:p>
    <w:p>
      <w:pPr>
        <w:pStyle w:val="Heading3"/>
        <w:spacing w:before="120" w:after="100"/>
      </w:pPr>
      <w:r>
        <w:t>R5 — Predictive deployment</w:t>
      </w:r>
    </w:p>
    <w:p>
      <w:pPr>
        <w:spacing w:after="120" w:line="259" w:lineRule="auto"/>
      </w:pPr>
      <w:r>
        <w:t>Use churn probabilities and validated thresholds rather than treating every prediction equally.</w:t>
      </w:r>
    </w:p>
    <w:p>
      <w:pPr>
        <w:spacing w:after="120" w:line="259" w:lineRule="auto"/>
      </w:pPr>
      <w:r>
        <w:rPr>
          <w:b/>
        </w:rPr>
        <w:t xml:space="preserve">Potential action: </w:t>
      </w:r>
      <w:r>
        <w:t>Define risk bands and choose thresholds using explicit operational costs.</w:t>
      </w:r>
    </w:p>
    <w:p>
      <w:pPr>
        <w:spacing w:after="120" w:line="259" w:lineRule="auto"/>
      </w:pPr>
      <w:r>
        <w:rPr>
          <w:b/>
        </w:rPr>
        <w:t xml:space="preserve">Evidence: </w:t>
      </w:r>
      <w:r>
        <w:t>The final model generates both false positives and false negatives.</w:t>
      </w:r>
    </w:p>
    <w:p>
      <w:pPr>
        <w:spacing w:after="120" w:line="259" w:lineRule="auto"/>
      </w:pPr>
      <w:r>
        <w:rPr>
          <w:b/>
        </w:rPr>
        <w:t xml:space="preserve">Trade-off: </w:t>
      </w:r>
      <w:r>
        <w:t>Higher recall can increase the number of customers flagged for outreach.</w:t>
      </w:r>
    </w:p>
    <w:p>
      <w:pPr>
        <w:pStyle w:val="Heading1"/>
        <w:spacing w:before="200" w:after="100"/>
      </w:pPr>
      <w:r>
        <w:t>11. Challenges, Limitations and Technical Improvements</w:t>
      </w:r>
    </w:p>
    <w:p>
      <w:pPr>
        <w:pStyle w:val="Heading2"/>
        <w:spacing w:before="120" w:after="100"/>
      </w:pPr>
      <w:r>
        <w:t>11.1 Challenges Encountered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7"/>
              </w:rPr>
              <w:t>Challenge</w:t>
            </w:r>
          </w:p>
        </w:tc>
        <w:tc>
          <w:tcPr>
            <w:tcW w:type="dxa" w:w="5112"/>
            <w:vAlign w:val="center"/>
            <w:tcMar>
              <w:top w:w="80" w:type="dxa"/>
              <w:start w:w="80" w:type="dxa"/>
              <w:bottom w:w="80" w:type="dxa"/>
              <w:end w:w="80" w:type="dxa"/>
            </w:tcMar>
            <w:shd w:fill="D9E2F3"/>
          </w:tcPr>
          <w:p>
            <w:pPr>
              <w:spacing w:after="0"/>
            </w:pPr>
            <w:r>
              <w:rPr>
                <w:b/>
                <w:sz w:val="17"/>
              </w:rPr>
              <w:t>Evidence</w:t>
            </w:r>
          </w:p>
        </w:tc>
      </w:tr>
      <w:tr>
        <w:trPr>
          <w:cantSplit/>
        </w:trPr>
        <w:tc>
          <w:tcPr>
            <w:tcW w:type="dxa" w:w="5112"/>
            <w:vAlign w:val="center"/>
            <w:tcMar>
              <w:top w:w="80" w:type="dxa"/>
              <w:start w:w="80" w:type="dxa"/>
              <w:bottom w:w="80" w:type="dxa"/>
              <w:end w:w="80" w:type="dxa"/>
            </w:tcMar>
          </w:tcPr>
          <w:p>
            <w:pPr>
              <w:spacing w:after="0"/>
            </w:pPr>
            <w:r>
              <w:rPr>
                <w:sz w:val="17"/>
              </w:rPr>
              <w:t>Mixed data types</w:t>
            </w:r>
          </w:p>
        </w:tc>
        <w:tc>
          <w:tcPr>
            <w:tcW w:type="dxa" w:w="5112"/>
            <w:vAlign w:val="center"/>
            <w:tcMar>
              <w:top w:w="80" w:type="dxa"/>
              <w:start w:w="80" w:type="dxa"/>
              <w:bottom w:w="80" w:type="dxa"/>
              <w:end w:w="80" w:type="dxa"/>
            </w:tcMar>
          </w:tcPr>
          <w:p>
            <w:pPr>
              <w:spacing w:after="0"/>
            </w:pPr>
            <w:r>
              <w:rPr>
                <w:sz w:val="17"/>
              </w:rPr>
              <w:t>11 blank TotalCharges strings</w:t>
            </w:r>
          </w:p>
        </w:tc>
      </w:tr>
      <w:tr>
        <w:trPr>
          <w:cantSplit/>
        </w:trPr>
        <w:tc>
          <w:tcPr>
            <w:tcW w:type="dxa" w:w="5112"/>
            <w:vAlign w:val="center"/>
            <w:tcMar>
              <w:top w:w="80" w:type="dxa"/>
              <w:start w:w="80" w:type="dxa"/>
              <w:bottom w:w="80" w:type="dxa"/>
              <w:end w:w="80" w:type="dxa"/>
            </w:tcMar>
          </w:tcPr>
          <w:p>
            <w:pPr>
              <w:spacing w:after="0"/>
            </w:pPr>
            <w:r>
              <w:rPr>
                <w:sz w:val="17"/>
              </w:rPr>
              <w:t>Class imbalance</w:t>
            </w:r>
          </w:p>
        </w:tc>
        <w:tc>
          <w:tcPr>
            <w:tcW w:type="dxa" w:w="5112"/>
            <w:vAlign w:val="center"/>
            <w:tcMar>
              <w:top w:w="80" w:type="dxa"/>
              <w:start w:w="80" w:type="dxa"/>
              <w:bottom w:w="80" w:type="dxa"/>
              <w:end w:w="80" w:type="dxa"/>
            </w:tcMar>
          </w:tcPr>
          <w:p>
            <w:pPr>
              <w:spacing w:after="0"/>
            </w:pPr>
            <w:r>
              <w:rPr>
                <w:sz w:val="17"/>
              </w:rPr>
              <w:t>26.54% churn</w:t>
            </w:r>
          </w:p>
        </w:tc>
      </w:tr>
      <w:tr>
        <w:trPr>
          <w:cantSplit/>
        </w:trPr>
        <w:tc>
          <w:tcPr>
            <w:tcW w:type="dxa" w:w="5112"/>
            <w:vAlign w:val="center"/>
            <w:tcMar>
              <w:top w:w="80" w:type="dxa"/>
              <w:start w:w="80" w:type="dxa"/>
              <w:bottom w:w="80" w:type="dxa"/>
              <w:end w:w="80" w:type="dxa"/>
            </w:tcMar>
          </w:tcPr>
          <w:p>
            <w:pPr>
              <w:spacing w:after="0"/>
            </w:pPr>
            <w:r>
              <w:rPr>
                <w:sz w:val="17"/>
              </w:rPr>
              <w:t>Conflicting clustering metrics</w:t>
            </w:r>
          </w:p>
        </w:tc>
        <w:tc>
          <w:tcPr>
            <w:tcW w:type="dxa" w:w="5112"/>
            <w:vAlign w:val="center"/>
            <w:tcMar>
              <w:top w:w="80" w:type="dxa"/>
              <w:start w:w="80" w:type="dxa"/>
              <w:bottom w:w="80" w:type="dxa"/>
              <w:end w:w="80" w:type="dxa"/>
            </w:tcMar>
          </w:tcPr>
          <w:p>
            <w:pPr>
              <w:spacing w:after="0"/>
            </w:pPr>
            <w:r>
              <w:rPr>
                <w:sz w:val="17"/>
              </w:rPr>
              <w:t>K=2 vs K=8 disagreement</w:t>
            </w:r>
          </w:p>
        </w:tc>
      </w:tr>
      <w:tr>
        <w:trPr>
          <w:cantSplit/>
        </w:trPr>
        <w:tc>
          <w:tcPr>
            <w:tcW w:type="dxa" w:w="5112"/>
            <w:vAlign w:val="center"/>
            <w:tcMar>
              <w:top w:w="80" w:type="dxa"/>
              <w:start w:w="80" w:type="dxa"/>
              <w:bottom w:w="80" w:type="dxa"/>
              <w:end w:w="80" w:type="dxa"/>
            </w:tcMar>
          </w:tcPr>
          <w:p>
            <w:pPr>
              <w:spacing w:after="0"/>
            </w:pPr>
            <w:r>
              <w:rPr>
                <w:sz w:val="17"/>
              </w:rPr>
              <w:t>Feature redundancy</w:t>
            </w:r>
          </w:p>
        </w:tc>
        <w:tc>
          <w:tcPr>
            <w:tcW w:type="dxa" w:w="5112"/>
            <w:vAlign w:val="center"/>
            <w:tcMar>
              <w:top w:w="80" w:type="dxa"/>
              <w:start w:w="80" w:type="dxa"/>
              <w:bottom w:w="80" w:type="dxa"/>
              <w:end w:w="80" w:type="dxa"/>
            </w:tcMar>
          </w:tcPr>
          <w:p>
            <w:pPr>
              <w:spacing w:after="0"/>
            </w:pPr>
            <w:r>
              <w:rPr>
                <w:sz w:val="17"/>
              </w:rPr>
              <w:t>High correlations among lifecycle/service variables</w:t>
            </w:r>
          </w:p>
        </w:tc>
      </w:tr>
      <w:tr>
        <w:trPr>
          <w:cantSplit/>
        </w:trPr>
        <w:tc>
          <w:tcPr>
            <w:tcW w:type="dxa" w:w="5112"/>
            <w:vAlign w:val="center"/>
            <w:tcMar>
              <w:top w:w="80" w:type="dxa"/>
              <w:start w:w="80" w:type="dxa"/>
              <w:bottom w:w="80" w:type="dxa"/>
              <w:end w:w="80" w:type="dxa"/>
            </w:tcMar>
          </w:tcPr>
          <w:p>
            <w:pPr>
              <w:spacing w:after="0"/>
            </w:pPr>
            <w:r>
              <w:rPr>
                <w:sz w:val="17"/>
              </w:rPr>
              <w:t>Classification errors</w:t>
            </w:r>
          </w:p>
        </w:tc>
        <w:tc>
          <w:tcPr>
            <w:tcW w:type="dxa" w:w="5112"/>
            <w:vAlign w:val="center"/>
            <w:tcMar>
              <w:top w:w="80" w:type="dxa"/>
              <w:start w:w="80" w:type="dxa"/>
              <w:bottom w:w="80" w:type="dxa"/>
              <w:end w:w="80" w:type="dxa"/>
            </w:tcMar>
          </w:tcPr>
          <w:p>
            <w:pPr>
              <w:spacing w:after="0"/>
            </w:pPr>
            <w:r>
              <w:rPr>
                <w:sz w:val="17"/>
              </w:rPr>
              <w:t>350 tuned-Logistic errors</w:t>
            </w:r>
          </w:p>
        </w:tc>
      </w:tr>
    </w:tbl>
    <w:p>
      <w:pPr>
        <w:pStyle w:val="Heading2"/>
        <w:spacing w:before="120" w:after="100"/>
      </w:pPr>
      <w:r>
        <w:t>11.2 Limitations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tcMar>
              <w:top w:w="80" w:type="dxa"/>
              <w:start w:w="80" w:type="dxa"/>
              <w:bottom w:w="80" w:type="dxa"/>
              <w:end w:w="80" w:type="dxa"/>
            </w:tcMar>
            <w:shd w:fill="D9E2F3"/>
          </w:tcPr>
          <w:p>
            <w:pPr>
              <w:spacing w:after="0"/>
            </w:pPr>
            <w:r>
              <w:rPr>
                <w:b/>
                <w:sz w:val="15"/>
              </w:rPr>
              <w:t>Limitation_ID</w:t>
            </w:r>
          </w:p>
        </w:tc>
        <w:tc>
          <w:tcPr>
            <w:tcW w:type="dxa" w:w="2045"/>
            <w:vAlign w:val="center"/>
            <w:tcMar>
              <w:top w:w="80" w:type="dxa"/>
              <w:start w:w="80" w:type="dxa"/>
              <w:bottom w:w="80" w:type="dxa"/>
              <w:end w:w="80" w:type="dxa"/>
            </w:tcMar>
            <w:shd w:fill="D9E2F3"/>
          </w:tcPr>
          <w:p>
            <w:pPr>
              <w:spacing w:after="0"/>
            </w:pPr>
            <w:r>
              <w:rPr>
                <w:b/>
                <w:sz w:val="15"/>
              </w:rPr>
              <w:t>Area</w:t>
            </w:r>
          </w:p>
        </w:tc>
        <w:tc>
          <w:tcPr>
            <w:tcW w:type="dxa" w:w="2045"/>
            <w:vAlign w:val="center"/>
            <w:tcMar>
              <w:top w:w="80" w:type="dxa"/>
              <w:start w:w="80" w:type="dxa"/>
              <w:bottom w:w="80" w:type="dxa"/>
              <w:end w:w="80" w:type="dxa"/>
            </w:tcMar>
            <w:shd w:fill="D9E2F3"/>
          </w:tcPr>
          <w:p>
            <w:pPr>
              <w:spacing w:after="0"/>
            </w:pPr>
            <w:r>
              <w:rPr>
                <w:b/>
                <w:sz w:val="15"/>
              </w:rPr>
              <w:t>Limitation</w:t>
            </w:r>
          </w:p>
        </w:tc>
        <w:tc>
          <w:tcPr>
            <w:tcW w:type="dxa" w:w="2045"/>
            <w:vAlign w:val="center"/>
            <w:tcMar>
              <w:top w:w="80" w:type="dxa"/>
              <w:start w:w="80" w:type="dxa"/>
              <w:bottom w:w="80" w:type="dxa"/>
              <w:end w:w="80" w:type="dxa"/>
            </w:tcMar>
            <w:shd w:fill="D9E2F3"/>
          </w:tcPr>
          <w:p>
            <w:pPr>
              <w:spacing w:after="0"/>
            </w:pPr>
            <w:r>
              <w:rPr>
                <w:b/>
                <w:sz w:val="15"/>
              </w:rPr>
              <w:t>Evidence</w:t>
            </w:r>
          </w:p>
        </w:tc>
        <w:tc>
          <w:tcPr>
            <w:tcW w:type="dxa" w:w="2045"/>
            <w:vAlign w:val="center"/>
            <w:tcMar>
              <w:top w:w="80" w:type="dxa"/>
              <w:start w:w="80" w:type="dxa"/>
              <w:bottom w:w="80" w:type="dxa"/>
              <w:end w:w="80" w:type="dxa"/>
            </w:tcMar>
            <w:shd w:fill="D9E2F3"/>
          </w:tcPr>
          <w:p>
            <w:pPr>
              <w:spacing w:after="0"/>
            </w:pPr>
            <w:r>
              <w:rPr>
                <w:b/>
                <w:sz w:val="15"/>
              </w:rPr>
              <w:t>Implication</w:t>
            </w:r>
          </w:p>
        </w:tc>
      </w:tr>
      <w:tr>
        <w:trPr>
          <w:cantSplit/>
        </w:trPr>
        <w:tc>
          <w:tcPr>
            <w:tcW w:type="dxa" w:w="2045"/>
            <w:vAlign w:val="center"/>
            <w:tcMar>
              <w:top w:w="80" w:type="dxa"/>
              <w:start w:w="80" w:type="dxa"/>
              <w:bottom w:w="80" w:type="dxa"/>
              <w:end w:w="80" w:type="dxa"/>
            </w:tcMar>
          </w:tcPr>
          <w:p>
            <w:pPr>
              <w:spacing w:after="0"/>
            </w:pPr>
            <w:r>
              <w:rPr>
                <w:sz w:val="15"/>
              </w:rPr>
              <w:t>L1</w:t>
            </w:r>
          </w:p>
        </w:tc>
        <w:tc>
          <w:tcPr>
            <w:tcW w:type="dxa" w:w="2045"/>
            <w:vAlign w:val="center"/>
            <w:tcMar>
              <w:top w:w="80" w:type="dxa"/>
              <w:start w:w="80" w:type="dxa"/>
              <w:bottom w:w="80" w:type="dxa"/>
              <w:end w:w="80" w:type="dxa"/>
            </w:tcMar>
          </w:tcPr>
          <w:p>
            <w:pPr>
              <w:spacing w:after="0"/>
            </w:pPr>
            <w:r>
              <w:rPr>
                <w:sz w:val="15"/>
              </w:rPr>
              <w:t>Predictive performance</w:t>
            </w:r>
          </w:p>
        </w:tc>
        <w:tc>
          <w:tcPr>
            <w:tcW w:type="dxa" w:w="2045"/>
            <w:vAlign w:val="center"/>
            <w:tcMar>
              <w:top w:w="80" w:type="dxa"/>
              <w:start w:w="80" w:type="dxa"/>
              <w:bottom w:w="80" w:type="dxa"/>
              <w:end w:w="80" w:type="dxa"/>
            </w:tcMar>
          </w:tcPr>
          <w:p>
            <w:pPr>
              <w:spacing w:after="0"/>
            </w:pPr>
            <w:r>
              <w:rPr>
                <w:sz w:val="15"/>
              </w:rPr>
              <w:t>The final tuned Logistic Regression has a test F1 of approximately 0.63, so predictions are useful but not error-free.</w:t>
            </w:r>
          </w:p>
        </w:tc>
        <w:tc>
          <w:tcPr>
            <w:tcW w:type="dxa" w:w="2045"/>
            <w:vAlign w:val="center"/>
            <w:tcMar>
              <w:top w:w="80" w:type="dxa"/>
              <w:start w:w="80" w:type="dxa"/>
              <w:bottom w:w="80" w:type="dxa"/>
              <w:end w:w="80" w:type="dxa"/>
            </w:tcMar>
          </w:tcPr>
          <w:p>
            <w:pPr>
              <w:spacing w:after="0"/>
            </w:pPr>
            <w:r>
              <w:rPr>
                <w:sz w:val="15"/>
              </w:rPr>
              <w:t>Test F1 = 0.6277</w:t>
            </w:r>
          </w:p>
        </w:tc>
        <w:tc>
          <w:tcPr>
            <w:tcW w:type="dxa" w:w="2045"/>
            <w:vAlign w:val="center"/>
            <w:tcMar>
              <w:top w:w="80" w:type="dxa"/>
              <w:start w:w="80" w:type="dxa"/>
              <w:bottom w:w="80" w:type="dxa"/>
              <w:end w:w="80" w:type="dxa"/>
            </w:tcMar>
          </w:tcPr>
          <w:p>
            <w:pPr>
              <w:spacing w:after="0"/>
            </w:pPr>
            <w:r>
              <w:rPr>
                <w:sz w:val="15"/>
              </w:rPr>
              <w:t>Predictions should be treated as risk estimates rather than certain outcomes.</w:t>
            </w:r>
          </w:p>
        </w:tc>
      </w:tr>
      <w:tr>
        <w:trPr>
          <w:cantSplit/>
        </w:trPr>
        <w:tc>
          <w:tcPr>
            <w:tcW w:type="dxa" w:w="2045"/>
            <w:vAlign w:val="center"/>
            <w:tcMar>
              <w:top w:w="80" w:type="dxa"/>
              <w:start w:w="80" w:type="dxa"/>
              <w:bottom w:w="80" w:type="dxa"/>
              <w:end w:w="80" w:type="dxa"/>
            </w:tcMar>
          </w:tcPr>
          <w:p>
            <w:pPr>
              <w:spacing w:after="0"/>
            </w:pPr>
            <w:r>
              <w:rPr>
                <w:sz w:val="15"/>
              </w:rPr>
              <w:t>L2</w:t>
            </w:r>
          </w:p>
        </w:tc>
        <w:tc>
          <w:tcPr>
            <w:tcW w:type="dxa" w:w="2045"/>
            <w:vAlign w:val="center"/>
            <w:tcMar>
              <w:top w:w="80" w:type="dxa"/>
              <w:start w:w="80" w:type="dxa"/>
              <w:bottom w:w="80" w:type="dxa"/>
              <w:end w:w="80" w:type="dxa"/>
            </w:tcMar>
          </w:tcPr>
          <w:p>
            <w:pPr>
              <w:spacing w:after="0"/>
            </w:pPr>
            <w:r>
              <w:rPr>
                <w:sz w:val="15"/>
              </w:rPr>
              <w:t>False negatives</w:t>
            </w:r>
          </w:p>
        </w:tc>
        <w:tc>
          <w:tcPr>
            <w:tcW w:type="dxa" w:w="2045"/>
            <w:vAlign w:val="center"/>
            <w:tcMar>
              <w:top w:w="80" w:type="dxa"/>
              <w:start w:w="80" w:type="dxa"/>
              <w:bottom w:w="80" w:type="dxa"/>
              <w:end w:w="80" w:type="dxa"/>
            </w:tcMar>
          </w:tcPr>
          <w:p>
            <w:pPr>
              <w:spacing w:after="0"/>
            </w:pPr>
            <w:r>
              <w:rPr>
                <w:sz w:val="15"/>
              </w:rPr>
              <w:t>79 actual churners were classified as non-churners.</w:t>
            </w:r>
          </w:p>
        </w:tc>
        <w:tc>
          <w:tcPr>
            <w:tcW w:type="dxa" w:w="2045"/>
            <w:vAlign w:val="center"/>
            <w:tcMar>
              <w:top w:w="80" w:type="dxa"/>
              <w:start w:w="80" w:type="dxa"/>
              <w:bottom w:w="80" w:type="dxa"/>
              <w:end w:w="80" w:type="dxa"/>
            </w:tcMar>
          </w:tcPr>
          <w:p>
            <w:pPr>
              <w:spacing w:after="0"/>
            </w:pPr>
            <w:r>
              <w:rPr>
                <w:sz w:val="15"/>
              </w:rPr>
              <w:t>79 false negatives</w:t>
            </w:r>
          </w:p>
        </w:tc>
        <w:tc>
          <w:tcPr>
            <w:tcW w:type="dxa" w:w="2045"/>
            <w:vAlign w:val="center"/>
            <w:tcMar>
              <w:top w:w="80" w:type="dxa"/>
              <w:start w:w="80" w:type="dxa"/>
              <w:bottom w:w="80" w:type="dxa"/>
              <w:end w:w="80" w:type="dxa"/>
            </w:tcMar>
          </w:tcPr>
          <w:p>
            <w:pPr>
              <w:spacing w:after="0"/>
            </w:pPr>
            <w:r>
              <w:rPr>
                <w:sz w:val="15"/>
              </w:rPr>
              <w:t>Potential churn cases can remain undetected.</w:t>
            </w:r>
          </w:p>
        </w:tc>
      </w:tr>
      <w:tr>
        <w:trPr>
          <w:cantSplit/>
        </w:trPr>
        <w:tc>
          <w:tcPr>
            <w:tcW w:type="dxa" w:w="2045"/>
            <w:vAlign w:val="center"/>
            <w:tcMar>
              <w:top w:w="80" w:type="dxa"/>
              <w:start w:w="80" w:type="dxa"/>
              <w:bottom w:w="80" w:type="dxa"/>
              <w:end w:w="80" w:type="dxa"/>
            </w:tcMar>
          </w:tcPr>
          <w:p>
            <w:pPr>
              <w:spacing w:after="0"/>
            </w:pPr>
            <w:r>
              <w:rPr>
                <w:sz w:val="15"/>
              </w:rPr>
              <w:t>L3</w:t>
            </w:r>
          </w:p>
        </w:tc>
        <w:tc>
          <w:tcPr>
            <w:tcW w:type="dxa" w:w="2045"/>
            <w:vAlign w:val="center"/>
            <w:tcMar>
              <w:top w:w="80" w:type="dxa"/>
              <w:start w:w="80" w:type="dxa"/>
              <w:bottom w:w="80" w:type="dxa"/>
              <w:end w:w="80" w:type="dxa"/>
            </w:tcMar>
          </w:tcPr>
          <w:p>
            <w:pPr>
              <w:spacing w:after="0"/>
            </w:pPr>
            <w:r>
              <w:rPr>
                <w:sz w:val="15"/>
              </w:rPr>
              <w:t>False positives</w:t>
            </w:r>
          </w:p>
        </w:tc>
        <w:tc>
          <w:tcPr>
            <w:tcW w:type="dxa" w:w="2045"/>
            <w:vAlign w:val="center"/>
            <w:tcMar>
              <w:top w:w="80" w:type="dxa"/>
              <w:start w:w="80" w:type="dxa"/>
              <w:bottom w:w="80" w:type="dxa"/>
              <w:end w:w="80" w:type="dxa"/>
            </w:tcMar>
          </w:tcPr>
          <w:p>
            <w:pPr>
              <w:spacing w:after="0"/>
            </w:pPr>
            <w:r>
              <w:rPr>
                <w:sz w:val="15"/>
              </w:rPr>
              <w:t>271 non-churners were classified as churners.</w:t>
            </w:r>
          </w:p>
        </w:tc>
        <w:tc>
          <w:tcPr>
            <w:tcW w:type="dxa" w:w="2045"/>
            <w:vAlign w:val="center"/>
            <w:tcMar>
              <w:top w:w="80" w:type="dxa"/>
              <w:start w:w="80" w:type="dxa"/>
              <w:bottom w:w="80" w:type="dxa"/>
              <w:end w:w="80" w:type="dxa"/>
            </w:tcMar>
          </w:tcPr>
          <w:p>
            <w:pPr>
              <w:spacing w:after="0"/>
            </w:pPr>
            <w:r>
              <w:rPr>
                <w:sz w:val="15"/>
              </w:rPr>
              <w:t>271 false positives</w:t>
            </w:r>
          </w:p>
        </w:tc>
        <w:tc>
          <w:tcPr>
            <w:tcW w:type="dxa" w:w="2045"/>
            <w:vAlign w:val="center"/>
            <w:tcMar>
              <w:top w:w="80" w:type="dxa"/>
              <w:start w:w="80" w:type="dxa"/>
              <w:bottom w:w="80" w:type="dxa"/>
              <w:end w:w="80" w:type="dxa"/>
            </w:tcMar>
          </w:tcPr>
          <w:p>
            <w:pPr>
              <w:spacing w:after="0"/>
            </w:pPr>
            <w:r>
              <w:rPr>
                <w:sz w:val="15"/>
              </w:rPr>
              <w:t>A churn-focused intervention could also reach customers who would otherwise remain.</w:t>
            </w:r>
          </w:p>
        </w:tc>
      </w:tr>
      <w:tr>
        <w:trPr>
          <w:cantSplit/>
        </w:trPr>
        <w:tc>
          <w:tcPr>
            <w:tcW w:type="dxa" w:w="2045"/>
            <w:vAlign w:val="center"/>
            <w:tcMar>
              <w:top w:w="80" w:type="dxa"/>
              <w:start w:w="80" w:type="dxa"/>
              <w:bottom w:w="80" w:type="dxa"/>
              <w:end w:w="80" w:type="dxa"/>
            </w:tcMar>
          </w:tcPr>
          <w:p>
            <w:pPr>
              <w:spacing w:after="0"/>
            </w:pPr>
            <w:r>
              <w:rPr>
                <w:sz w:val="15"/>
              </w:rPr>
              <w:t>L4</w:t>
            </w:r>
          </w:p>
        </w:tc>
        <w:tc>
          <w:tcPr>
            <w:tcW w:type="dxa" w:w="2045"/>
            <w:vAlign w:val="center"/>
            <w:tcMar>
              <w:top w:w="80" w:type="dxa"/>
              <w:start w:w="80" w:type="dxa"/>
              <w:bottom w:w="80" w:type="dxa"/>
              <w:end w:w="80" w:type="dxa"/>
            </w:tcMar>
          </w:tcPr>
          <w:p>
            <w:pPr>
              <w:spacing w:after="0"/>
            </w:pPr>
            <w:r>
              <w:rPr>
                <w:sz w:val="15"/>
              </w:rPr>
              <w:t>Threshold dependence</w:t>
            </w:r>
          </w:p>
        </w:tc>
        <w:tc>
          <w:tcPr>
            <w:tcW w:type="dxa" w:w="2045"/>
            <w:vAlign w:val="center"/>
            <w:tcMar>
              <w:top w:w="80" w:type="dxa"/>
              <w:start w:w="80" w:type="dxa"/>
              <w:bottom w:w="80" w:type="dxa"/>
              <w:end w:w="80" w:type="dxa"/>
            </w:tcMar>
          </w:tcPr>
          <w:p>
            <w:pPr>
              <w:spacing w:after="0"/>
            </w:pPr>
            <w:r>
              <w:rPr>
                <w:sz w:val="15"/>
              </w:rPr>
              <w:t>Changing the classification threshold changes the precision-recall trade-off.</w:t>
            </w:r>
          </w:p>
        </w:tc>
        <w:tc>
          <w:tcPr>
            <w:tcW w:type="dxa" w:w="2045"/>
            <w:vAlign w:val="center"/>
            <w:tcMar>
              <w:top w:w="80" w:type="dxa"/>
              <w:start w:w="80" w:type="dxa"/>
              <w:bottom w:w="80" w:type="dxa"/>
              <w:end w:w="80" w:type="dxa"/>
            </w:tcMar>
          </w:tcPr>
          <w:p>
            <w:pPr>
              <w:spacing w:after="0"/>
            </w:pPr>
            <w:r>
              <w:rPr>
                <w:sz w:val="15"/>
              </w:rPr>
              <w:t>Threshold analysis performed</w:t>
            </w:r>
          </w:p>
        </w:tc>
        <w:tc>
          <w:tcPr>
            <w:tcW w:type="dxa" w:w="2045"/>
            <w:vAlign w:val="center"/>
            <w:tcMar>
              <w:top w:w="80" w:type="dxa"/>
              <w:start w:w="80" w:type="dxa"/>
              <w:bottom w:w="80" w:type="dxa"/>
              <w:end w:w="80" w:type="dxa"/>
            </w:tcMar>
          </w:tcPr>
          <w:p>
            <w:pPr>
              <w:spacing w:after="0"/>
            </w:pPr>
            <w:r>
              <w:rPr>
                <w:sz w:val="15"/>
              </w:rPr>
              <w:t>The operational threshold should depend on the relative cost of false negatives and false positives.</w:t>
            </w:r>
          </w:p>
        </w:tc>
      </w:tr>
      <w:tr>
        <w:trPr>
          <w:cantSplit/>
        </w:trPr>
        <w:tc>
          <w:tcPr>
            <w:tcW w:type="dxa" w:w="2045"/>
            <w:vAlign w:val="center"/>
            <w:tcMar>
              <w:top w:w="80" w:type="dxa"/>
              <w:start w:w="80" w:type="dxa"/>
              <w:bottom w:w="80" w:type="dxa"/>
              <w:end w:w="80" w:type="dxa"/>
            </w:tcMar>
          </w:tcPr>
          <w:p>
            <w:pPr>
              <w:spacing w:after="0"/>
            </w:pPr>
            <w:r>
              <w:rPr>
                <w:sz w:val="15"/>
              </w:rPr>
              <w:t>L5</w:t>
            </w:r>
          </w:p>
        </w:tc>
        <w:tc>
          <w:tcPr>
            <w:tcW w:type="dxa" w:w="2045"/>
            <w:vAlign w:val="center"/>
            <w:tcMar>
              <w:top w:w="80" w:type="dxa"/>
              <w:start w:w="80" w:type="dxa"/>
              <w:bottom w:w="80" w:type="dxa"/>
              <w:end w:w="80" w:type="dxa"/>
            </w:tcMar>
          </w:tcPr>
          <w:p>
            <w:pPr>
              <w:spacing w:after="0"/>
            </w:pPr>
            <w:r>
              <w:rPr>
                <w:sz w:val="15"/>
              </w:rPr>
              <w:t>Correlation</w:t>
            </w:r>
          </w:p>
        </w:tc>
        <w:tc>
          <w:tcPr>
            <w:tcW w:type="dxa" w:w="2045"/>
            <w:vAlign w:val="center"/>
            <w:tcMar>
              <w:top w:w="80" w:type="dxa"/>
              <w:start w:w="80" w:type="dxa"/>
              <w:bottom w:w="80" w:type="dxa"/>
              <w:end w:w="80" w:type="dxa"/>
            </w:tcMar>
          </w:tcPr>
          <w:p>
            <w:pPr>
              <w:spacing w:after="0"/>
            </w:pPr>
            <w:r>
              <w:rPr>
                <w:sz w:val="15"/>
              </w:rPr>
              <w:t>Tenure, TotalCharges, and service-related variables contain overlapping information.</w:t>
            </w:r>
          </w:p>
        </w:tc>
        <w:tc>
          <w:tcPr>
            <w:tcW w:type="dxa" w:w="2045"/>
            <w:vAlign w:val="center"/>
            <w:tcMar>
              <w:top w:w="80" w:type="dxa"/>
              <w:start w:w="80" w:type="dxa"/>
              <w:bottom w:w="80" w:type="dxa"/>
              <w:end w:w="80" w:type="dxa"/>
            </w:tcMar>
          </w:tcPr>
          <w:p>
            <w:pPr>
              <w:spacing w:after="0"/>
            </w:pPr>
            <w:r>
              <w:rPr>
                <w:sz w:val="15"/>
              </w:rPr>
              <w:t>Strong feature correlations observed</w:t>
            </w:r>
          </w:p>
        </w:tc>
        <w:tc>
          <w:tcPr>
            <w:tcW w:type="dxa" w:w="2045"/>
            <w:vAlign w:val="center"/>
            <w:tcMar>
              <w:top w:w="80" w:type="dxa"/>
              <w:start w:w="80" w:type="dxa"/>
              <w:bottom w:w="80" w:type="dxa"/>
              <w:end w:w="80" w:type="dxa"/>
            </w:tcMar>
          </w:tcPr>
          <w:p>
            <w:pPr>
              <w:spacing w:after="0"/>
            </w:pPr>
            <w:r>
              <w:rPr>
                <w:sz w:val="15"/>
              </w:rPr>
              <w:t>Model coefficients should be interpreted in the context of correlated predictors.</w:t>
            </w:r>
          </w:p>
        </w:tc>
      </w:tr>
      <w:tr>
        <w:trPr>
          <w:cantSplit/>
        </w:trPr>
        <w:tc>
          <w:tcPr>
            <w:tcW w:type="dxa" w:w="2045"/>
            <w:vAlign w:val="center"/>
            <w:tcMar>
              <w:top w:w="80" w:type="dxa"/>
              <w:start w:w="80" w:type="dxa"/>
              <w:bottom w:w="80" w:type="dxa"/>
              <w:end w:w="80" w:type="dxa"/>
            </w:tcMar>
          </w:tcPr>
          <w:p>
            <w:pPr>
              <w:spacing w:after="0"/>
            </w:pPr>
            <w:r>
              <w:rPr>
                <w:sz w:val="15"/>
              </w:rPr>
              <w:t>L6</w:t>
            </w:r>
          </w:p>
        </w:tc>
        <w:tc>
          <w:tcPr>
            <w:tcW w:type="dxa" w:w="2045"/>
            <w:vAlign w:val="center"/>
            <w:tcMar>
              <w:top w:w="80" w:type="dxa"/>
              <w:start w:w="80" w:type="dxa"/>
              <w:bottom w:w="80" w:type="dxa"/>
              <w:end w:w="80" w:type="dxa"/>
            </w:tcMar>
          </w:tcPr>
          <w:p>
            <w:pPr>
              <w:spacing w:after="0"/>
            </w:pPr>
            <w:r>
              <w:rPr>
                <w:sz w:val="15"/>
              </w:rPr>
              <w:t>Cluster interpretation</w:t>
            </w:r>
          </w:p>
        </w:tc>
        <w:tc>
          <w:tcPr>
            <w:tcW w:type="dxa" w:w="2045"/>
            <w:vAlign w:val="center"/>
            <w:tcMar>
              <w:top w:w="80" w:type="dxa"/>
              <w:start w:w="80" w:type="dxa"/>
              <w:bottom w:w="80" w:type="dxa"/>
              <w:end w:w="80" w:type="dxa"/>
            </w:tcMar>
          </w:tcPr>
          <w:p>
            <w:pPr>
              <w:spacing w:after="0"/>
            </w:pPr>
            <w:r>
              <w:rPr>
                <w:sz w:val="15"/>
              </w:rPr>
              <w:t>The two-cluster solution is useful for broad customer profiling but does not capture every possible customer subgroup.</w:t>
            </w:r>
          </w:p>
        </w:tc>
        <w:tc>
          <w:tcPr>
            <w:tcW w:type="dxa" w:w="2045"/>
            <w:vAlign w:val="center"/>
            <w:tcMar>
              <w:top w:w="80" w:type="dxa"/>
              <w:start w:w="80" w:type="dxa"/>
              <w:bottom w:w="80" w:type="dxa"/>
              <w:end w:w="80" w:type="dxa"/>
            </w:tcMar>
          </w:tcPr>
          <w:p>
            <w:pPr>
              <w:spacing w:after="0"/>
            </w:pPr>
            <w:r>
              <w:rPr>
                <w:sz w:val="15"/>
              </w:rPr>
              <w:t>K=2 selected while Davies-Bouldin preferred K=8.</w:t>
            </w:r>
          </w:p>
        </w:tc>
        <w:tc>
          <w:tcPr>
            <w:tcW w:type="dxa" w:w="2045"/>
            <w:vAlign w:val="center"/>
            <w:tcMar>
              <w:top w:w="80" w:type="dxa"/>
              <w:start w:w="80" w:type="dxa"/>
              <w:bottom w:w="80" w:type="dxa"/>
              <w:end w:w="80" w:type="dxa"/>
            </w:tcMar>
          </w:tcPr>
          <w:p>
            <w:pPr>
              <w:spacing w:after="0"/>
            </w:pPr>
            <w:r>
              <w:rPr>
                <w:sz w:val="15"/>
              </w:rPr>
              <w:t>Additional segmentation approaches could reveal more granular customer groups.</w:t>
            </w:r>
          </w:p>
        </w:tc>
      </w:tr>
    </w:tbl>
    <w:p>
      <w:pPr>
        <w:pStyle w:val="Heading2"/>
        <w:spacing w:before="120" w:after="100"/>
      </w:pPr>
      <w:r>
        <w:t>11.3 Concrete Improvement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704"/>
            <w:vAlign w:val="center"/>
            <w:tcMar>
              <w:top w:w="80" w:type="dxa"/>
              <w:start w:w="80" w:type="dxa"/>
              <w:bottom w:w="80" w:type="dxa"/>
              <w:end w:w="80" w:type="dxa"/>
            </w:tcMar>
            <w:shd w:fill="D9E2F3"/>
          </w:tcPr>
          <w:p>
            <w:pPr>
              <w:spacing w:after="0"/>
            </w:pPr>
            <w:r>
              <w:rPr>
                <w:b/>
                <w:sz w:val="13"/>
              </w:rPr>
              <w:t>Improvement_ID</w:t>
            </w:r>
          </w:p>
        </w:tc>
        <w:tc>
          <w:tcPr>
            <w:tcW w:type="dxa" w:w="1704"/>
            <w:vAlign w:val="center"/>
            <w:tcMar>
              <w:top w:w="80" w:type="dxa"/>
              <w:start w:w="80" w:type="dxa"/>
              <w:bottom w:w="80" w:type="dxa"/>
              <w:end w:w="80" w:type="dxa"/>
            </w:tcMar>
            <w:shd w:fill="D9E2F3"/>
          </w:tcPr>
          <w:p>
            <w:pPr>
              <w:spacing w:after="0"/>
            </w:pPr>
            <w:r>
              <w:rPr>
                <w:b/>
                <w:sz w:val="13"/>
              </w:rPr>
              <w:t>Technique</w:t>
            </w:r>
          </w:p>
        </w:tc>
        <w:tc>
          <w:tcPr>
            <w:tcW w:type="dxa" w:w="1704"/>
            <w:vAlign w:val="center"/>
            <w:tcMar>
              <w:top w:w="80" w:type="dxa"/>
              <w:start w:w="80" w:type="dxa"/>
              <w:bottom w:w="80" w:type="dxa"/>
              <w:end w:w="80" w:type="dxa"/>
            </w:tcMar>
            <w:shd w:fill="D9E2F3"/>
          </w:tcPr>
          <w:p>
            <w:pPr>
              <w:spacing w:after="0"/>
            </w:pPr>
            <w:r>
              <w:rPr>
                <w:b/>
                <w:sz w:val="13"/>
              </w:rPr>
              <w:t>Current_Limitation</w:t>
            </w:r>
          </w:p>
        </w:tc>
        <w:tc>
          <w:tcPr>
            <w:tcW w:type="dxa" w:w="1704"/>
            <w:vAlign w:val="center"/>
            <w:tcMar>
              <w:top w:w="80" w:type="dxa"/>
              <w:start w:w="80" w:type="dxa"/>
              <w:bottom w:w="80" w:type="dxa"/>
              <w:end w:w="80" w:type="dxa"/>
            </w:tcMar>
            <w:shd w:fill="D9E2F3"/>
          </w:tcPr>
          <w:p>
            <w:pPr>
              <w:spacing w:after="0"/>
            </w:pPr>
            <w:r>
              <w:rPr>
                <w:b/>
                <w:sz w:val="13"/>
              </w:rPr>
              <w:t>Implementation</w:t>
            </w:r>
          </w:p>
        </w:tc>
        <w:tc>
          <w:tcPr>
            <w:tcW w:type="dxa" w:w="1704"/>
            <w:vAlign w:val="center"/>
            <w:tcMar>
              <w:top w:w="80" w:type="dxa"/>
              <w:start w:w="80" w:type="dxa"/>
              <w:bottom w:w="80" w:type="dxa"/>
              <w:end w:w="80" w:type="dxa"/>
            </w:tcMar>
            <w:shd w:fill="D9E2F3"/>
          </w:tcPr>
          <w:p>
            <w:pPr>
              <w:spacing w:after="0"/>
            </w:pPr>
            <w:r>
              <w:rPr>
                <w:b/>
                <w:sz w:val="13"/>
              </w:rPr>
              <w:t>Expected_Benefit</w:t>
            </w:r>
          </w:p>
        </w:tc>
        <w:tc>
          <w:tcPr>
            <w:tcW w:type="dxa" w:w="1704"/>
            <w:vAlign w:val="center"/>
            <w:tcMar>
              <w:top w:w="80" w:type="dxa"/>
              <w:start w:w="80" w:type="dxa"/>
              <w:bottom w:w="80" w:type="dxa"/>
              <w:end w:w="80" w:type="dxa"/>
            </w:tcMar>
            <w:shd w:fill="D9E2F3"/>
          </w:tcPr>
          <w:p>
            <w:pPr>
              <w:spacing w:after="0"/>
            </w:pPr>
            <w:r>
              <w:rPr>
                <w:b/>
                <w:sz w:val="13"/>
              </w:rPr>
              <w:t>Trade_Off</w:t>
            </w:r>
          </w:p>
        </w:tc>
      </w:tr>
      <w:tr>
        <w:trPr>
          <w:cantSplit/>
        </w:trPr>
        <w:tc>
          <w:tcPr>
            <w:tcW w:type="dxa" w:w="1704"/>
            <w:vAlign w:val="center"/>
            <w:tcMar>
              <w:top w:w="80" w:type="dxa"/>
              <w:start w:w="80" w:type="dxa"/>
              <w:bottom w:w="80" w:type="dxa"/>
              <w:end w:w="80" w:type="dxa"/>
            </w:tcMar>
          </w:tcPr>
          <w:p>
            <w:pPr>
              <w:spacing w:after="0"/>
            </w:pPr>
            <w:r>
              <w:rPr>
                <w:sz w:val="13"/>
              </w:rPr>
              <w:t>IM1</w:t>
            </w:r>
          </w:p>
        </w:tc>
        <w:tc>
          <w:tcPr>
            <w:tcW w:type="dxa" w:w="1704"/>
            <w:vAlign w:val="center"/>
            <w:tcMar>
              <w:top w:w="80" w:type="dxa"/>
              <w:start w:w="80" w:type="dxa"/>
              <w:bottom w:w="80" w:type="dxa"/>
              <w:end w:w="80" w:type="dxa"/>
            </w:tcMar>
          </w:tcPr>
          <w:p>
            <w:pPr>
              <w:spacing w:after="0"/>
            </w:pPr>
            <w:r>
              <w:rPr>
                <w:sz w:val="13"/>
              </w:rPr>
              <w:t>Probability calibration</w:t>
            </w:r>
          </w:p>
        </w:tc>
        <w:tc>
          <w:tcPr>
            <w:tcW w:type="dxa" w:w="1704"/>
            <w:vAlign w:val="center"/>
            <w:tcMar>
              <w:top w:w="80" w:type="dxa"/>
              <w:start w:w="80" w:type="dxa"/>
              <w:bottom w:w="80" w:type="dxa"/>
              <w:end w:w="80" w:type="dxa"/>
            </w:tcMar>
          </w:tcPr>
          <w:p>
            <w:pPr>
              <w:spacing w:after="0"/>
            </w:pPr>
            <w:r>
              <w:rPr>
                <w:sz w:val="13"/>
              </w:rPr>
              <w:t>Predicted probabilities are not automatically guaranteed to represent well-calibrated real-world probabilities.</w:t>
            </w:r>
          </w:p>
        </w:tc>
        <w:tc>
          <w:tcPr>
            <w:tcW w:type="dxa" w:w="1704"/>
            <w:vAlign w:val="center"/>
            <w:tcMar>
              <w:top w:w="80" w:type="dxa"/>
              <w:start w:w="80" w:type="dxa"/>
              <w:bottom w:w="80" w:type="dxa"/>
              <w:end w:w="80" w:type="dxa"/>
            </w:tcMar>
          </w:tcPr>
          <w:p>
            <w:pPr>
              <w:spacing w:after="0"/>
            </w:pPr>
            <w:r>
              <w:rPr>
                <w:sz w:val="13"/>
              </w:rPr>
              <w:t>Evaluate calibration curves and Brier score and, if necessary, use calibrated classifiers.</w:t>
            </w:r>
          </w:p>
        </w:tc>
        <w:tc>
          <w:tcPr>
            <w:tcW w:type="dxa" w:w="1704"/>
            <w:vAlign w:val="center"/>
            <w:tcMar>
              <w:top w:w="80" w:type="dxa"/>
              <w:start w:w="80" w:type="dxa"/>
              <w:bottom w:w="80" w:type="dxa"/>
              <w:end w:w="80" w:type="dxa"/>
            </w:tcMar>
          </w:tcPr>
          <w:p>
            <w:pPr>
              <w:spacing w:after="0"/>
            </w:pPr>
            <w:r>
              <w:rPr>
                <w:sz w:val="13"/>
              </w:rPr>
              <w:t>More reliable probability estimates for risk prioritization.</w:t>
            </w:r>
          </w:p>
        </w:tc>
        <w:tc>
          <w:tcPr>
            <w:tcW w:type="dxa" w:w="1704"/>
            <w:vAlign w:val="center"/>
            <w:tcMar>
              <w:top w:w="80" w:type="dxa"/>
              <w:start w:w="80" w:type="dxa"/>
              <w:bottom w:w="80" w:type="dxa"/>
              <w:end w:w="80" w:type="dxa"/>
            </w:tcMar>
          </w:tcPr>
          <w:p>
            <w:pPr>
              <w:spacing w:after="0"/>
            </w:pPr>
            <w:r>
              <w:rPr>
                <w:sz w:val="13"/>
              </w:rPr>
              <w:t>Adds validation and model-complexity requirements.</w:t>
            </w:r>
          </w:p>
        </w:tc>
      </w:tr>
      <w:tr>
        <w:trPr>
          <w:cantSplit/>
        </w:trPr>
        <w:tc>
          <w:tcPr>
            <w:tcW w:type="dxa" w:w="1704"/>
            <w:vAlign w:val="center"/>
            <w:tcMar>
              <w:top w:w="80" w:type="dxa"/>
              <w:start w:w="80" w:type="dxa"/>
              <w:bottom w:w="80" w:type="dxa"/>
              <w:end w:w="80" w:type="dxa"/>
            </w:tcMar>
          </w:tcPr>
          <w:p>
            <w:pPr>
              <w:spacing w:after="0"/>
            </w:pPr>
            <w:r>
              <w:rPr>
                <w:sz w:val="13"/>
              </w:rPr>
              <w:t>IM2</w:t>
            </w:r>
          </w:p>
        </w:tc>
        <w:tc>
          <w:tcPr>
            <w:tcW w:type="dxa" w:w="1704"/>
            <w:vAlign w:val="center"/>
            <w:tcMar>
              <w:top w:w="80" w:type="dxa"/>
              <w:start w:w="80" w:type="dxa"/>
              <w:bottom w:w="80" w:type="dxa"/>
              <w:end w:w="80" w:type="dxa"/>
            </w:tcMar>
          </w:tcPr>
          <w:p>
            <w:pPr>
              <w:spacing w:after="0"/>
            </w:pPr>
            <w:r>
              <w:rPr>
                <w:sz w:val="13"/>
              </w:rPr>
              <w:t>Cost-sensitive threshold selection</w:t>
            </w:r>
          </w:p>
        </w:tc>
        <w:tc>
          <w:tcPr>
            <w:tcW w:type="dxa" w:w="1704"/>
            <w:vAlign w:val="center"/>
            <w:tcMar>
              <w:top w:w="80" w:type="dxa"/>
              <w:start w:w="80" w:type="dxa"/>
              <w:bottom w:w="80" w:type="dxa"/>
              <w:end w:w="80" w:type="dxa"/>
            </w:tcMar>
          </w:tcPr>
          <w:p>
            <w:pPr>
              <w:spacing w:after="0"/>
            </w:pPr>
            <w:r>
              <w:rPr>
                <w:sz w:val="13"/>
              </w:rPr>
              <w:t>F1-based threshold selection does not explicitly represent the operational cost of errors.</w:t>
            </w:r>
          </w:p>
        </w:tc>
        <w:tc>
          <w:tcPr>
            <w:tcW w:type="dxa" w:w="1704"/>
            <w:vAlign w:val="center"/>
            <w:tcMar>
              <w:top w:w="80" w:type="dxa"/>
              <w:start w:w="80" w:type="dxa"/>
              <w:bottom w:w="80" w:type="dxa"/>
              <w:end w:w="80" w:type="dxa"/>
            </w:tcMar>
          </w:tcPr>
          <w:p>
            <w:pPr>
              <w:spacing w:after="0"/>
            </w:pPr>
            <w:r>
              <w:rPr>
                <w:sz w:val="13"/>
              </w:rPr>
              <w:t>Define costs for false positives and false negatives and select the threshold that minimizes expected cost.</w:t>
            </w:r>
          </w:p>
        </w:tc>
        <w:tc>
          <w:tcPr>
            <w:tcW w:type="dxa" w:w="1704"/>
            <w:vAlign w:val="center"/>
            <w:tcMar>
              <w:top w:w="80" w:type="dxa"/>
              <w:start w:w="80" w:type="dxa"/>
              <w:bottom w:w="80" w:type="dxa"/>
              <w:end w:w="80" w:type="dxa"/>
            </w:tcMar>
          </w:tcPr>
          <w:p>
            <w:pPr>
              <w:spacing w:after="0"/>
            </w:pPr>
            <w:r>
              <w:rPr>
                <w:sz w:val="13"/>
              </w:rPr>
              <w:t>Aligns the classification decision rule with the actual intervention objective.</w:t>
            </w:r>
          </w:p>
        </w:tc>
        <w:tc>
          <w:tcPr>
            <w:tcW w:type="dxa" w:w="1704"/>
            <w:vAlign w:val="center"/>
            <w:tcMar>
              <w:top w:w="80" w:type="dxa"/>
              <w:start w:w="80" w:type="dxa"/>
              <w:bottom w:w="80" w:type="dxa"/>
              <w:end w:w="80" w:type="dxa"/>
            </w:tcMar>
          </w:tcPr>
          <w:p>
            <w:pPr>
              <w:spacing w:after="0"/>
            </w:pPr>
            <w:r>
              <w:rPr>
                <w:sz w:val="13"/>
              </w:rPr>
              <w:t>Requires reliable estimates of intervention and missed-churn costs.</w:t>
            </w:r>
          </w:p>
        </w:tc>
      </w:tr>
      <w:tr>
        <w:trPr>
          <w:cantSplit/>
        </w:trPr>
        <w:tc>
          <w:tcPr>
            <w:tcW w:type="dxa" w:w="1704"/>
            <w:vAlign w:val="center"/>
            <w:tcMar>
              <w:top w:w="80" w:type="dxa"/>
              <w:start w:w="80" w:type="dxa"/>
              <w:bottom w:w="80" w:type="dxa"/>
              <w:end w:w="80" w:type="dxa"/>
            </w:tcMar>
          </w:tcPr>
          <w:p>
            <w:pPr>
              <w:spacing w:after="0"/>
            </w:pPr>
            <w:r>
              <w:rPr>
                <w:sz w:val="13"/>
              </w:rPr>
              <w:t>IM3</w:t>
            </w:r>
          </w:p>
        </w:tc>
        <w:tc>
          <w:tcPr>
            <w:tcW w:type="dxa" w:w="1704"/>
            <w:vAlign w:val="center"/>
            <w:tcMar>
              <w:top w:w="80" w:type="dxa"/>
              <w:start w:w="80" w:type="dxa"/>
              <w:bottom w:w="80" w:type="dxa"/>
              <w:end w:w="80" w:type="dxa"/>
            </w:tcMar>
          </w:tcPr>
          <w:p>
            <w:pPr>
              <w:spacing w:after="0"/>
            </w:pPr>
            <w:r>
              <w:rPr>
                <w:sz w:val="13"/>
              </w:rPr>
              <w:t>Advanced nonlinear models</w:t>
            </w:r>
          </w:p>
        </w:tc>
        <w:tc>
          <w:tcPr>
            <w:tcW w:type="dxa" w:w="1704"/>
            <w:vAlign w:val="center"/>
            <w:tcMar>
              <w:top w:w="80" w:type="dxa"/>
              <w:start w:w="80" w:type="dxa"/>
              <w:bottom w:w="80" w:type="dxa"/>
              <w:end w:w="80" w:type="dxa"/>
            </w:tcMar>
          </w:tcPr>
          <w:p>
            <w:pPr>
              <w:spacing w:after="0"/>
            </w:pPr>
            <w:r>
              <w:rPr>
                <w:sz w:val="13"/>
              </w:rPr>
              <w:t>The tested Logistic Regression captures primarily linear effects in the transformed feature space.</w:t>
            </w:r>
          </w:p>
        </w:tc>
        <w:tc>
          <w:tcPr>
            <w:tcW w:type="dxa" w:w="1704"/>
            <w:vAlign w:val="center"/>
            <w:tcMar>
              <w:top w:w="80" w:type="dxa"/>
              <w:start w:w="80" w:type="dxa"/>
              <w:bottom w:w="80" w:type="dxa"/>
              <w:end w:w="80" w:type="dxa"/>
            </w:tcMar>
          </w:tcPr>
          <w:p>
            <w:pPr>
              <w:spacing w:after="0"/>
            </w:pPr>
            <w:r>
              <w:rPr>
                <w:sz w:val="13"/>
              </w:rPr>
              <w:t>Compare methods such as Gradient Boosting, XGBoost, LightGBM, or HistGradientBoosting using stratified CV.</w:t>
            </w:r>
          </w:p>
        </w:tc>
        <w:tc>
          <w:tcPr>
            <w:tcW w:type="dxa" w:w="1704"/>
            <w:vAlign w:val="center"/>
            <w:tcMar>
              <w:top w:w="80" w:type="dxa"/>
              <w:start w:w="80" w:type="dxa"/>
              <w:bottom w:w="80" w:type="dxa"/>
              <w:end w:w="80" w:type="dxa"/>
            </w:tcMar>
          </w:tcPr>
          <w:p>
            <w:pPr>
              <w:spacing w:after="0"/>
            </w:pPr>
            <w:r>
              <w:rPr>
                <w:sz w:val="13"/>
              </w:rPr>
              <w:t>May capture nonlinear relationships and feature interactions.</w:t>
            </w:r>
          </w:p>
        </w:tc>
        <w:tc>
          <w:tcPr>
            <w:tcW w:type="dxa" w:w="1704"/>
            <w:vAlign w:val="center"/>
            <w:tcMar>
              <w:top w:w="80" w:type="dxa"/>
              <w:start w:w="80" w:type="dxa"/>
              <w:bottom w:w="80" w:type="dxa"/>
              <w:end w:w="80" w:type="dxa"/>
            </w:tcMar>
          </w:tcPr>
          <w:p>
            <w:pPr>
              <w:spacing w:after="0"/>
            </w:pPr>
            <w:r>
              <w:rPr>
                <w:sz w:val="13"/>
              </w:rPr>
              <w:t>Higher complexity and potentially lower interpretability.</w:t>
            </w:r>
          </w:p>
        </w:tc>
      </w:tr>
      <w:tr>
        <w:trPr>
          <w:cantSplit/>
        </w:trPr>
        <w:tc>
          <w:tcPr>
            <w:tcW w:type="dxa" w:w="1704"/>
            <w:vAlign w:val="center"/>
            <w:tcMar>
              <w:top w:w="80" w:type="dxa"/>
              <w:start w:w="80" w:type="dxa"/>
              <w:bottom w:w="80" w:type="dxa"/>
              <w:end w:w="80" w:type="dxa"/>
            </w:tcMar>
          </w:tcPr>
          <w:p>
            <w:pPr>
              <w:spacing w:after="0"/>
            </w:pPr>
            <w:r>
              <w:rPr>
                <w:sz w:val="13"/>
              </w:rPr>
              <w:t>IM4</w:t>
            </w:r>
          </w:p>
        </w:tc>
        <w:tc>
          <w:tcPr>
            <w:tcW w:type="dxa" w:w="1704"/>
            <w:vAlign w:val="center"/>
            <w:tcMar>
              <w:top w:w="80" w:type="dxa"/>
              <w:start w:w="80" w:type="dxa"/>
              <w:bottom w:w="80" w:type="dxa"/>
              <w:end w:w="80" w:type="dxa"/>
            </w:tcMar>
          </w:tcPr>
          <w:p>
            <w:pPr>
              <w:spacing w:after="0"/>
            </w:pPr>
            <w:r>
              <w:rPr>
                <w:sz w:val="13"/>
              </w:rPr>
              <w:t>Feature selection</w:t>
            </w:r>
          </w:p>
        </w:tc>
        <w:tc>
          <w:tcPr>
            <w:tcW w:type="dxa" w:w="1704"/>
            <w:vAlign w:val="center"/>
            <w:tcMar>
              <w:top w:w="80" w:type="dxa"/>
              <w:start w:w="80" w:type="dxa"/>
              <w:bottom w:w="80" w:type="dxa"/>
              <w:end w:w="80" w:type="dxa"/>
            </w:tcMar>
          </w:tcPr>
          <w:p>
            <w:pPr>
              <w:spacing w:after="0"/>
            </w:pPr>
            <w:r>
              <w:rPr>
                <w:sz w:val="13"/>
              </w:rPr>
              <w:t>Several features contain overlapping information.</w:t>
            </w:r>
          </w:p>
        </w:tc>
        <w:tc>
          <w:tcPr>
            <w:tcW w:type="dxa" w:w="1704"/>
            <w:vAlign w:val="center"/>
            <w:tcMar>
              <w:top w:w="80" w:type="dxa"/>
              <w:start w:w="80" w:type="dxa"/>
              <w:bottom w:w="80" w:type="dxa"/>
              <w:end w:w="80" w:type="dxa"/>
            </w:tcMar>
          </w:tcPr>
          <w:p>
            <w:pPr>
              <w:spacing w:after="0"/>
            </w:pPr>
            <w:r>
              <w:rPr>
                <w:sz w:val="13"/>
              </w:rPr>
              <w:t>Use permutation importance, mutual information, regularization, or recursive feature elimination.</w:t>
            </w:r>
          </w:p>
        </w:tc>
        <w:tc>
          <w:tcPr>
            <w:tcW w:type="dxa" w:w="1704"/>
            <w:vAlign w:val="center"/>
            <w:tcMar>
              <w:top w:w="80" w:type="dxa"/>
              <w:start w:w="80" w:type="dxa"/>
              <w:bottom w:w="80" w:type="dxa"/>
              <w:end w:w="80" w:type="dxa"/>
            </w:tcMar>
          </w:tcPr>
          <w:p>
            <w:pPr>
              <w:spacing w:after="0"/>
            </w:pPr>
            <w:r>
              <w:rPr>
                <w:sz w:val="13"/>
              </w:rPr>
              <w:t>Can reduce redundancy and simplify the model.</w:t>
            </w:r>
          </w:p>
        </w:tc>
        <w:tc>
          <w:tcPr>
            <w:tcW w:type="dxa" w:w="1704"/>
            <w:vAlign w:val="center"/>
            <w:tcMar>
              <w:top w:w="80" w:type="dxa"/>
              <w:start w:w="80" w:type="dxa"/>
              <w:bottom w:w="80" w:type="dxa"/>
              <w:end w:w="80" w:type="dxa"/>
            </w:tcMar>
          </w:tcPr>
          <w:p>
            <w:pPr>
              <w:spacing w:after="0"/>
            </w:pPr>
            <w:r>
              <w:rPr>
                <w:sz w:val="13"/>
              </w:rPr>
              <w:t>Removing features may discard useful interaction information.</w:t>
            </w:r>
          </w:p>
        </w:tc>
      </w:tr>
      <w:tr>
        <w:trPr>
          <w:cantSplit/>
        </w:trPr>
        <w:tc>
          <w:tcPr>
            <w:tcW w:type="dxa" w:w="1704"/>
            <w:vAlign w:val="center"/>
            <w:tcMar>
              <w:top w:w="80" w:type="dxa"/>
              <w:start w:w="80" w:type="dxa"/>
              <w:bottom w:w="80" w:type="dxa"/>
              <w:end w:w="80" w:type="dxa"/>
            </w:tcMar>
          </w:tcPr>
          <w:p>
            <w:pPr>
              <w:spacing w:after="0"/>
            </w:pPr>
            <w:r>
              <w:rPr>
                <w:sz w:val="13"/>
              </w:rPr>
              <w:t>IM5</w:t>
            </w:r>
          </w:p>
        </w:tc>
        <w:tc>
          <w:tcPr>
            <w:tcW w:type="dxa" w:w="1704"/>
            <w:vAlign w:val="center"/>
            <w:tcMar>
              <w:top w:w="80" w:type="dxa"/>
              <w:start w:w="80" w:type="dxa"/>
              <w:bottom w:w="80" w:type="dxa"/>
              <w:end w:w="80" w:type="dxa"/>
            </w:tcMar>
          </w:tcPr>
          <w:p>
            <w:pPr>
              <w:spacing w:after="0"/>
            </w:pPr>
            <w:r>
              <w:rPr>
                <w:sz w:val="13"/>
              </w:rPr>
              <w:t>Explainable predictions</w:t>
            </w:r>
          </w:p>
        </w:tc>
        <w:tc>
          <w:tcPr>
            <w:tcW w:type="dxa" w:w="1704"/>
            <w:vAlign w:val="center"/>
            <w:tcMar>
              <w:top w:w="80" w:type="dxa"/>
              <w:start w:w="80" w:type="dxa"/>
              <w:bottom w:w="80" w:type="dxa"/>
              <w:end w:w="80" w:type="dxa"/>
            </w:tcMar>
          </w:tcPr>
          <w:p>
            <w:pPr>
              <w:spacing w:after="0"/>
            </w:pPr>
            <w:r>
              <w:rPr>
                <w:sz w:val="13"/>
              </w:rPr>
              <w:t>Global feature importance does not explain every individual customer prediction.</w:t>
            </w:r>
          </w:p>
        </w:tc>
        <w:tc>
          <w:tcPr>
            <w:tcW w:type="dxa" w:w="1704"/>
            <w:vAlign w:val="center"/>
            <w:tcMar>
              <w:top w:w="80" w:type="dxa"/>
              <w:start w:w="80" w:type="dxa"/>
              <w:bottom w:w="80" w:type="dxa"/>
              <w:end w:w="80" w:type="dxa"/>
            </w:tcMar>
          </w:tcPr>
          <w:p>
            <w:pPr>
              <w:spacing w:after="0"/>
            </w:pPr>
            <w:r>
              <w:rPr>
                <w:sz w:val="13"/>
              </w:rPr>
              <w:t>Use SHAP or local explanation methods for selected models.</w:t>
            </w:r>
          </w:p>
        </w:tc>
        <w:tc>
          <w:tcPr>
            <w:tcW w:type="dxa" w:w="1704"/>
            <w:vAlign w:val="center"/>
            <w:tcMar>
              <w:top w:w="80" w:type="dxa"/>
              <w:start w:w="80" w:type="dxa"/>
              <w:bottom w:w="80" w:type="dxa"/>
              <w:end w:w="80" w:type="dxa"/>
            </w:tcMar>
          </w:tcPr>
          <w:p>
            <w:pPr>
              <w:spacing w:after="0"/>
            </w:pPr>
            <w:r>
              <w:rPr>
                <w:sz w:val="13"/>
              </w:rPr>
              <w:t>Allows analysts to understand why an individual customer received a high-risk prediction.</w:t>
            </w:r>
          </w:p>
        </w:tc>
        <w:tc>
          <w:tcPr>
            <w:tcW w:type="dxa" w:w="1704"/>
            <w:vAlign w:val="center"/>
            <w:tcMar>
              <w:top w:w="80" w:type="dxa"/>
              <w:start w:w="80" w:type="dxa"/>
              <w:bottom w:w="80" w:type="dxa"/>
              <w:end w:w="80" w:type="dxa"/>
            </w:tcMar>
          </w:tcPr>
          <w:p>
            <w:pPr>
              <w:spacing w:after="0"/>
            </w:pPr>
            <w:r>
              <w:rPr>
                <w:sz w:val="13"/>
              </w:rPr>
              <w:t>Additional computational and interpretational complexity.</w:t>
            </w:r>
          </w:p>
        </w:tc>
      </w:tr>
      <w:tr>
        <w:trPr>
          <w:cantSplit/>
        </w:trPr>
        <w:tc>
          <w:tcPr>
            <w:tcW w:type="dxa" w:w="1704"/>
            <w:vAlign w:val="center"/>
            <w:tcMar>
              <w:top w:w="80" w:type="dxa"/>
              <w:start w:w="80" w:type="dxa"/>
              <w:bottom w:w="80" w:type="dxa"/>
              <w:end w:w="80" w:type="dxa"/>
            </w:tcMar>
          </w:tcPr>
          <w:p>
            <w:pPr>
              <w:spacing w:after="0"/>
            </w:pPr>
            <w:r>
              <w:rPr>
                <w:sz w:val="13"/>
              </w:rPr>
              <w:t>IM6</w:t>
            </w:r>
          </w:p>
        </w:tc>
        <w:tc>
          <w:tcPr>
            <w:tcW w:type="dxa" w:w="1704"/>
            <w:vAlign w:val="center"/>
            <w:tcMar>
              <w:top w:w="80" w:type="dxa"/>
              <w:start w:w="80" w:type="dxa"/>
              <w:bottom w:w="80" w:type="dxa"/>
              <w:end w:w="80" w:type="dxa"/>
            </w:tcMar>
          </w:tcPr>
          <w:p>
            <w:pPr>
              <w:spacing w:after="0"/>
            </w:pPr>
            <w:r>
              <w:rPr>
                <w:sz w:val="13"/>
              </w:rPr>
              <w:t>Segment-specific modeling</w:t>
            </w:r>
          </w:p>
        </w:tc>
        <w:tc>
          <w:tcPr>
            <w:tcW w:type="dxa" w:w="1704"/>
            <w:vAlign w:val="center"/>
            <w:tcMar>
              <w:top w:w="80" w:type="dxa"/>
              <w:start w:w="80" w:type="dxa"/>
              <w:bottom w:w="80" w:type="dxa"/>
              <w:end w:w="80" w:type="dxa"/>
            </w:tcMar>
          </w:tcPr>
          <w:p>
            <w:pPr>
              <w:spacing w:after="0"/>
            </w:pPr>
            <w:r>
              <w:rPr>
                <w:sz w:val="13"/>
              </w:rPr>
              <w:t>The two customer clusters have noticeably different profiles and churn rates.</w:t>
            </w:r>
          </w:p>
        </w:tc>
        <w:tc>
          <w:tcPr>
            <w:tcW w:type="dxa" w:w="1704"/>
            <w:vAlign w:val="center"/>
            <w:tcMar>
              <w:top w:w="80" w:type="dxa"/>
              <w:start w:w="80" w:type="dxa"/>
              <w:bottom w:w="80" w:type="dxa"/>
              <w:end w:w="80" w:type="dxa"/>
            </w:tcMar>
          </w:tcPr>
          <w:p>
            <w:pPr>
              <w:spacing w:after="0"/>
            </w:pPr>
            <w:r>
              <w:rPr>
                <w:sz w:val="13"/>
              </w:rPr>
              <w:t>Evaluate model performance and thresholds separately for each customer segment.</w:t>
            </w:r>
          </w:p>
        </w:tc>
        <w:tc>
          <w:tcPr>
            <w:tcW w:type="dxa" w:w="1704"/>
            <w:vAlign w:val="center"/>
            <w:tcMar>
              <w:top w:w="80" w:type="dxa"/>
              <w:start w:w="80" w:type="dxa"/>
              <w:bottom w:w="80" w:type="dxa"/>
              <w:end w:w="80" w:type="dxa"/>
            </w:tcMar>
          </w:tcPr>
          <w:p>
            <w:pPr>
              <w:spacing w:after="0"/>
            </w:pPr>
            <w:r>
              <w:rPr>
                <w:sz w:val="13"/>
              </w:rPr>
              <w:t>May reveal segment-specific patterns hidden by a single global model.</w:t>
            </w:r>
          </w:p>
        </w:tc>
        <w:tc>
          <w:tcPr>
            <w:tcW w:type="dxa" w:w="1704"/>
            <w:vAlign w:val="center"/>
            <w:tcMar>
              <w:top w:w="80" w:type="dxa"/>
              <w:start w:w="80" w:type="dxa"/>
              <w:bottom w:w="80" w:type="dxa"/>
              <w:end w:w="80" w:type="dxa"/>
            </w:tcMar>
          </w:tcPr>
          <w:p>
            <w:pPr>
              <w:spacing w:after="0"/>
            </w:pPr>
            <w:r>
              <w:rPr>
                <w:sz w:val="13"/>
              </w:rPr>
              <w:t>Smaller segment sample sizes can increase model variance.</w:t>
            </w:r>
          </w:p>
        </w:tc>
      </w:tr>
      <w:tr>
        <w:trPr>
          <w:cantSplit/>
        </w:trPr>
        <w:tc>
          <w:tcPr>
            <w:tcW w:type="dxa" w:w="1704"/>
            <w:vAlign w:val="center"/>
            <w:tcMar>
              <w:top w:w="80" w:type="dxa"/>
              <w:start w:w="80" w:type="dxa"/>
              <w:bottom w:w="80" w:type="dxa"/>
              <w:end w:w="80" w:type="dxa"/>
            </w:tcMar>
          </w:tcPr>
          <w:p>
            <w:pPr>
              <w:spacing w:after="0"/>
            </w:pPr>
            <w:r>
              <w:rPr>
                <w:sz w:val="13"/>
              </w:rPr>
              <w:t>IM7</w:t>
            </w:r>
          </w:p>
        </w:tc>
        <w:tc>
          <w:tcPr>
            <w:tcW w:type="dxa" w:w="1704"/>
            <w:vAlign w:val="center"/>
            <w:tcMar>
              <w:top w:w="80" w:type="dxa"/>
              <w:start w:w="80" w:type="dxa"/>
              <w:bottom w:w="80" w:type="dxa"/>
              <w:end w:w="80" w:type="dxa"/>
            </w:tcMar>
          </w:tcPr>
          <w:p>
            <w:pPr>
              <w:spacing w:after="0"/>
            </w:pPr>
            <w:r>
              <w:rPr>
                <w:sz w:val="13"/>
              </w:rPr>
              <w:t>Interaction analysis</w:t>
            </w:r>
          </w:p>
        </w:tc>
        <w:tc>
          <w:tcPr>
            <w:tcW w:type="dxa" w:w="1704"/>
            <w:vAlign w:val="center"/>
            <w:tcMar>
              <w:top w:w="80" w:type="dxa"/>
              <w:start w:w="80" w:type="dxa"/>
              <w:bottom w:w="80" w:type="dxa"/>
              <w:end w:w="80" w:type="dxa"/>
            </w:tcMar>
          </w:tcPr>
          <w:p>
            <w:pPr>
              <w:spacing w:after="0"/>
            </w:pPr>
            <w:r>
              <w:rPr>
                <w:sz w:val="13"/>
              </w:rPr>
              <w:t>The current analysis mainly evaluates individual feature contributions.</w:t>
            </w:r>
          </w:p>
        </w:tc>
        <w:tc>
          <w:tcPr>
            <w:tcW w:type="dxa" w:w="1704"/>
            <w:vAlign w:val="center"/>
            <w:tcMar>
              <w:top w:w="80" w:type="dxa"/>
              <w:start w:w="80" w:type="dxa"/>
              <w:bottom w:w="80" w:type="dxa"/>
              <w:end w:w="80" w:type="dxa"/>
            </w:tcMar>
          </w:tcPr>
          <w:p>
            <w:pPr>
              <w:spacing w:after="0"/>
            </w:pPr>
            <w:r>
              <w:rPr>
                <w:sz w:val="13"/>
              </w:rPr>
              <w:t>Test interactions such as contract × tenure, internet service × charges, and tenure × services.</w:t>
            </w:r>
          </w:p>
        </w:tc>
        <w:tc>
          <w:tcPr>
            <w:tcW w:type="dxa" w:w="1704"/>
            <w:vAlign w:val="center"/>
            <w:tcMar>
              <w:top w:w="80" w:type="dxa"/>
              <w:start w:w="80" w:type="dxa"/>
              <w:bottom w:w="80" w:type="dxa"/>
              <w:end w:w="80" w:type="dxa"/>
            </w:tcMar>
          </w:tcPr>
          <w:p>
            <w:pPr>
              <w:spacing w:after="0"/>
            </w:pPr>
            <w:r>
              <w:rPr>
                <w:sz w:val="13"/>
              </w:rPr>
              <w:t>May reveal combinations of factors associated with churn.</w:t>
            </w:r>
          </w:p>
        </w:tc>
        <w:tc>
          <w:tcPr>
            <w:tcW w:type="dxa" w:w="1704"/>
            <w:vAlign w:val="center"/>
            <w:tcMar>
              <w:top w:w="80" w:type="dxa"/>
              <w:start w:w="80" w:type="dxa"/>
              <w:bottom w:w="80" w:type="dxa"/>
              <w:end w:w="80" w:type="dxa"/>
            </w:tcMar>
          </w:tcPr>
          <w:p>
            <w:pPr>
              <w:spacing w:after="0"/>
            </w:pPr>
            <w:r>
              <w:rPr>
                <w:sz w:val="13"/>
              </w:rPr>
              <w:t>Too many interaction terms can increase complexity and overfitting risk.</w:t>
            </w:r>
          </w:p>
        </w:tc>
      </w:tr>
      <w:tr>
        <w:trPr>
          <w:cantSplit/>
        </w:trPr>
        <w:tc>
          <w:tcPr>
            <w:tcW w:type="dxa" w:w="1704"/>
            <w:vAlign w:val="center"/>
            <w:tcMar>
              <w:top w:w="80" w:type="dxa"/>
              <w:start w:w="80" w:type="dxa"/>
              <w:bottom w:w="80" w:type="dxa"/>
              <w:end w:w="80" w:type="dxa"/>
            </w:tcMar>
          </w:tcPr>
          <w:p>
            <w:pPr>
              <w:spacing w:after="0"/>
            </w:pPr>
            <w:r>
              <w:rPr>
                <w:sz w:val="13"/>
              </w:rPr>
              <w:t>IM8</w:t>
            </w:r>
          </w:p>
        </w:tc>
        <w:tc>
          <w:tcPr>
            <w:tcW w:type="dxa" w:w="1704"/>
            <w:vAlign w:val="center"/>
            <w:tcMar>
              <w:top w:w="80" w:type="dxa"/>
              <w:start w:w="80" w:type="dxa"/>
              <w:bottom w:w="80" w:type="dxa"/>
              <w:end w:w="80" w:type="dxa"/>
            </w:tcMar>
          </w:tcPr>
          <w:p>
            <w:pPr>
              <w:spacing w:after="0"/>
            </w:pPr>
            <w:r>
              <w:rPr>
                <w:sz w:val="13"/>
              </w:rPr>
              <w:t>Alternative clustering methods</w:t>
            </w:r>
          </w:p>
        </w:tc>
        <w:tc>
          <w:tcPr>
            <w:tcW w:type="dxa" w:w="1704"/>
            <w:vAlign w:val="center"/>
            <w:tcMar>
              <w:top w:w="80" w:type="dxa"/>
              <w:start w:w="80" w:type="dxa"/>
              <w:bottom w:w="80" w:type="dxa"/>
              <w:end w:w="80" w:type="dxa"/>
            </w:tcMar>
          </w:tcPr>
          <w:p>
            <w:pPr>
              <w:spacing w:after="0"/>
            </w:pPr>
            <w:r>
              <w:rPr>
                <w:sz w:val="13"/>
              </w:rPr>
              <w:t>K-Means assumes distance-based spherical-style clusters and the metrics did not agree on one K.</w:t>
            </w:r>
          </w:p>
        </w:tc>
        <w:tc>
          <w:tcPr>
            <w:tcW w:type="dxa" w:w="1704"/>
            <w:vAlign w:val="center"/>
            <w:tcMar>
              <w:top w:w="80" w:type="dxa"/>
              <w:start w:w="80" w:type="dxa"/>
              <w:bottom w:w="80" w:type="dxa"/>
              <w:end w:w="80" w:type="dxa"/>
            </w:tcMar>
          </w:tcPr>
          <w:p>
            <w:pPr>
              <w:spacing w:after="0"/>
            </w:pPr>
            <w:r>
              <w:rPr>
                <w:sz w:val="13"/>
              </w:rPr>
              <w:t>Compare K-Means with hierarchical clustering or density-based methods using suitable validation metrics.</w:t>
            </w:r>
          </w:p>
        </w:tc>
        <w:tc>
          <w:tcPr>
            <w:tcW w:type="dxa" w:w="1704"/>
            <w:vAlign w:val="center"/>
            <w:tcMar>
              <w:top w:w="80" w:type="dxa"/>
              <w:start w:w="80" w:type="dxa"/>
              <w:bottom w:w="80" w:type="dxa"/>
              <w:end w:w="80" w:type="dxa"/>
            </w:tcMar>
          </w:tcPr>
          <w:p>
            <w:pPr>
              <w:spacing w:after="0"/>
            </w:pPr>
            <w:r>
              <w:rPr>
                <w:sz w:val="13"/>
              </w:rPr>
              <w:t>May discover customer structures not represented by K-Means.</w:t>
            </w:r>
          </w:p>
        </w:tc>
        <w:tc>
          <w:tcPr>
            <w:tcW w:type="dxa" w:w="1704"/>
            <w:vAlign w:val="center"/>
            <w:tcMar>
              <w:top w:w="80" w:type="dxa"/>
              <w:start w:w="80" w:type="dxa"/>
              <w:bottom w:w="80" w:type="dxa"/>
              <w:end w:w="80" w:type="dxa"/>
            </w:tcMar>
          </w:tcPr>
          <w:p>
            <w:pPr>
              <w:spacing w:after="0"/>
            </w:pPr>
            <w:r>
              <w:rPr>
                <w:sz w:val="13"/>
              </w:rPr>
              <w:t>Different algorithms require different assumptions and tuning.</w:t>
            </w:r>
          </w:p>
        </w:tc>
      </w:tr>
    </w:tbl>
    <w:p>
      <w:pPr>
        <w:spacing w:after="120" w:line="259" w:lineRule="auto"/>
      </w:pPr>
      <w:r>
        <w:t>The improvement plan is intentionally specific. It does not merely state that the model can be improved; it identifies the current limitation, the implementation route, the expected benefit, and the trade-off. The strongest next steps are probability calibration, cost-sensitive threshold selection, stronger nonlinear models, feature selection, explainable predictions, interaction analysis, segment-specific modeling, and alternative clustering algorithms.</w:t>
      </w:r>
    </w:p>
    <w:p>
      <w:pPr>
        <w:pStyle w:val="Heading2"/>
        <w:spacing w:before="120" w:after="100"/>
      </w:pPr>
      <w:r>
        <w:t>11.4 Further Analysis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5"/>
              </w:rPr>
              <w:t>Area</w:t>
            </w:r>
          </w:p>
        </w:tc>
        <w:tc>
          <w:tcPr>
            <w:tcW w:type="dxa" w:w="3408"/>
            <w:vAlign w:val="center"/>
            <w:tcMar>
              <w:top w:w="80" w:type="dxa"/>
              <w:start w:w="80" w:type="dxa"/>
              <w:bottom w:w="80" w:type="dxa"/>
              <w:end w:w="80" w:type="dxa"/>
            </w:tcMar>
            <w:shd w:fill="D9E2F3"/>
          </w:tcPr>
          <w:p>
            <w:pPr>
              <w:spacing w:after="0"/>
            </w:pPr>
            <w:r>
              <w:rPr>
                <w:b/>
                <w:sz w:val="15"/>
              </w:rPr>
              <w:t>Why</w:t>
            </w:r>
          </w:p>
        </w:tc>
        <w:tc>
          <w:tcPr>
            <w:tcW w:type="dxa" w:w="3408"/>
            <w:vAlign w:val="center"/>
            <w:tcMar>
              <w:top w:w="80" w:type="dxa"/>
              <w:start w:w="80" w:type="dxa"/>
              <w:bottom w:w="80" w:type="dxa"/>
              <w:end w:w="80" w:type="dxa"/>
            </w:tcMar>
            <w:shd w:fill="D9E2F3"/>
          </w:tcPr>
          <w:p>
            <w:pPr>
              <w:spacing w:after="0"/>
            </w:pPr>
            <w:r>
              <w:rPr>
                <w:b/>
                <w:sz w:val="15"/>
              </w:rPr>
              <w:t>Proposed_Method</w:t>
            </w:r>
          </w:p>
        </w:tc>
      </w:tr>
      <w:tr>
        <w:trPr>
          <w:cantSplit/>
        </w:trPr>
        <w:tc>
          <w:tcPr>
            <w:tcW w:type="dxa" w:w="3408"/>
            <w:vAlign w:val="center"/>
            <w:tcMar>
              <w:top w:w="80" w:type="dxa"/>
              <w:start w:w="80" w:type="dxa"/>
              <w:bottom w:w="80" w:type="dxa"/>
              <w:end w:w="80" w:type="dxa"/>
            </w:tcMar>
          </w:tcPr>
          <w:p>
            <w:pPr>
              <w:spacing w:after="0"/>
            </w:pPr>
            <w:r>
              <w:rPr>
                <w:sz w:val="15"/>
              </w:rPr>
              <w:t>Threshold optimization</w:t>
            </w:r>
          </w:p>
        </w:tc>
        <w:tc>
          <w:tcPr>
            <w:tcW w:type="dxa" w:w="3408"/>
            <w:vAlign w:val="center"/>
            <w:tcMar>
              <w:top w:w="80" w:type="dxa"/>
              <w:start w:w="80" w:type="dxa"/>
              <w:bottom w:w="80" w:type="dxa"/>
              <w:end w:w="80" w:type="dxa"/>
            </w:tcMar>
          </w:tcPr>
          <w:p>
            <w:pPr>
              <w:spacing w:after="0"/>
            </w:pPr>
            <w:r>
              <w:rPr>
                <w:sz w:val="15"/>
              </w:rPr>
              <w:t>False negatives and false positives may have different costs.</w:t>
            </w:r>
          </w:p>
        </w:tc>
        <w:tc>
          <w:tcPr>
            <w:tcW w:type="dxa" w:w="3408"/>
            <w:vAlign w:val="center"/>
            <w:tcMar>
              <w:top w:w="80" w:type="dxa"/>
              <w:start w:w="80" w:type="dxa"/>
              <w:bottom w:w="80" w:type="dxa"/>
              <w:end w:w="80" w:type="dxa"/>
            </w:tcMar>
          </w:tcPr>
          <w:p>
            <w:pPr>
              <w:spacing w:after="0"/>
            </w:pPr>
            <w:r>
              <w:rPr>
                <w:sz w:val="15"/>
              </w:rPr>
              <w:t>Select the threshold using explicit operational costs.</w:t>
            </w:r>
          </w:p>
        </w:tc>
      </w:tr>
      <w:tr>
        <w:trPr>
          <w:cantSplit/>
        </w:trPr>
        <w:tc>
          <w:tcPr>
            <w:tcW w:type="dxa" w:w="3408"/>
            <w:vAlign w:val="center"/>
            <w:tcMar>
              <w:top w:w="80" w:type="dxa"/>
              <w:start w:w="80" w:type="dxa"/>
              <w:bottom w:w="80" w:type="dxa"/>
              <w:end w:w="80" w:type="dxa"/>
            </w:tcMar>
          </w:tcPr>
          <w:p>
            <w:pPr>
              <w:spacing w:after="0"/>
            </w:pPr>
            <w:r>
              <w:rPr>
                <w:sz w:val="15"/>
              </w:rPr>
              <w:t>Probability calibration</w:t>
            </w:r>
          </w:p>
        </w:tc>
        <w:tc>
          <w:tcPr>
            <w:tcW w:type="dxa" w:w="3408"/>
            <w:vAlign w:val="center"/>
            <w:tcMar>
              <w:top w:w="80" w:type="dxa"/>
              <w:start w:w="80" w:type="dxa"/>
              <w:bottom w:w="80" w:type="dxa"/>
              <w:end w:w="80" w:type="dxa"/>
            </w:tcMar>
          </w:tcPr>
          <w:p>
            <w:pPr>
              <w:spacing w:after="0"/>
            </w:pPr>
            <w:r>
              <w:rPr>
                <w:sz w:val="15"/>
              </w:rPr>
              <w:t>Predicted probabilities may be used to prioritize outreach.</w:t>
            </w:r>
          </w:p>
        </w:tc>
        <w:tc>
          <w:tcPr>
            <w:tcW w:type="dxa" w:w="3408"/>
            <w:vAlign w:val="center"/>
            <w:tcMar>
              <w:top w:w="80" w:type="dxa"/>
              <w:start w:w="80" w:type="dxa"/>
              <w:bottom w:w="80" w:type="dxa"/>
              <w:end w:w="80" w:type="dxa"/>
            </w:tcMar>
          </w:tcPr>
          <w:p>
            <w:pPr>
              <w:spacing w:after="0"/>
            </w:pPr>
            <w:r>
              <w:rPr>
                <w:sz w:val="15"/>
              </w:rPr>
              <w:t>Evaluate calibration curves and Brier score.</w:t>
            </w:r>
          </w:p>
        </w:tc>
      </w:tr>
      <w:tr>
        <w:trPr>
          <w:cantSplit/>
        </w:trPr>
        <w:tc>
          <w:tcPr>
            <w:tcW w:type="dxa" w:w="3408"/>
            <w:vAlign w:val="center"/>
            <w:tcMar>
              <w:top w:w="80" w:type="dxa"/>
              <w:start w:w="80" w:type="dxa"/>
              <w:bottom w:w="80" w:type="dxa"/>
              <w:end w:w="80" w:type="dxa"/>
            </w:tcMar>
          </w:tcPr>
          <w:p>
            <w:pPr>
              <w:spacing w:after="0"/>
            </w:pPr>
            <w:r>
              <w:rPr>
                <w:sz w:val="15"/>
              </w:rPr>
              <w:t>Interaction effects</w:t>
            </w:r>
          </w:p>
        </w:tc>
        <w:tc>
          <w:tcPr>
            <w:tcW w:type="dxa" w:w="3408"/>
            <w:vAlign w:val="center"/>
            <w:tcMar>
              <w:top w:w="80" w:type="dxa"/>
              <w:start w:w="80" w:type="dxa"/>
              <w:bottom w:w="80" w:type="dxa"/>
              <w:end w:w="80" w:type="dxa"/>
            </w:tcMar>
          </w:tcPr>
          <w:p>
            <w:pPr>
              <w:spacing w:after="0"/>
            </w:pPr>
            <w:r>
              <w:rPr>
                <w:sz w:val="15"/>
              </w:rPr>
              <w:t>Contract, tenure, service type, and charges may interact.</w:t>
            </w:r>
          </w:p>
        </w:tc>
        <w:tc>
          <w:tcPr>
            <w:tcW w:type="dxa" w:w="3408"/>
            <w:vAlign w:val="center"/>
            <w:tcMar>
              <w:top w:w="80" w:type="dxa"/>
              <w:start w:w="80" w:type="dxa"/>
              <w:bottom w:w="80" w:type="dxa"/>
              <w:end w:w="80" w:type="dxa"/>
            </w:tcMar>
          </w:tcPr>
          <w:p>
            <w:pPr>
              <w:spacing w:after="0"/>
            </w:pPr>
            <w:r>
              <w:rPr>
                <w:sz w:val="15"/>
              </w:rPr>
              <w:t>Test interactions or nonlinear models using cross-validation.</w:t>
            </w:r>
          </w:p>
        </w:tc>
      </w:tr>
      <w:tr>
        <w:trPr>
          <w:cantSplit/>
        </w:trPr>
        <w:tc>
          <w:tcPr>
            <w:tcW w:type="dxa" w:w="3408"/>
            <w:vAlign w:val="center"/>
            <w:tcMar>
              <w:top w:w="80" w:type="dxa"/>
              <w:start w:w="80" w:type="dxa"/>
              <w:bottom w:w="80" w:type="dxa"/>
              <w:end w:w="80" w:type="dxa"/>
            </w:tcMar>
          </w:tcPr>
          <w:p>
            <w:pPr>
              <w:spacing w:after="0"/>
            </w:pPr>
            <w:r>
              <w:rPr>
                <w:sz w:val="15"/>
              </w:rPr>
              <w:t>Explainability</w:t>
            </w:r>
          </w:p>
        </w:tc>
        <w:tc>
          <w:tcPr>
            <w:tcW w:type="dxa" w:w="3408"/>
            <w:vAlign w:val="center"/>
            <w:tcMar>
              <w:top w:w="80" w:type="dxa"/>
              <w:start w:w="80" w:type="dxa"/>
              <w:bottom w:w="80" w:type="dxa"/>
              <w:end w:w="80" w:type="dxa"/>
            </w:tcMar>
          </w:tcPr>
          <w:p>
            <w:pPr>
              <w:spacing w:after="0"/>
            </w:pPr>
            <w:r>
              <w:rPr>
                <w:sz w:val="15"/>
              </w:rPr>
              <w:t>Operational users may need explanations for predictions.</w:t>
            </w:r>
          </w:p>
        </w:tc>
        <w:tc>
          <w:tcPr>
            <w:tcW w:type="dxa" w:w="3408"/>
            <w:vAlign w:val="center"/>
            <w:tcMar>
              <w:top w:w="80" w:type="dxa"/>
              <w:start w:w="80" w:type="dxa"/>
              <w:bottom w:w="80" w:type="dxa"/>
              <w:end w:w="80" w:type="dxa"/>
            </w:tcMar>
          </w:tcPr>
          <w:p>
            <w:pPr>
              <w:spacing w:after="0"/>
            </w:pPr>
            <w:r>
              <w:rPr>
                <w:sz w:val="15"/>
              </w:rPr>
              <w:t>Evaluate permutation importance or SHAP.</w:t>
            </w:r>
          </w:p>
        </w:tc>
      </w:tr>
      <w:tr>
        <w:trPr>
          <w:cantSplit/>
        </w:trPr>
        <w:tc>
          <w:tcPr>
            <w:tcW w:type="dxa" w:w="3408"/>
            <w:vAlign w:val="center"/>
            <w:tcMar>
              <w:top w:w="80" w:type="dxa"/>
              <w:start w:w="80" w:type="dxa"/>
              <w:bottom w:w="80" w:type="dxa"/>
              <w:end w:w="80" w:type="dxa"/>
            </w:tcMar>
          </w:tcPr>
          <w:p>
            <w:pPr>
              <w:spacing w:after="0"/>
            </w:pPr>
            <w:r>
              <w:rPr>
                <w:sz w:val="15"/>
              </w:rPr>
              <w:t>Segment-specific analysis</w:t>
            </w:r>
          </w:p>
        </w:tc>
        <w:tc>
          <w:tcPr>
            <w:tcW w:type="dxa" w:w="3408"/>
            <w:vAlign w:val="center"/>
            <w:tcMar>
              <w:top w:w="80" w:type="dxa"/>
              <w:start w:w="80" w:type="dxa"/>
              <w:bottom w:w="80" w:type="dxa"/>
              <w:end w:w="80" w:type="dxa"/>
            </w:tcMar>
          </w:tcPr>
          <w:p>
            <w:pPr>
              <w:spacing w:after="0"/>
            </w:pPr>
            <w:r>
              <w:rPr>
                <w:sz w:val="15"/>
              </w:rPr>
              <w:t>The two customer clusters have different profiles.</w:t>
            </w:r>
          </w:p>
        </w:tc>
        <w:tc>
          <w:tcPr>
            <w:tcW w:type="dxa" w:w="3408"/>
            <w:vAlign w:val="center"/>
            <w:tcMar>
              <w:top w:w="80" w:type="dxa"/>
              <w:start w:w="80" w:type="dxa"/>
              <w:bottom w:w="80" w:type="dxa"/>
              <w:end w:w="80" w:type="dxa"/>
            </w:tcMar>
          </w:tcPr>
          <w:p>
            <w:pPr>
              <w:spacing w:after="0"/>
            </w:pPr>
            <w:r>
              <w:rPr>
                <w:sz w:val="15"/>
              </w:rPr>
              <w:t>Test segment-specific thresholds or models.</w:t>
            </w:r>
          </w:p>
        </w:tc>
      </w:tr>
      <w:tr>
        <w:trPr>
          <w:cantSplit/>
        </w:trPr>
        <w:tc>
          <w:tcPr>
            <w:tcW w:type="dxa" w:w="3408"/>
            <w:vAlign w:val="center"/>
            <w:tcMar>
              <w:top w:w="80" w:type="dxa"/>
              <w:start w:w="80" w:type="dxa"/>
              <w:bottom w:w="80" w:type="dxa"/>
              <w:end w:w="80" w:type="dxa"/>
            </w:tcMar>
          </w:tcPr>
          <w:p>
            <w:pPr>
              <w:spacing w:after="0"/>
            </w:pPr>
            <w:r>
              <w:rPr>
                <w:sz w:val="15"/>
              </w:rPr>
              <w:t>Cost-sensitive modeling</w:t>
            </w:r>
          </w:p>
        </w:tc>
        <w:tc>
          <w:tcPr>
            <w:tcW w:type="dxa" w:w="3408"/>
            <w:vAlign w:val="center"/>
            <w:tcMar>
              <w:top w:w="80" w:type="dxa"/>
              <w:start w:w="80" w:type="dxa"/>
              <w:bottom w:w="80" w:type="dxa"/>
              <w:end w:w="80" w:type="dxa"/>
            </w:tcMar>
          </w:tcPr>
          <w:p>
            <w:pPr>
              <w:spacing w:after="0"/>
            </w:pPr>
            <w:r>
              <w:rPr>
                <w:sz w:val="15"/>
              </w:rPr>
              <w:t>Missed churn and unnecessary outreach can have different costs.</w:t>
            </w:r>
          </w:p>
        </w:tc>
        <w:tc>
          <w:tcPr>
            <w:tcW w:type="dxa" w:w="3408"/>
            <w:vAlign w:val="center"/>
            <w:tcMar>
              <w:top w:w="80" w:type="dxa"/>
              <w:start w:w="80" w:type="dxa"/>
              <w:bottom w:w="80" w:type="dxa"/>
              <w:end w:w="80" w:type="dxa"/>
            </w:tcMar>
          </w:tcPr>
          <w:p>
            <w:pPr>
              <w:spacing w:after="0"/>
            </w:pPr>
            <w:r>
              <w:rPr>
                <w:sz w:val="15"/>
              </w:rPr>
              <w:t>Define a cost matrix and compare models using expected cost.</w:t>
            </w:r>
          </w:p>
        </w:tc>
      </w:tr>
    </w:tbl>
    <w:p>
      <w:pPr>
        <w:pStyle w:val="Heading1"/>
        <w:spacing w:before="200" w:after="100"/>
      </w:pPr>
      <w:r>
        <w:t>12. Critical Discussion and Reflection</w:t>
      </w:r>
    </w:p>
    <w:p>
      <w:pPr>
        <w:spacing w:after="120" w:line="259" w:lineRule="auto"/>
      </w:pPr>
      <w:r>
        <w:t>The project demonstrates that customer churn is not captured by one variable or one model. The EDA stage revealed strong group-level patterns, but the error analysis showed that individual prediction remains uncertain, especially in groups that resemble the typical churn profile. This distinction is important: a variable can be highly associated with churn at the group level while still being insufficient to classify every customer correctly.</w:t>
      </w:r>
    </w:p>
    <w:p>
      <w:pPr>
        <w:spacing w:after="120" w:line="259" w:lineRule="auto"/>
      </w:pPr>
      <w:r>
        <w:t>The clustering stage also illustrates the importance of methodological judgment. K=2 was not selected because every metric agreed; Davies-Bouldin preferred K=8. Instead, the choice relied on two criteria supporting K=2 plus the interpretability and size of the resulting segments. Reporting the disagreement strengthens the methodological transparency of the project.</w:t>
      </w:r>
    </w:p>
    <w:p>
      <w:pPr>
        <w:spacing w:after="120" w:line="259" w:lineRule="auto"/>
      </w:pPr>
      <w:r>
        <w:t>Model validation similarly shows why a single test score is insufficient. The tuned Logistic Regression improved minority-class recall through class weighting but reduced accuracy and precision. Threshold analysis demonstrated that changing the operating point changes the balance between false positives and false negatives. A real deployment would therefore require an explicit decision cost framework rather than an arbitrary threshold.</w:t>
      </w:r>
    </w:p>
    <w:p>
      <w:pPr>
        <w:spacing w:after="120" w:line="259" w:lineRule="auto"/>
      </w:pPr>
      <w:r>
        <w:t>The project also has a meaningful computational advantage: the selected methods are lightweight enough to train on a standard CPU environment. This makes the workflow reproducible without requiring specialized hardware, while future experiments with boosting, explainability, or calibration can be added incrementally.</w:t>
      </w:r>
    </w:p>
    <w:p>
      <w:pPr>
        <w:pStyle w:val="Heading1"/>
        <w:spacing w:before="200" w:after="100"/>
      </w:pPr>
      <w:r>
        <w:t>13. Conclusion</w:t>
      </w:r>
    </w:p>
    <w:p>
      <w:pPr>
        <w:spacing w:after="120" w:line="259" w:lineRule="auto"/>
      </w:pPr>
      <w:r>
        <w:t>This capstone successfully implemented a complete Python data science pipeline for customer churn analysis, segmentation, and prediction. The project moved from raw public data through validation, EDA, feature engineering, unsupervised clustering, supervised classification, cross-validation, hyperparameter tuning, threshold analysis, error analysis, and actionable recommendations.</w:t>
      </w:r>
    </w:p>
    <w:p>
      <w:pPr>
        <w:spacing w:after="120" w:line="259" w:lineRule="auto"/>
      </w:pPr>
      <w:r>
        <w:t>The strongest evidence from the dataset points to customer lifecycle, contract structure, internet service, payment method, service adoption, and monthly charges as important churn-related dimensions. The modeling results demonstrate that useful predictive signal exists, while the error analysis shows that a meaningful number of customers remain difficult to classify. The final report therefore presents the project not as a perfect predictor, but as a structured decision-support workflow with explicit uncertainty, limitations, and improvement paths.</w:t>
      </w:r>
    </w:p>
    <w:p>
      <w:pPr>
        <w:pStyle w:val="Heading1"/>
        <w:spacing w:before="200" w:after="100"/>
      </w:pPr>
      <w:r>
        <w:t>14. Reproducibility and Project Files</w:t>
      </w:r>
    </w:p>
    <w:p>
      <w:pPr>
        <w:spacing w:after="120" w:line="259" w:lineRule="auto"/>
      </w:pPr>
      <w:r>
        <w:t>The project is organized to preserve raw data, cleaned data, EDA evidence, segmentation results, model-validation outputs, error-analysis outputs, insights, and reflection materials. The notebook contains the executable workflow, while the generated CSV and PNG files provide evidence that can be reused in the report or reviewed independently.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6"/>
              </w:rPr>
              <w:t>Stage</w:t>
            </w:r>
          </w:p>
        </w:tc>
        <w:tc>
          <w:tcPr>
            <w:tcW w:type="dxa" w:w="5112"/>
            <w:vAlign w:val="center"/>
            <w:tcMar>
              <w:top w:w="80" w:type="dxa"/>
              <w:start w:w="80" w:type="dxa"/>
              <w:bottom w:w="80" w:type="dxa"/>
              <w:end w:w="80" w:type="dxa"/>
            </w:tcMar>
            <w:shd w:fill="D9E2F3"/>
          </w:tcPr>
          <w:p>
            <w:pPr>
              <w:spacing w:after="0"/>
            </w:pPr>
            <w:r>
              <w:rPr>
                <w:b/>
                <w:sz w:val="16"/>
              </w:rPr>
              <w:t>Output location</w:t>
            </w:r>
          </w:p>
        </w:tc>
      </w:tr>
      <w:tr>
        <w:trPr>
          <w:cantSplit/>
        </w:trPr>
        <w:tc>
          <w:tcPr>
            <w:tcW w:type="dxa" w:w="5112"/>
            <w:vAlign w:val="center"/>
            <w:tcMar>
              <w:top w:w="80" w:type="dxa"/>
              <w:start w:w="80" w:type="dxa"/>
              <w:bottom w:w="80" w:type="dxa"/>
              <w:end w:w="80" w:type="dxa"/>
            </w:tcMar>
          </w:tcPr>
          <w:p>
            <w:pPr>
              <w:spacing w:after="0"/>
            </w:pPr>
            <w:r>
              <w:rPr>
                <w:sz w:val="16"/>
              </w:rPr>
              <w:t>Raw data</w:t>
            </w:r>
          </w:p>
        </w:tc>
        <w:tc>
          <w:tcPr>
            <w:tcW w:type="dxa" w:w="5112"/>
            <w:vAlign w:val="center"/>
            <w:tcMar>
              <w:top w:w="80" w:type="dxa"/>
              <w:start w:w="80" w:type="dxa"/>
              <w:bottom w:w="80" w:type="dxa"/>
              <w:end w:w="80" w:type="dxa"/>
            </w:tcMar>
          </w:tcPr>
          <w:p>
            <w:pPr>
              <w:spacing w:after="0"/>
            </w:pPr>
            <w:r>
              <w:rPr>
                <w:sz w:val="16"/>
              </w:rPr>
              <w:t>week-6/Telco-Customer-Churn.csv</w:t>
            </w:r>
          </w:p>
        </w:tc>
      </w:tr>
      <w:tr>
        <w:trPr>
          <w:cantSplit/>
        </w:trPr>
        <w:tc>
          <w:tcPr>
            <w:tcW w:type="dxa" w:w="5112"/>
            <w:vAlign w:val="center"/>
            <w:tcMar>
              <w:top w:w="80" w:type="dxa"/>
              <w:start w:w="80" w:type="dxa"/>
              <w:bottom w:w="80" w:type="dxa"/>
              <w:end w:w="80" w:type="dxa"/>
            </w:tcMar>
          </w:tcPr>
          <w:p>
            <w:pPr>
              <w:spacing w:after="0"/>
            </w:pPr>
            <w:r>
              <w:rPr>
                <w:sz w:val="16"/>
              </w:rPr>
              <w:t>Cleaning</w:t>
            </w:r>
          </w:p>
        </w:tc>
        <w:tc>
          <w:tcPr>
            <w:tcW w:type="dxa" w:w="5112"/>
            <w:vAlign w:val="center"/>
            <w:tcMar>
              <w:top w:w="80" w:type="dxa"/>
              <w:start w:w="80" w:type="dxa"/>
              <w:bottom w:w="80" w:type="dxa"/>
              <w:end w:w="80" w:type="dxa"/>
            </w:tcMar>
          </w:tcPr>
          <w:p>
            <w:pPr>
              <w:spacing w:after="0"/>
            </w:pPr>
            <w:r>
              <w:rPr>
                <w:sz w:val="16"/>
              </w:rPr>
              <w:t>week-6/Telco-Customer-Churn-Cleaned.csv</w:t>
            </w:r>
          </w:p>
        </w:tc>
      </w:tr>
      <w:tr>
        <w:trPr>
          <w:cantSplit/>
        </w:trPr>
        <w:tc>
          <w:tcPr>
            <w:tcW w:type="dxa" w:w="5112"/>
            <w:vAlign w:val="center"/>
            <w:tcMar>
              <w:top w:w="80" w:type="dxa"/>
              <w:start w:w="80" w:type="dxa"/>
              <w:bottom w:w="80" w:type="dxa"/>
              <w:end w:w="80" w:type="dxa"/>
            </w:tcMar>
          </w:tcPr>
          <w:p>
            <w:pPr>
              <w:spacing w:after="0"/>
            </w:pPr>
            <w:r>
              <w:rPr>
                <w:sz w:val="16"/>
              </w:rPr>
              <w:t>EDA</w:t>
            </w:r>
          </w:p>
        </w:tc>
        <w:tc>
          <w:tcPr>
            <w:tcW w:type="dxa" w:w="5112"/>
            <w:vAlign w:val="center"/>
            <w:tcMar>
              <w:top w:w="80" w:type="dxa"/>
              <w:start w:w="80" w:type="dxa"/>
              <w:bottom w:w="80" w:type="dxa"/>
              <w:end w:w="80" w:type="dxa"/>
            </w:tcMar>
          </w:tcPr>
          <w:p>
            <w:pPr>
              <w:spacing w:after="0"/>
            </w:pPr>
            <w:r>
              <w:rPr>
                <w:sz w:val="16"/>
              </w:rPr>
              <w:t>week-6/EDA_Outputs/</w:t>
            </w:r>
          </w:p>
        </w:tc>
      </w:tr>
      <w:tr>
        <w:trPr>
          <w:cantSplit/>
        </w:trPr>
        <w:tc>
          <w:tcPr>
            <w:tcW w:type="dxa" w:w="5112"/>
            <w:vAlign w:val="center"/>
            <w:tcMar>
              <w:top w:w="80" w:type="dxa"/>
              <w:start w:w="80" w:type="dxa"/>
              <w:bottom w:w="80" w:type="dxa"/>
              <w:end w:w="80" w:type="dxa"/>
            </w:tcMar>
          </w:tcPr>
          <w:p>
            <w:pPr>
              <w:spacing w:after="0"/>
            </w:pPr>
            <w:r>
              <w:rPr>
                <w:sz w:val="16"/>
              </w:rPr>
              <w:t>Feature engineering</w:t>
            </w:r>
          </w:p>
        </w:tc>
        <w:tc>
          <w:tcPr>
            <w:tcW w:type="dxa" w:w="5112"/>
            <w:vAlign w:val="center"/>
            <w:tcMar>
              <w:top w:w="80" w:type="dxa"/>
              <w:start w:w="80" w:type="dxa"/>
              <w:bottom w:w="80" w:type="dxa"/>
              <w:end w:w="80" w:type="dxa"/>
            </w:tcMar>
          </w:tcPr>
          <w:p>
            <w:pPr>
              <w:spacing w:after="0"/>
            </w:pPr>
            <w:r>
              <w:rPr>
                <w:sz w:val="16"/>
              </w:rPr>
              <w:t>week-6/Feature_Engineering_Outputs/</w:t>
            </w:r>
          </w:p>
        </w:tc>
      </w:tr>
      <w:tr>
        <w:trPr>
          <w:cantSplit/>
        </w:trPr>
        <w:tc>
          <w:tcPr>
            <w:tcW w:type="dxa" w:w="5112"/>
            <w:vAlign w:val="center"/>
            <w:tcMar>
              <w:top w:w="80" w:type="dxa"/>
              <w:start w:w="80" w:type="dxa"/>
              <w:bottom w:w="80" w:type="dxa"/>
              <w:end w:w="80" w:type="dxa"/>
            </w:tcMar>
          </w:tcPr>
          <w:p>
            <w:pPr>
              <w:spacing w:after="0"/>
            </w:pPr>
            <w:r>
              <w:rPr>
                <w:sz w:val="16"/>
              </w:rPr>
              <w:t>Segmentation</w:t>
            </w:r>
          </w:p>
        </w:tc>
        <w:tc>
          <w:tcPr>
            <w:tcW w:type="dxa" w:w="5112"/>
            <w:vAlign w:val="center"/>
            <w:tcMar>
              <w:top w:w="80" w:type="dxa"/>
              <w:start w:w="80" w:type="dxa"/>
              <w:bottom w:w="80" w:type="dxa"/>
              <w:end w:w="80" w:type="dxa"/>
            </w:tcMar>
          </w:tcPr>
          <w:p>
            <w:pPr>
              <w:spacing w:after="0"/>
            </w:pPr>
            <w:r>
              <w:rPr>
                <w:sz w:val="16"/>
              </w:rPr>
              <w:t>week-6/Segmentation_Outputs/</w:t>
            </w:r>
          </w:p>
        </w:tc>
      </w:tr>
      <w:tr>
        <w:trPr>
          <w:cantSplit/>
        </w:trPr>
        <w:tc>
          <w:tcPr>
            <w:tcW w:type="dxa" w:w="5112"/>
            <w:vAlign w:val="center"/>
            <w:tcMar>
              <w:top w:w="80" w:type="dxa"/>
              <w:start w:w="80" w:type="dxa"/>
              <w:bottom w:w="80" w:type="dxa"/>
              <w:end w:w="80" w:type="dxa"/>
            </w:tcMar>
          </w:tcPr>
          <w:p>
            <w:pPr>
              <w:spacing w:after="0"/>
            </w:pPr>
            <w:r>
              <w:rPr>
                <w:sz w:val="16"/>
              </w:rPr>
              <w:t>Prediction</w:t>
            </w:r>
          </w:p>
        </w:tc>
        <w:tc>
          <w:tcPr>
            <w:tcW w:type="dxa" w:w="5112"/>
            <w:vAlign w:val="center"/>
            <w:tcMar>
              <w:top w:w="80" w:type="dxa"/>
              <w:start w:w="80" w:type="dxa"/>
              <w:bottom w:w="80" w:type="dxa"/>
              <w:end w:w="80" w:type="dxa"/>
            </w:tcMar>
          </w:tcPr>
          <w:p>
            <w:pPr>
              <w:spacing w:after="0"/>
            </w:pPr>
            <w:r>
              <w:rPr>
                <w:sz w:val="16"/>
              </w:rPr>
              <w:t>week-6/Churn_Prediction_Outputs/</w:t>
            </w:r>
          </w:p>
        </w:tc>
      </w:tr>
      <w:tr>
        <w:trPr>
          <w:cantSplit/>
        </w:trPr>
        <w:tc>
          <w:tcPr>
            <w:tcW w:type="dxa" w:w="5112"/>
            <w:vAlign w:val="center"/>
            <w:tcMar>
              <w:top w:w="80" w:type="dxa"/>
              <w:start w:w="80" w:type="dxa"/>
              <w:bottom w:w="80" w:type="dxa"/>
              <w:end w:w="80" w:type="dxa"/>
            </w:tcMar>
          </w:tcPr>
          <w:p>
            <w:pPr>
              <w:spacing w:after="0"/>
            </w:pPr>
            <w:r>
              <w:rPr>
                <w:sz w:val="16"/>
              </w:rPr>
              <w:t>Validation</w:t>
            </w:r>
          </w:p>
        </w:tc>
        <w:tc>
          <w:tcPr>
            <w:tcW w:type="dxa" w:w="5112"/>
            <w:vAlign w:val="center"/>
            <w:tcMar>
              <w:top w:w="80" w:type="dxa"/>
              <w:start w:w="80" w:type="dxa"/>
              <w:bottom w:w="80" w:type="dxa"/>
              <w:end w:w="80" w:type="dxa"/>
            </w:tcMar>
          </w:tcPr>
          <w:p>
            <w:pPr>
              <w:spacing w:after="0"/>
            </w:pPr>
            <w:r>
              <w:rPr>
                <w:sz w:val="16"/>
              </w:rPr>
              <w:t>week-6/Model_Validation_Outputs/</w:t>
            </w:r>
          </w:p>
        </w:tc>
      </w:tr>
      <w:tr>
        <w:trPr>
          <w:cantSplit/>
        </w:trPr>
        <w:tc>
          <w:tcPr>
            <w:tcW w:type="dxa" w:w="5112"/>
            <w:vAlign w:val="center"/>
            <w:tcMar>
              <w:top w:w="80" w:type="dxa"/>
              <w:start w:w="80" w:type="dxa"/>
              <w:bottom w:w="80" w:type="dxa"/>
              <w:end w:w="80" w:type="dxa"/>
            </w:tcMar>
          </w:tcPr>
          <w:p>
            <w:pPr>
              <w:spacing w:after="0"/>
            </w:pPr>
            <w:r>
              <w:rPr>
                <w:sz w:val="16"/>
              </w:rPr>
              <w:t>Error analysis</w:t>
            </w:r>
          </w:p>
        </w:tc>
        <w:tc>
          <w:tcPr>
            <w:tcW w:type="dxa" w:w="5112"/>
            <w:vAlign w:val="center"/>
            <w:tcMar>
              <w:top w:w="80" w:type="dxa"/>
              <w:start w:w="80" w:type="dxa"/>
              <w:bottom w:w="80" w:type="dxa"/>
              <w:end w:w="80" w:type="dxa"/>
            </w:tcMar>
          </w:tcPr>
          <w:p>
            <w:pPr>
              <w:spacing w:after="0"/>
            </w:pPr>
            <w:r>
              <w:rPr>
                <w:sz w:val="16"/>
              </w:rPr>
              <w:t>week-6/Error_Analysis_Outputs/</w:t>
            </w:r>
          </w:p>
        </w:tc>
      </w:tr>
      <w:tr>
        <w:trPr>
          <w:cantSplit/>
        </w:trPr>
        <w:tc>
          <w:tcPr>
            <w:tcW w:type="dxa" w:w="5112"/>
            <w:vAlign w:val="center"/>
            <w:tcMar>
              <w:top w:w="80" w:type="dxa"/>
              <w:start w:w="80" w:type="dxa"/>
              <w:bottom w:w="80" w:type="dxa"/>
              <w:end w:w="80" w:type="dxa"/>
            </w:tcMar>
          </w:tcPr>
          <w:p>
            <w:pPr>
              <w:spacing w:after="0"/>
            </w:pPr>
            <w:r>
              <w:rPr>
                <w:sz w:val="16"/>
              </w:rPr>
              <w:t>Insights</w:t>
            </w:r>
          </w:p>
        </w:tc>
        <w:tc>
          <w:tcPr>
            <w:tcW w:type="dxa" w:w="5112"/>
            <w:vAlign w:val="center"/>
            <w:tcMar>
              <w:top w:w="80" w:type="dxa"/>
              <w:start w:w="80" w:type="dxa"/>
              <w:bottom w:w="80" w:type="dxa"/>
              <w:end w:w="80" w:type="dxa"/>
            </w:tcMar>
          </w:tcPr>
          <w:p>
            <w:pPr>
              <w:spacing w:after="0"/>
            </w:pPr>
            <w:r>
              <w:rPr>
                <w:sz w:val="16"/>
              </w:rPr>
              <w:t>week-6/Insights_Outputs/</w:t>
            </w:r>
          </w:p>
        </w:tc>
      </w:tr>
      <w:tr>
        <w:trPr>
          <w:cantSplit/>
        </w:trPr>
        <w:tc>
          <w:tcPr>
            <w:tcW w:type="dxa" w:w="5112"/>
            <w:vAlign w:val="center"/>
            <w:tcMar>
              <w:top w:w="80" w:type="dxa"/>
              <w:start w:w="80" w:type="dxa"/>
              <w:bottom w:w="80" w:type="dxa"/>
              <w:end w:w="80" w:type="dxa"/>
            </w:tcMar>
          </w:tcPr>
          <w:p>
            <w:pPr>
              <w:spacing w:after="0"/>
            </w:pPr>
            <w:r>
              <w:rPr>
                <w:sz w:val="16"/>
              </w:rPr>
              <w:t>Reflection</w:t>
            </w:r>
          </w:p>
        </w:tc>
        <w:tc>
          <w:tcPr>
            <w:tcW w:type="dxa" w:w="5112"/>
            <w:vAlign w:val="center"/>
            <w:tcMar>
              <w:top w:w="80" w:type="dxa"/>
              <w:start w:w="80" w:type="dxa"/>
              <w:bottom w:w="80" w:type="dxa"/>
              <w:end w:w="80" w:type="dxa"/>
            </w:tcMar>
          </w:tcPr>
          <w:p>
            <w:pPr>
              <w:spacing w:after="0"/>
            </w:pPr>
            <w:r>
              <w:rPr>
                <w:sz w:val="16"/>
              </w:rPr>
              <w:t>week-6/Reflection_Outputs/</w:t>
            </w:r>
          </w:p>
        </w:tc>
      </w:tr>
    </w:tbl>
    <w:p>
      <w:pPr>
        <w:spacing w:after="120" w:line="259" w:lineRule="auto"/>
      </w:pPr>
      <w:r>
        <w:t>Recommended GitHub capstone folder: Week-6-Integrative-Capstone-Project/. The final repository should include the notebook, final report, README, cleaned/derived datasets that are practical to publish, and selected evidence outputs. The raw dataset may also be kept if the dataset license/source permits redistribution; otherwise, the README should link to the public source and document the expected download path.</w:t>
      </w:r>
    </w:p>
    <w:p>
      <w:pPr>
        <w:pStyle w:val="Heading1"/>
        <w:spacing w:before="200" w:after="100"/>
      </w:pPr>
      <w:r>
        <w:t>Appendix A. Representative Python Code Examples</w:t>
      </w:r>
    </w:p>
    <w:p>
      <w:pPr>
        <w:pStyle w:val="Heading2"/>
        <w:spacing w:before="120" w:after="100"/>
      </w:pPr>
      <w:r>
        <w:t>A.1 Data Cleaning</w:t>
      </w:r>
    </w:p>
    <w:p>
      <w:pPr>
        <w:spacing w:before="60" w:after="120"/>
        <w:ind w:left="360" w:right="360"/>
        <w:shd w:fill="F5F5F5"/>
      </w:pPr>
      <w:r>
        <w:rPr>
          <w:rFonts w:ascii="Courier New" w:hAnsi="Courier New"/>
          <w:sz w:val="16"/>
        </w:rPr>
        <w:t># Convert monetary column safely and preserve validated rows</w:t>
        <w:br/>
        <w:t>clean_df["TotalCharges"] = pd.to_numeric(</w:t>
        <w:br/>
        <w:t xml:space="preserve">    clean_df["TotalCharges"], errors="coerce"</w:t>
        <w:br/>
        <w:t>)</w:t>
        <w:br/>
        <w:t>clean_df["TotalCharges"] = clean_df["TotalCharges"].fillna(0.0)</w:t>
        <w:br/>
        <w:br/>
        <w:t>assert clean_df["TotalCharges"].isna().sum() == 0</w:t>
        <w:br/>
        <w:t>assert clean_df.duplicated().sum() == 0</w:t>
      </w:r>
    </w:p>
    <w:p>
      <w:pPr>
        <w:pStyle w:val="Heading2"/>
        <w:spacing w:before="120" w:after="100"/>
      </w:pPr>
      <w:r>
        <w:t>A.2 K-Means Model Selection</w:t>
      </w:r>
    </w:p>
    <w:p>
      <w:pPr>
        <w:spacing w:before="60" w:after="120"/>
        <w:ind w:left="360" w:right="360"/>
        <w:shd w:fill="F5F5F5"/>
      </w:pPr>
      <w:r>
        <w:rPr>
          <w:rFonts w:ascii="Courier New" w:hAnsi="Courier New"/>
          <w:sz w:val="16"/>
        </w:rPr>
        <w:t>for k in range(2, 11):</w:t>
        <w:br/>
        <w:t xml:space="preserve">    model = KMeans(n_clusters=k, random_state=42, n_init=20)</w:t>
        <w:br/>
        <w:t xml:space="preserve">    labels = model.fit_predict(X_scaled)</w:t>
        <w:br/>
        <w:t xml:space="preserve">    silhouette = silhouette_score(X_scaled, labels)</w:t>
        <w:br/>
        <w:t xml:space="preserve">    db = davies_bouldin_score(X_scaled, labels)</w:t>
        <w:br/>
        <w:t xml:space="preserve">    ch = calinski_harabasz_score(X_scaled, labels)</w:t>
      </w:r>
    </w:p>
    <w:p>
      <w:pPr>
        <w:pStyle w:val="Heading2"/>
        <w:spacing w:before="120" w:after="100"/>
      </w:pPr>
      <w:r>
        <w:t>A.3 Leakage-Safe Supervised Preprocessing</w:t>
      </w:r>
    </w:p>
    <w:p>
      <w:pPr>
        <w:spacing w:before="60" w:after="120"/>
        <w:ind w:left="360" w:right="360"/>
        <w:shd w:fill="F5F5F5"/>
      </w:pPr>
      <w:r>
        <w:rPr>
          <w:rFonts w:ascii="Courier New" w:hAnsi="Courier New"/>
          <w:sz w:val="16"/>
        </w:rPr>
        <w:t>preprocessor = ColumnTransformer([</w:t>
        <w:br/>
        <w:t xml:space="preserve">    ("num", Pipeline([</w:t>
        <w:br/>
        <w:t xml:space="preserve">        ("imputer", SimpleImputer(strategy="median")),</w:t>
        <w:br/>
        <w:t xml:space="preserve">        ("scaler", StandardScaler())</w:t>
        <w:br/>
        <w:t xml:space="preserve">    ]), numeric_features),</w:t>
        <w:br/>
        <w:t xml:space="preserve">    ("cat", Pipeline([</w:t>
        <w:br/>
        <w:t xml:space="preserve">        ("imputer", SimpleImputer(strategy="most_frequent")),</w:t>
        <w:br/>
        <w:t xml:space="preserve">        ("onehot", OneHotEncoder(handle_unknown="ignore"))</w:t>
        <w:br/>
        <w:t xml:space="preserve">    ]), categorical_features)</w:t>
        <w:br/>
        <w:t>])</w:t>
      </w:r>
    </w:p>
    <w:p>
      <w:pPr>
        <w:pStyle w:val="Heading2"/>
        <w:spacing w:before="120" w:after="100"/>
      </w:pPr>
      <w:r>
        <w:t>A.4 Tuned Logistic Regression</w:t>
      </w:r>
    </w:p>
    <w:p>
      <w:pPr>
        <w:spacing w:before="60" w:after="120"/>
        <w:ind w:left="360" w:right="360"/>
        <w:shd w:fill="F5F5F5"/>
      </w:pPr>
      <w:r>
        <w:rPr>
          <w:rFonts w:ascii="Courier New" w:hAnsi="Courier New"/>
          <w:sz w:val="16"/>
        </w:rPr>
        <w:t>logistic_pipeline = Pipeline([</w:t>
        <w:br/>
        <w:t xml:space="preserve">    ("preprocessor", preprocessor),</w:t>
        <w:br/>
        <w:t xml:space="preserve">    ("classifier", LogisticRegression(</w:t>
        <w:br/>
        <w:t xml:space="preserve">        C=0.01,</w:t>
        <w:br/>
        <w:t xml:space="preserve">        class_weight="balanced",</w:t>
        <w:br/>
        <w:t xml:space="preserve">        max_iter=2000,</w:t>
        <w:br/>
        <w:t xml:space="preserve">        random_state=42</w:t>
        <w:br/>
        <w:t xml:space="preserve">    ))</w:t>
        <w:br/>
        <w:t>])</w:t>
      </w:r>
    </w:p>
    <w:p>
      <w:pPr>
        <w:pStyle w:val="Heading2"/>
        <w:spacing w:before="120" w:after="100"/>
      </w:pPr>
      <w:r>
        <w:t>A.5 Threshold Decision Rule</w:t>
      </w:r>
    </w:p>
    <w:p>
      <w:pPr>
        <w:spacing w:before="60" w:after="120"/>
        <w:ind w:left="360" w:right="360"/>
        <w:shd w:fill="F5F5F5"/>
      </w:pPr>
      <w:r>
        <w:rPr>
          <w:rFonts w:ascii="Courier New" w:hAnsi="Courier New"/>
          <w:sz w:val="16"/>
        </w:rPr>
        <w:t>probability = tuned_logistic.predict_proba(X_test)[:, 1]</w:t>
        <w:br/>
        <w:t>prediction = (probability &gt;= 0.52).astype(int)</w:t>
      </w:r>
    </w:p>
    <w:p>
      <w:pPr>
        <w:spacing w:after="120" w:line="259" w:lineRule="auto"/>
      </w:pPr>
      <w:r>
        <w:t>These excerpts are representative sections of the notebook and are included to make the reasoning and implementation explicit. The complete executable workflow remains in the Week 6 notebook.</w:t>
      </w:r>
    </w:p>
    <w:p>
      <w:pPr>
        <w:pStyle w:val="Heading1"/>
        <w:spacing w:before="200" w:after="100"/>
      </w:pPr>
      <w:r>
        <w:t>Appendix B. Key Numerical Results</w:t>
      </w:r>
    </w:p>
    <w:p>
      <w:pPr>
        <w:pStyle w:val="Heading2"/>
        <w:spacing w:before="120" w:after="100"/>
      </w:pPr>
      <w:r>
        <w:t>B.1 Final Predictive Results</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rPr>
          <w:tblHeader w:val="true"/>
          <w:cantSplit/>
        </w:trPr>
        <w:tc>
          <w:tcPr>
            <w:tcW w:type="dxa" w:w="929"/>
            <w:vAlign w:val="center"/>
            <w:tcMar>
              <w:top w:w="80" w:type="dxa"/>
              <w:start w:w="80" w:type="dxa"/>
              <w:bottom w:w="80" w:type="dxa"/>
              <w:end w:w="80" w:type="dxa"/>
            </w:tcMar>
            <w:shd w:fill="D9E2F3"/>
          </w:tcPr>
          <w:p>
            <w:pPr>
              <w:spacing w:after="0"/>
            </w:pPr>
            <w:r>
              <w:rPr>
                <w:b/>
                <w:sz w:val="14"/>
              </w:rPr>
              <w:t>Model</w:t>
            </w:r>
          </w:p>
        </w:tc>
        <w:tc>
          <w:tcPr>
            <w:tcW w:type="dxa" w:w="929"/>
            <w:vAlign w:val="center"/>
            <w:tcMar>
              <w:top w:w="80" w:type="dxa"/>
              <w:start w:w="80" w:type="dxa"/>
              <w:bottom w:w="80" w:type="dxa"/>
              <w:end w:w="80" w:type="dxa"/>
            </w:tcMar>
            <w:shd w:fill="D9E2F3"/>
          </w:tcPr>
          <w:p>
            <w:pPr>
              <w:spacing w:after="0"/>
            </w:pPr>
            <w:r>
              <w:rPr>
                <w:b/>
                <w:sz w:val="14"/>
              </w:rPr>
              <w:t>Accuracy</w:t>
            </w:r>
          </w:p>
        </w:tc>
        <w:tc>
          <w:tcPr>
            <w:tcW w:type="dxa" w:w="929"/>
            <w:vAlign w:val="center"/>
            <w:tcMar>
              <w:top w:w="80" w:type="dxa"/>
              <w:start w:w="80" w:type="dxa"/>
              <w:bottom w:w="80" w:type="dxa"/>
              <w:end w:w="80" w:type="dxa"/>
            </w:tcMar>
            <w:shd w:fill="D9E2F3"/>
          </w:tcPr>
          <w:p>
            <w:pPr>
              <w:spacing w:after="0"/>
            </w:pPr>
            <w:r>
              <w:rPr>
                <w:b/>
                <w:sz w:val="14"/>
              </w:rPr>
              <w:t>Precision</w:t>
            </w:r>
          </w:p>
        </w:tc>
        <w:tc>
          <w:tcPr>
            <w:tcW w:type="dxa" w:w="929"/>
            <w:vAlign w:val="center"/>
            <w:tcMar>
              <w:top w:w="80" w:type="dxa"/>
              <w:start w:w="80" w:type="dxa"/>
              <w:bottom w:w="80" w:type="dxa"/>
              <w:end w:w="80" w:type="dxa"/>
            </w:tcMar>
            <w:shd w:fill="D9E2F3"/>
          </w:tcPr>
          <w:p>
            <w:pPr>
              <w:spacing w:after="0"/>
            </w:pPr>
            <w:r>
              <w:rPr>
                <w:b/>
                <w:sz w:val="14"/>
              </w:rPr>
              <w:t>Recall</w:t>
            </w:r>
          </w:p>
        </w:tc>
        <w:tc>
          <w:tcPr>
            <w:tcW w:type="dxa" w:w="929"/>
            <w:vAlign w:val="center"/>
            <w:tcMar>
              <w:top w:w="80" w:type="dxa"/>
              <w:start w:w="80" w:type="dxa"/>
              <w:bottom w:w="80" w:type="dxa"/>
              <w:end w:w="80" w:type="dxa"/>
            </w:tcMar>
            <w:shd w:fill="D9E2F3"/>
          </w:tcPr>
          <w:p>
            <w:pPr>
              <w:spacing w:after="0"/>
            </w:pPr>
            <w:r>
              <w:rPr>
                <w:b/>
                <w:sz w:val="14"/>
              </w:rPr>
              <w:t>F1_Score</w:t>
            </w:r>
          </w:p>
        </w:tc>
        <w:tc>
          <w:tcPr>
            <w:tcW w:type="dxa" w:w="929"/>
            <w:vAlign w:val="center"/>
            <w:tcMar>
              <w:top w:w="80" w:type="dxa"/>
              <w:start w:w="80" w:type="dxa"/>
              <w:bottom w:w="80" w:type="dxa"/>
              <w:end w:w="80" w:type="dxa"/>
            </w:tcMar>
            <w:shd w:fill="D9E2F3"/>
          </w:tcPr>
          <w:p>
            <w:pPr>
              <w:spacing w:after="0"/>
            </w:pPr>
            <w:r>
              <w:rPr>
                <w:b/>
                <w:sz w:val="14"/>
              </w:rPr>
              <w:t>ROC_AUC</w:t>
            </w:r>
          </w:p>
        </w:tc>
        <w:tc>
          <w:tcPr>
            <w:tcW w:type="dxa" w:w="929"/>
            <w:vAlign w:val="center"/>
            <w:tcMar>
              <w:top w:w="80" w:type="dxa"/>
              <w:start w:w="80" w:type="dxa"/>
              <w:bottom w:w="80" w:type="dxa"/>
              <w:end w:w="80" w:type="dxa"/>
            </w:tcMar>
            <w:shd w:fill="D9E2F3"/>
          </w:tcPr>
          <w:p>
            <w:pPr>
              <w:spacing w:after="0"/>
            </w:pPr>
            <w:r>
              <w:rPr>
                <w:b/>
                <w:sz w:val="14"/>
              </w:rPr>
              <w:t>PR_AUC</w:t>
            </w:r>
          </w:p>
        </w:tc>
        <w:tc>
          <w:tcPr>
            <w:tcW w:type="dxa" w:w="929"/>
            <w:vAlign w:val="center"/>
            <w:tcMar>
              <w:top w:w="80" w:type="dxa"/>
              <w:start w:w="80" w:type="dxa"/>
              <w:bottom w:w="80" w:type="dxa"/>
              <w:end w:w="80" w:type="dxa"/>
            </w:tcMar>
            <w:shd w:fill="D9E2F3"/>
          </w:tcPr>
          <w:p>
            <w:pPr>
              <w:spacing w:after="0"/>
            </w:pPr>
            <w:r>
              <w:rPr>
                <w:b/>
                <w:sz w:val="14"/>
              </w:rPr>
              <w:t>TN</w:t>
            </w:r>
          </w:p>
        </w:tc>
        <w:tc>
          <w:tcPr>
            <w:tcW w:type="dxa" w:w="929"/>
            <w:vAlign w:val="center"/>
            <w:tcMar>
              <w:top w:w="80" w:type="dxa"/>
              <w:start w:w="80" w:type="dxa"/>
              <w:bottom w:w="80" w:type="dxa"/>
              <w:end w:w="80" w:type="dxa"/>
            </w:tcMar>
            <w:shd w:fill="D9E2F3"/>
          </w:tcPr>
          <w:p>
            <w:pPr>
              <w:spacing w:after="0"/>
            </w:pPr>
            <w:r>
              <w:rPr>
                <w:b/>
                <w:sz w:val="14"/>
              </w:rPr>
              <w:t>FP</w:t>
            </w:r>
          </w:p>
        </w:tc>
        <w:tc>
          <w:tcPr>
            <w:tcW w:type="dxa" w:w="929"/>
            <w:vAlign w:val="center"/>
            <w:tcMar>
              <w:top w:w="80" w:type="dxa"/>
              <w:start w:w="80" w:type="dxa"/>
              <w:bottom w:w="80" w:type="dxa"/>
              <w:end w:w="80" w:type="dxa"/>
            </w:tcMar>
            <w:shd w:fill="D9E2F3"/>
          </w:tcPr>
          <w:p>
            <w:pPr>
              <w:spacing w:after="0"/>
            </w:pPr>
            <w:r>
              <w:rPr>
                <w:b/>
                <w:sz w:val="14"/>
              </w:rPr>
              <w:t>FN</w:t>
            </w:r>
          </w:p>
        </w:tc>
        <w:tc>
          <w:tcPr>
            <w:tcW w:type="dxa" w:w="929"/>
            <w:vAlign w:val="center"/>
            <w:tcMar>
              <w:top w:w="80" w:type="dxa"/>
              <w:start w:w="80" w:type="dxa"/>
              <w:bottom w:w="80" w:type="dxa"/>
              <w:end w:w="80" w:type="dxa"/>
            </w:tcMar>
            <w:shd w:fill="D9E2F3"/>
          </w:tcPr>
          <w:p>
            <w:pPr>
              <w:spacing w:after="0"/>
            </w:pPr>
            <w:r>
              <w:rPr>
                <w:b/>
                <w:sz w:val="14"/>
              </w:rPr>
              <w:t>TP</w:t>
            </w:r>
          </w:p>
        </w:tc>
      </w:tr>
      <w:tr>
        <w:trPr>
          <w:cantSplit/>
        </w:trPr>
        <w:tc>
          <w:tcPr>
            <w:tcW w:type="dxa" w:w="929"/>
            <w:vAlign w:val="center"/>
            <w:tcMar>
              <w:top w:w="80" w:type="dxa"/>
              <w:start w:w="80" w:type="dxa"/>
              <w:bottom w:w="80" w:type="dxa"/>
              <w:end w:w="80" w:type="dxa"/>
            </w:tcMar>
          </w:tcPr>
          <w:p>
            <w:pPr>
              <w:spacing w:after="0"/>
            </w:pPr>
            <w:r>
              <w:rPr>
                <w:sz w:val="14"/>
              </w:rPr>
              <w:t>Tuned Logistic Regression</w:t>
            </w:r>
          </w:p>
        </w:tc>
        <w:tc>
          <w:tcPr>
            <w:tcW w:type="dxa" w:w="929"/>
            <w:vAlign w:val="center"/>
            <w:tcMar>
              <w:top w:w="80" w:type="dxa"/>
              <w:start w:w="80" w:type="dxa"/>
              <w:bottom w:w="80" w:type="dxa"/>
              <w:end w:w="80" w:type="dxa"/>
            </w:tcMar>
          </w:tcPr>
          <w:p>
            <w:pPr>
              <w:spacing w:after="0"/>
            </w:pPr>
            <w:r>
              <w:rPr>
                <w:sz w:val="14"/>
              </w:rPr>
              <w:t>0.7516</w:t>
            </w:r>
          </w:p>
        </w:tc>
        <w:tc>
          <w:tcPr>
            <w:tcW w:type="dxa" w:w="929"/>
            <w:vAlign w:val="center"/>
            <w:tcMar>
              <w:top w:w="80" w:type="dxa"/>
              <w:start w:w="80" w:type="dxa"/>
              <w:bottom w:w="80" w:type="dxa"/>
              <w:end w:w="80" w:type="dxa"/>
            </w:tcMar>
          </w:tcPr>
          <w:p>
            <w:pPr>
              <w:spacing w:after="0"/>
            </w:pPr>
            <w:r>
              <w:rPr>
                <w:sz w:val="14"/>
              </w:rPr>
              <w:t>0.5212</w:t>
            </w:r>
          </w:p>
        </w:tc>
        <w:tc>
          <w:tcPr>
            <w:tcW w:type="dxa" w:w="929"/>
            <w:vAlign w:val="center"/>
            <w:tcMar>
              <w:top w:w="80" w:type="dxa"/>
              <w:start w:w="80" w:type="dxa"/>
              <w:bottom w:w="80" w:type="dxa"/>
              <w:end w:w="80" w:type="dxa"/>
            </w:tcMar>
          </w:tcPr>
          <w:p>
            <w:pPr>
              <w:spacing w:after="0"/>
            </w:pPr>
            <w:r>
              <w:rPr>
                <w:sz w:val="14"/>
              </w:rPr>
              <w:t>0.7888</w:t>
            </w:r>
          </w:p>
        </w:tc>
        <w:tc>
          <w:tcPr>
            <w:tcW w:type="dxa" w:w="929"/>
            <w:vAlign w:val="center"/>
            <w:tcMar>
              <w:top w:w="80" w:type="dxa"/>
              <w:start w:w="80" w:type="dxa"/>
              <w:bottom w:w="80" w:type="dxa"/>
              <w:end w:w="80" w:type="dxa"/>
            </w:tcMar>
          </w:tcPr>
          <w:p>
            <w:pPr>
              <w:spacing w:after="0"/>
            </w:pPr>
            <w:r>
              <w:rPr>
                <w:sz w:val="14"/>
              </w:rPr>
              <w:t>0.6277</w:t>
            </w:r>
          </w:p>
        </w:tc>
        <w:tc>
          <w:tcPr>
            <w:tcW w:type="dxa" w:w="929"/>
            <w:vAlign w:val="center"/>
            <w:tcMar>
              <w:top w:w="80" w:type="dxa"/>
              <w:start w:w="80" w:type="dxa"/>
              <w:bottom w:w="80" w:type="dxa"/>
              <w:end w:w="80" w:type="dxa"/>
            </w:tcMar>
          </w:tcPr>
          <w:p>
            <w:pPr>
              <w:spacing w:after="0"/>
            </w:pPr>
            <w:r>
              <w:rPr>
                <w:sz w:val="14"/>
              </w:rPr>
              <w:t>0.8451</w:t>
            </w:r>
          </w:p>
        </w:tc>
        <w:tc>
          <w:tcPr>
            <w:tcW w:type="dxa" w:w="929"/>
            <w:vAlign w:val="center"/>
            <w:tcMar>
              <w:top w:w="80" w:type="dxa"/>
              <w:start w:w="80" w:type="dxa"/>
              <w:bottom w:w="80" w:type="dxa"/>
              <w:end w:w="80" w:type="dxa"/>
            </w:tcMar>
          </w:tcPr>
          <w:p>
            <w:pPr>
              <w:spacing w:after="0"/>
            </w:pPr>
            <w:r>
              <w:rPr>
                <w:sz w:val="14"/>
              </w:rPr>
              <w:t>0.6537</w:t>
            </w:r>
          </w:p>
        </w:tc>
        <w:tc>
          <w:tcPr>
            <w:tcW w:type="dxa" w:w="929"/>
            <w:vAlign w:val="center"/>
            <w:tcMar>
              <w:top w:w="80" w:type="dxa"/>
              <w:start w:w="80" w:type="dxa"/>
              <w:bottom w:w="80" w:type="dxa"/>
              <w:end w:w="80" w:type="dxa"/>
            </w:tcMar>
          </w:tcPr>
          <w:p>
            <w:pPr>
              <w:spacing w:after="0"/>
            </w:pPr>
            <w:r>
              <w:rPr>
                <w:sz w:val="14"/>
              </w:rPr>
              <w:t>764</w:t>
            </w:r>
          </w:p>
        </w:tc>
        <w:tc>
          <w:tcPr>
            <w:tcW w:type="dxa" w:w="929"/>
            <w:vAlign w:val="center"/>
            <w:tcMar>
              <w:top w:w="80" w:type="dxa"/>
              <w:start w:w="80" w:type="dxa"/>
              <w:bottom w:w="80" w:type="dxa"/>
              <w:end w:w="80" w:type="dxa"/>
            </w:tcMar>
          </w:tcPr>
          <w:p>
            <w:pPr>
              <w:spacing w:after="0"/>
            </w:pPr>
            <w:r>
              <w:rPr>
                <w:sz w:val="14"/>
              </w:rPr>
              <w:t>271</w:t>
            </w:r>
          </w:p>
        </w:tc>
        <w:tc>
          <w:tcPr>
            <w:tcW w:type="dxa" w:w="929"/>
            <w:vAlign w:val="center"/>
            <w:tcMar>
              <w:top w:w="80" w:type="dxa"/>
              <w:start w:w="80" w:type="dxa"/>
              <w:bottom w:w="80" w:type="dxa"/>
              <w:end w:w="80" w:type="dxa"/>
            </w:tcMar>
          </w:tcPr>
          <w:p>
            <w:pPr>
              <w:spacing w:after="0"/>
            </w:pPr>
            <w:r>
              <w:rPr>
                <w:sz w:val="14"/>
              </w:rPr>
              <w:t>79</w:t>
            </w:r>
          </w:p>
        </w:tc>
        <w:tc>
          <w:tcPr>
            <w:tcW w:type="dxa" w:w="929"/>
            <w:vAlign w:val="center"/>
            <w:tcMar>
              <w:top w:w="80" w:type="dxa"/>
              <w:start w:w="80" w:type="dxa"/>
              <w:bottom w:w="80" w:type="dxa"/>
              <w:end w:w="80" w:type="dxa"/>
            </w:tcMar>
          </w:tcPr>
          <w:p>
            <w:pPr>
              <w:spacing w:after="0"/>
            </w:pPr>
            <w:r>
              <w:rPr>
                <w:sz w:val="14"/>
              </w:rPr>
              <w:t>295</w:t>
            </w:r>
          </w:p>
        </w:tc>
      </w:tr>
      <w:tr>
        <w:trPr>
          <w:cantSplit/>
        </w:trPr>
        <w:tc>
          <w:tcPr>
            <w:tcW w:type="dxa" w:w="929"/>
            <w:vAlign w:val="center"/>
            <w:tcMar>
              <w:top w:w="80" w:type="dxa"/>
              <w:start w:w="80" w:type="dxa"/>
              <w:bottom w:w="80" w:type="dxa"/>
              <w:end w:w="80" w:type="dxa"/>
            </w:tcMar>
          </w:tcPr>
          <w:p>
            <w:pPr>
              <w:spacing w:after="0"/>
            </w:pPr>
            <w:r>
              <w:rPr>
                <w:sz w:val="14"/>
              </w:rPr>
              <w:t>Tuned Random Forest</w:t>
            </w:r>
          </w:p>
        </w:tc>
        <w:tc>
          <w:tcPr>
            <w:tcW w:type="dxa" w:w="929"/>
            <w:vAlign w:val="center"/>
            <w:tcMar>
              <w:top w:w="80" w:type="dxa"/>
              <w:start w:w="80" w:type="dxa"/>
              <w:bottom w:w="80" w:type="dxa"/>
              <w:end w:w="80" w:type="dxa"/>
            </w:tcMar>
          </w:tcPr>
          <w:p>
            <w:pPr>
              <w:spacing w:after="0"/>
            </w:pPr>
            <w:r>
              <w:rPr>
                <w:sz w:val="14"/>
              </w:rPr>
              <w:t>0.7708</w:t>
            </w:r>
          </w:p>
        </w:tc>
        <w:tc>
          <w:tcPr>
            <w:tcW w:type="dxa" w:w="929"/>
            <w:vAlign w:val="center"/>
            <w:tcMar>
              <w:top w:w="80" w:type="dxa"/>
              <w:start w:w="80" w:type="dxa"/>
              <w:bottom w:w="80" w:type="dxa"/>
              <w:end w:w="80" w:type="dxa"/>
            </w:tcMar>
          </w:tcPr>
          <w:p>
            <w:pPr>
              <w:spacing w:after="0"/>
            </w:pPr>
            <w:r>
              <w:rPr>
                <w:sz w:val="14"/>
              </w:rPr>
              <w:t>0.5548</w:t>
            </w:r>
          </w:p>
        </w:tc>
        <w:tc>
          <w:tcPr>
            <w:tcW w:type="dxa" w:w="929"/>
            <w:vAlign w:val="center"/>
            <w:tcMar>
              <w:top w:w="80" w:type="dxa"/>
              <w:start w:w="80" w:type="dxa"/>
              <w:bottom w:w="80" w:type="dxa"/>
              <w:end w:w="80" w:type="dxa"/>
            </w:tcMar>
          </w:tcPr>
          <w:p>
            <w:pPr>
              <w:spacing w:after="0"/>
            </w:pPr>
            <w:r>
              <w:rPr>
                <w:sz w:val="14"/>
              </w:rPr>
              <w:t>0.6898</w:t>
            </w:r>
          </w:p>
        </w:tc>
        <w:tc>
          <w:tcPr>
            <w:tcW w:type="dxa" w:w="929"/>
            <w:vAlign w:val="center"/>
            <w:tcMar>
              <w:top w:w="80" w:type="dxa"/>
              <w:start w:w="80" w:type="dxa"/>
              <w:bottom w:w="80" w:type="dxa"/>
              <w:end w:w="80" w:type="dxa"/>
            </w:tcMar>
          </w:tcPr>
          <w:p>
            <w:pPr>
              <w:spacing w:after="0"/>
            </w:pPr>
            <w:r>
              <w:rPr>
                <w:sz w:val="14"/>
              </w:rPr>
              <w:t>0.6150</w:t>
            </w:r>
          </w:p>
        </w:tc>
        <w:tc>
          <w:tcPr>
            <w:tcW w:type="dxa" w:w="929"/>
            <w:vAlign w:val="center"/>
            <w:tcMar>
              <w:top w:w="80" w:type="dxa"/>
              <w:start w:w="80" w:type="dxa"/>
              <w:bottom w:w="80" w:type="dxa"/>
              <w:end w:w="80" w:type="dxa"/>
            </w:tcMar>
          </w:tcPr>
          <w:p>
            <w:pPr>
              <w:spacing w:after="0"/>
            </w:pPr>
            <w:r>
              <w:rPr>
                <w:sz w:val="14"/>
              </w:rPr>
              <w:t>0.8367</w:t>
            </w:r>
          </w:p>
        </w:tc>
        <w:tc>
          <w:tcPr>
            <w:tcW w:type="dxa" w:w="929"/>
            <w:vAlign w:val="center"/>
            <w:tcMar>
              <w:top w:w="80" w:type="dxa"/>
              <w:start w:w="80" w:type="dxa"/>
              <w:bottom w:w="80" w:type="dxa"/>
              <w:end w:w="80" w:type="dxa"/>
            </w:tcMar>
          </w:tcPr>
          <w:p>
            <w:pPr>
              <w:spacing w:after="0"/>
            </w:pPr>
            <w:r>
              <w:rPr>
                <w:sz w:val="14"/>
              </w:rPr>
              <w:t>0.6444</w:t>
            </w:r>
          </w:p>
        </w:tc>
        <w:tc>
          <w:tcPr>
            <w:tcW w:type="dxa" w:w="929"/>
            <w:vAlign w:val="center"/>
            <w:tcMar>
              <w:top w:w="80" w:type="dxa"/>
              <w:start w:w="80" w:type="dxa"/>
              <w:bottom w:w="80" w:type="dxa"/>
              <w:end w:w="80" w:type="dxa"/>
            </w:tcMar>
          </w:tcPr>
          <w:p>
            <w:pPr>
              <w:spacing w:after="0"/>
            </w:pPr>
            <w:r>
              <w:rPr>
                <w:sz w:val="14"/>
              </w:rPr>
              <w:t>828</w:t>
            </w:r>
          </w:p>
        </w:tc>
        <w:tc>
          <w:tcPr>
            <w:tcW w:type="dxa" w:w="929"/>
            <w:vAlign w:val="center"/>
            <w:tcMar>
              <w:top w:w="80" w:type="dxa"/>
              <w:start w:w="80" w:type="dxa"/>
              <w:bottom w:w="80" w:type="dxa"/>
              <w:end w:w="80" w:type="dxa"/>
            </w:tcMar>
          </w:tcPr>
          <w:p>
            <w:pPr>
              <w:spacing w:after="0"/>
            </w:pPr>
            <w:r>
              <w:rPr>
                <w:sz w:val="14"/>
              </w:rPr>
              <w:t>207</w:t>
            </w:r>
          </w:p>
        </w:tc>
        <w:tc>
          <w:tcPr>
            <w:tcW w:type="dxa" w:w="929"/>
            <w:vAlign w:val="center"/>
            <w:tcMar>
              <w:top w:w="80" w:type="dxa"/>
              <w:start w:w="80" w:type="dxa"/>
              <w:bottom w:w="80" w:type="dxa"/>
              <w:end w:w="80" w:type="dxa"/>
            </w:tcMar>
          </w:tcPr>
          <w:p>
            <w:pPr>
              <w:spacing w:after="0"/>
            </w:pPr>
            <w:r>
              <w:rPr>
                <w:sz w:val="14"/>
              </w:rPr>
              <w:t>116</w:t>
            </w:r>
          </w:p>
        </w:tc>
        <w:tc>
          <w:tcPr>
            <w:tcW w:type="dxa" w:w="929"/>
            <w:vAlign w:val="center"/>
            <w:tcMar>
              <w:top w:w="80" w:type="dxa"/>
              <w:start w:w="80" w:type="dxa"/>
              <w:bottom w:w="80" w:type="dxa"/>
              <w:end w:w="80" w:type="dxa"/>
            </w:tcMar>
          </w:tcPr>
          <w:p>
            <w:pPr>
              <w:spacing w:after="0"/>
            </w:pPr>
            <w:r>
              <w:rPr>
                <w:sz w:val="14"/>
              </w:rPr>
              <w:t>258</w:t>
            </w:r>
          </w:p>
        </w:tc>
      </w:tr>
      <w:tr>
        <w:trPr>
          <w:cantSplit/>
        </w:trPr>
        <w:tc>
          <w:tcPr>
            <w:tcW w:type="dxa" w:w="929"/>
            <w:vAlign w:val="center"/>
            <w:tcMar>
              <w:top w:w="80" w:type="dxa"/>
              <w:start w:w="80" w:type="dxa"/>
              <w:bottom w:w="80" w:type="dxa"/>
              <w:end w:w="80" w:type="dxa"/>
            </w:tcMar>
          </w:tcPr>
          <w:p>
            <w:pPr>
              <w:spacing w:after="0"/>
            </w:pPr>
            <w:r>
              <w:rPr>
                <w:sz w:val="14"/>
              </w:rPr>
              <w:t>Tuned Logistic Regression (Threshold=0.52)</w:t>
            </w:r>
          </w:p>
        </w:tc>
        <w:tc>
          <w:tcPr>
            <w:tcW w:type="dxa" w:w="929"/>
            <w:vAlign w:val="center"/>
            <w:tcMar>
              <w:top w:w="80" w:type="dxa"/>
              <w:start w:w="80" w:type="dxa"/>
              <w:bottom w:w="80" w:type="dxa"/>
              <w:end w:w="80" w:type="dxa"/>
            </w:tcMar>
          </w:tcPr>
          <w:p>
            <w:pPr>
              <w:spacing w:after="0"/>
            </w:pPr>
            <w:r>
              <w:rPr>
                <w:sz w:val="14"/>
              </w:rPr>
              <w:t>0.7587</w:t>
            </w:r>
          </w:p>
        </w:tc>
        <w:tc>
          <w:tcPr>
            <w:tcW w:type="dxa" w:w="929"/>
            <w:vAlign w:val="center"/>
            <w:tcMar>
              <w:top w:w="80" w:type="dxa"/>
              <w:start w:w="80" w:type="dxa"/>
              <w:bottom w:w="80" w:type="dxa"/>
              <w:end w:w="80" w:type="dxa"/>
            </w:tcMar>
          </w:tcPr>
          <w:p>
            <w:pPr>
              <w:spacing w:after="0"/>
            </w:pPr>
            <w:r>
              <w:rPr>
                <w:sz w:val="14"/>
              </w:rPr>
              <w:t>0.5314</w:t>
            </w:r>
          </w:p>
        </w:tc>
        <w:tc>
          <w:tcPr>
            <w:tcW w:type="dxa" w:w="929"/>
            <w:vAlign w:val="center"/>
            <w:tcMar>
              <w:top w:w="80" w:type="dxa"/>
              <w:start w:w="80" w:type="dxa"/>
              <w:bottom w:w="80" w:type="dxa"/>
              <w:end w:w="80" w:type="dxa"/>
            </w:tcMar>
          </w:tcPr>
          <w:p>
            <w:pPr>
              <w:spacing w:after="0"/>
            </w:pPr>
            <w:r>
              <w:rPr>
                <w:sz w:val="14"/>
              </w:rPr>
              <w:t>0.7701</w:t>
            </w:r>
          </w:p>
        </w:tc>
        <w:tc>
          <w:tcPr>
            <w:tcW w:type="dxa" w:w="929"/>
            <w:vAlign w:val="center"/>
            <w:tcMar>
              <w:top w:w="80" w:type="dxa"/>
              <w:start w:w="80" w:type="dxa"/>
              <w:bottom w:w="80" w:type="dxa"/>
              <w:end w:w="80" w:type="dxa"/>
            </w:tcMar>
          </w:tcPr>
          <w:p>
            <w:pPr>
              <w:spacing w:after="0"/>
            </w:pPr>
            <w:r>
              <w:rPr>
                <w:sz w:val="14"/>
              </w:rPr>
              <w:t>0.6288</w:t>
            </w:r>
          </w:p>
        </w:tc>
        <w:tc>
          <w:tcPr>
            <w:tcW w:type="dxa" w:w="929"/>
            <w:vAlign w:val="center"/>
            <w:tcMar>
              <w:top w:w="80" w:type="dxa"/>
              <w:start w:w="80" w:type="dxa"/>
              <w:bottom w:w="80" w:type="dxa"/>
              <w:end w:w="80" w:type="dxa"/>
            </w:tcMar>
          </w:tcPr>
          <w:p>
            <w:pPr>
              <w:spacing w:after="0"/>
            </w:pPr>
            <w:r>
              <w:rPr>
                <w:sz w:val="14"/>
              </w:rPr>
              <w:t>0.8451</w:t>
            </w:r>
          </w:p>
        </w:tc>
        <w:tc>
          <w:tcPr>
            <w:tcW w:type="dxa" w:w="929"/>
            <w:vAlign w:val="center"/>
            <w:tcMar>
              <w:top w:w="80" w:type="dxa"/>
              <w:start w:w="80" w:type="dxa"/>
              <w:bottom w:w="80" w:type="dxa"/>
              <w:end w:w="80" w:type="dxa"/>
            </w:tcMar>
          </w:tcPr>
          <w:p>
            <w:pPr>
              <w:spacing w:after="0"/>
            </w:pPr>
            <w:r>
              <w:rPr>
                <w:sz w:val="14"/>
              </w:rPr>
              <w:t>0.6537</w:t>
            </w:r>
          </w:p>
        </w:tc>
        <w:tc>
          <w:tcPr>
            <w:tcW w:type="dxa" w:w="929"/>
            <w:vAlign w:val="center"/>
            <w:tcMar>
              <w:top w:w="80" w:type="dxa"/>
              <w:start w:w="80" w:type="dxa"/>
              <w:bottom w:w="80" w:type="dxa"/>
              <w:end w:w="80" w:type="dxa"/>
            </w:tcMar>
          </w:tcPr>
          <w:p>
            <w:pPr>
              <w:spacing w:after="0"/>
            </w:pPr>
            <w:r>
              <w:rPr>
                <w:sz w:val="14"/>
              </w:rPr>
              <w:t>781</w:t>
            </w:r>
          </w:p>
        </w:tc>
        <w:tc>
          <w:tcPr>
            <w:tcW w:type="dxa" w:w="929"/>
            <w:vAlign w:val="center"/>
            <w:tcMar>
              <w:top w:w="80" w:type="dxa"/>
              <w:start w:w="80" w:type="dxa"/>
              <w:bottom w:w="80" w:type="dxa"/>
              <w:end w:w="80" w:type="dxa"/>
            </w:tcMar>
          </w:tcPr>
          <w:p>
            <w:pPr>
              <w:spacing w:after="0"/>
            </w:pPr>
            <w:r>
              <w:rPr>
                <w:sz w:val="14"/>
              </w:rPr>
              <w:t>254</w:t>
            </w:r>
          </w:p>
        </w:tc>
        <w:tc>
          <w:tcPr>
            <w:tcW w:type="dxa" w:w="929"/>
            <w:vAlign w:val="center"/>
            <w:tcMar>
              <w:top w:w="80" w:type="dxa"/>
              <w:start w:w="80" w:type="dxa"/>
              <w:bottom w:w="80" w:type="dxa"/>
              <w:end w:w="80" w:type="dxa"/>
            </w:tcMar>
          </w:tcPr>
          <w:p>
            <w:pPr>
              <w:spacing w:after="0"/>
            </w:pPr>
            <w:r>
              <w:rPr>
                <w:sz w:val="14"/>
              </w:rPr>
              <w:t>86</w:t>
            </w:r>
          </w:p>
        </w:tc>
        <w:tc>
          <w:tcPr>
            <w:tcW w:type="dxa" w:w="929"/>
            <w:vAlign w:val="center"/>
            <w:tcMar>
              <w:top w:w="80" w:type="dxa"/>
              <w:start w:w="80" w:type="dxa"/>
              <w:bottom w:w="80" w:type="dxa"/>
              <w:end w:w="80" w:type="dxa"/>
            </w:tcMar>
          </w:tcPr>
          <w:p>
            <w:pPr>
              <w:spacing w:after="0"/>
            </w:pPr>
            <w:r>
              <w:rPr>
                <w:sz w:val="14"/>
              </w:rPr>
              <w:t>288</w:t>
            </w:r>
          </w:p>
        </w:tc>
      </w:tr>
    </w:tbl>
    <w:p>
      <w:pPr>
        <w:pStyle w:val="Heading2"/>
        <w:spacing w:before="120" w:after="100"/>
      </w:pPr>
      <w:r>
        <w:t>B.2 Clustering Metric Comparison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tcMar>
              <w:top w:w="80" w:type="dxa"/>
              <w:start w:w="80" w:type="dxa"/>
              <w:bottom w:w="80" w:type="dxa"/>
              <w:end w:w="80" w:type="dxa"/>
            </w:tcMar>
            <w:shd w:fill="D9E2F3"/>
          </w:tcPr>
          <w:p>
            <w:pPr>
              <w:spacing w:after="0"/>
            </w:pPr>
            <w:r>
              <w:rPr>
                <w:b/>
                <w:sz w:val="16"/>
              </w:rPr>
              <w:t>Criterion</w:t>
            </w:r>
          </w:p>
        </w:tc>
        <w:tc>
          <w:tcPr>
            <w:tcW w:type="dxa" w:w="2556"/>
            <w:vAlign w:val="center"/>
            <w:tcMar>
              <w:top w:w="80" w:type="dxa"/>
              <w:start w:w="80" w:type="dxa"/>
              <w:bottom w:w="80" w:type="dxa"/>
              <w:end w:w="80" w:type="dxa"/>
            </w:tcMar>
            <w:shd w:fill="D9E2F3"/>
          </w:tcPr>
          <w:p>
            <w:pPr>
              <w:spacing w:after="0"/>
            </w:pPr>
            <w:r>
              <w:rPr>
                <w:b/>
                <w:sz w:val="16"/>
              </w:rPr>
              <w:t>Preferred_K</w:t>
            </w:r>
          </w:p>
        </w:tc>
        <w:tc>
          <w:tcPr>
            <w:tcW w:type="dxa" w:w="2556"/>
            <w:vAlign w:val="center"/>
            <w:tcMar>
              <w:top w:w="80" w:type="dxa"/>
              <w:start w:w="80" w:type="dxa"/>
              <w:bottom w:w="80" w:type="dxa"/>
              <w:end w:w="80" w:type="dxa"/>
            </w:tcMar>
            <w:shd w:fill="D9E2F3"/>
          </w:tcPr>
          <w:p>
            <w:pPr>
              <w:spacing w:after="0"/>
            </w:pPr>
            <w:r>
              <w:rPr>
                <w:b/>
                <w:sz w:val="16"/>
              </w:rPr>
              <w:t>Value</w:t>
            </w:r>
          </w:p>
        </w:tc>
        <w:tc>
          <w:tcPr>
            <w:tcW w:type="dxa" w:w="2556"/>
            <w:vAlign w:val="center"/>
            <w:tcMar>
              <w:top w:w="80" w:type="dxa"/>
              <w:start w:w="80" w:type="dxa"/>
              <w:bottom w:w="80" w:type="dxa"/>
              <w:end w:w="80" w:type="dxa"/>
            </w:tcMar>
            <w:shd w:fill="D9E2F3"/>
          </w:tcPr>
          <w:p>
            <w:pPr>
              <w:spacing w:after="0"/>
            </w:pPr>
            <w:r>
              <w:rPr>
                <w:b/>
                <w:sz w:val="16"/>
              </w:rPr>
              <w:t>Interpretation</w:t>
            </w:r>
          </w:p>
        </w:tc>
      </w:tr>
      <w:tr>
        <w:trPr>
          <w:cantSplit/>
        </w:trPr>
        <w:tc>
          <w:tcPr>
            <w:tcW w:type="dxa" w:w="2556"/>
            <w:vAlign w:val="center"/>
            <w:tcMar>
              <w:top w:w="80" w:type="dxa"/>
              <w:start w:w="80" w:type="dxa"/>
              <w:bottom w:w="80" w:type="dxa"/>
              <w:end w:w="80" w:type="dxa"/>
            </w:tcMar>
          </w:tcPr>
          <w:p>
            <w:pPr>
              <w:spacing w:after="0"/>
            </w:pPr>
            <w:r>
              <w:rPr>
                <w:sz w:val="16"/>
              </w:rPr>
              <w:t>Silhouette Score</w:t>
            </w:r>
          </w:p>
        </w:tc>
        <w:tc>
          <w:tcPr>
            <w:tcW w:type="dxa" w:w="2556"/>
            <w:vAlign w:val="center"/>
            <w:tcMar>
              <w:top w:w="80" w:type="dxa"/>
              <w:start w:w="80" w:type="dxa"/>
              <w:bottom w:w="80" w:type="dxa"/>
              <w:end w:w="80" w:type="dxa"/>
            </w:tcMar>
          </w:tcPr>
          <w:p>
            <w:pPr>
              <w:spacing w:after="0"/>
            </w:pPr>
            <w:r>
              <w:rPr>
                <w:sz w:val="16"/>
              </w:rPr>
              <w:t>2</w:t>
            </w:r>
          </w:p>
        </w:tc>
        <w:tc>
          <w:tcPr>
            <w:tcW w:type="dxa" w:w="2556"/>
            <w:vAlign w:val="center"/>
            <w:tcMar>
              <w:top w:w="80" w:type="dxa"/>
              <w:start w:w="80" w:type="dxa"/>
              <w:bottom w:w="80" w:type="dxa"/>
              <w:end w:w="80" w:type="dxa"/>
            </w:tcMar>
          </w:tcPr>
          <w:p>
            <w:pPr>
              <w:spacing w:after="0"/>
            </w:pPr>
            <w:r>
              <w:rPr>
                <w:sz w:val="16"/>
              </w:rPr>
              <w:t>0.3901</w:t>
            </w:r>
          </w:p>
        </w:tc>
        <w:tc>
          <w:tcPr>
            <w:tcW w:type="dxa" w:w="2556"/>
            <w:vAlign w:val="center"/>
            <w:tcMar>
              <w:top w:w="80" w:type="dxa"/>
              <w:start w:w="80" w:type="dxa"/>
              <w:bottom w:w="80" w:type="dxa"/>
              <w:end w:w="80" w:type="dxa"/>
            </w:tcMar>
          </w:tcPr>
          <w:p>
            <w:pPr>
              <w:spacing w:after="0"/>
            </w:pPr>
            <w:r>
              <w:rPr>
                <w:sz w:val="16"/>
              </w:rPr>
              <w:t>Prefers stronger within-cluster cohesion and separation.</w:t>
            </w:r>
          </w:p>
        </w:tc>
      </w:tr>
      <w:tr>
        <w:trPr>
          <w:cantSplit/>
        </w:trPr>
        <w:tc>
          <w:tcPr>
            <w:tcW w:type="dxa" w:w="2556"/>
            <w:vAlign w:val="center"/>
            <w:tcMar>
              <w:top w:w="80" w:type="dxa"/>
              <w:start w:w="80" w:type="dxa"/>
              <w:bottom w:w="80" w:type="dxa"/>
              <w:end w:w="80" w:type="dxa"/>
            </w:tcMar>
          </w:tcPr>
          <w:p>
            <w:pPr>
              <w:spacing w:after="0"/>
            </w:pPr>
            <w:r>
              <w:rPr>
                <w:sz w:val="16"/>
              </w:rPr>
              <w:t>Davies-Bouldin Index</w:t>
            </w:r>
          </w:p>
        </w:tc>
        <w:tc>
          <w:tcPr>
            <w:tcW w:type="dxa" w:w="2556"/>
            <w:vAlign w:val="center"/>
            <w:tcMar>
              <w:top w:w="80" w:type="dxa"/>
              <w:start w:w="80" w:type="dxa"/>
              <w:bottom w:w="80" w:type="dxa"/>
              <w:end w:w="80" w:type="dxa"/>
            </w:tcMar>
          </w:tcPr>
          <w:p>
            <w:pPr>
              <w:spacing w:after="0"/>
            </w:pPr>
            <w:r>
              <w:rPr>
                <w:sz w:val="16"/>
              </w:rPr>
              <w:t>8</w:t>
            </w:r>
          </w:p>
        </w:tc>
        <w:tc>
          <w:tcPr>
            <w:tcW w:type="dxa" w:w="2556"/>
            <w:vAlign w:val="center"/>
            <w:tcMar>
              <w:top w:w="80" w:type="dxa"/>
              <w:start w:w="80" w:type="dxa"/>
              <w:bottom w:w="80" w:type="dxa"/>
              <w:end w:w="80" w:type="dxa"/>
            </w:tcMar>
          </w:tcPr>
          <w:p>
            <w:pPr>
              <w:spacing w:after="0"/>
            </w:pPr>
            <w:r>
              <w:rPr>
                <w:sz w:val="16"/>
              </w:rPr>
              <w:t>1.0439</w:t>
            </w:r>
          </w:p>
        </w:tc>
        <w:tc>
          <w:tcPr>
            <w:tcW w:type="dxa" w:w="2556"/>
            <w:vAlign w:val="center"/>
            <w:tcMar>
              <w:top w:w="80" w:type="dxa"/>
              <w:start w:w="80" w:type="dxa"/>
              <w:bottom w:w="80" w:type="dxa"/>
              <w:end w:w="80" w:type="dxa"/>
            </w:tcMar>
          </w:tcPr>
          <w:p>
            <w:pPr>
              <w:spacing w:after="0"/>
            </w:pPr>
            <w:r>
              <w:rPr>
                <w:sz w:val="16"/>
              </w:rPr>
              <w:t>Prefers lower average similarity between clusters.</w:t>
            </w:r>
          </w:p>
        </w:tc>
      </w:tr>
      <w:tr>
        <w:trPr>
          <w:cantSplit/>
        </w:trPr>
        <w:tc>
          <w:tcPr>
            <w:tcW w:type="dxa" w:w="2556"/>
            <w:vAlign w:val="center"/>
            <w:tcMar>
              <w:top w:w="80" w:type="dxa"/>
              <w:start w:w="80" w:type="dxa"/>
              <w:bottom w:w="80" w:type="dxa"/>
              <w:end w:w="80" w:type="dxa"/>
            </w:tcMar>
          </w:tcPr>
          <w:p>
            <w:pPr>
              <w:spacing w:after="0"/>
            </w:pPr>
            <w:r>
              <w:rPr>
                <w:sz w:val="16"/>
              </w:rPr>
              <w:t>Calinski-Harabasz Score</w:t>
            </w:r>
          </w:p>
        </w:tc>
        <w:tc>
          <w:tcPr>
            <w:tcW w:type="dxa" w:w="2556"/>
            <w:vAlign w:val="center"/>
            <w:tcMar>
              <w:top w:w="80" w:type="dxa"/>
              <w:start w:w="80" w:type="dxa"/>
              <w:bottom w:w="80" w:type="dxa"/>
              <w:end w:w="80" w:type="dxa"/>
            </w:tcMar>
          </w:tcPr>
          <w:p>
            <w:pPr>
              <w:spacing w:after="0"/>
            </w:pPr>
            <w:r>
              <w:rPr>
                <w:sz w:val="16"/>
              </w:rPr>
              <w:t>2</w:t>
            </w:r>
          </w:p>
        </w:tc>
        <w:tc>
          <w:tcPr>
            <w:tcW w:type="dxa" w:w="2556"/>
            <w:vAlign w:val="center"/>
            <w:tcMar>
              <w:top w:w="80" w:type="dxa"/>
              <w:start w:w="80" w:type="dxa"/>
              <w:bottom w:w="80" w:type="dxa"/>
              <w:end w:w="80" w:type="dxa"/>
            </w:tcMar>
          </w:tcPr>
          <w:p>
            <w:pPr>
              <w:spacing w:after="0"/>
            </w:pPr>
            <w:r>
              <w:rPr>
                <w:sz w:val="16"/>
              </w:rPr>
              <w:t>5586.3037</w:t>
            </w:r>
          </w:p>
        </w:tc>
        <w:tc>
          <w:tcPr>
            <w:tcW w:type="dxa" w:w="2556"/>
            <w:vAlign w:val="center"/>
            <w:tcMar>
              <w:top w:w="80" w:type="dxa"/>
              <w:start w:w="80" w:type="dxa"/>
              <w:bottom w:w="80" w:type="dxa"/>
              <w:end w:w="80" w:type="dxa"/>
            </w:tcMar>
          </w:tcPr>
          <w:p>
            <w:pPr>
              <w:spacing w:after="0"/>
            </w:pPr>
            <w:r>
              <w:rPr>
                <w:sz w:val="16"/>
              </w:rPr>
              <w:t>Prefers strong between-cluster separation relative to within-cluster dispersion.</w:t>
            </w:r>
          </w:p>
        </w:tc>
      </w:tr>
    </w:tbl>
    <w:p>
      <w:pPr>
        <w:pStyle w:val="Heading2"/>
        <w:spacing w:before="120" w:after="100"/>
      </w:pPr>
      <w:r>
        <w:t>B.3 Top Predictive Features</w:t>
      </w:r>
    </w:p>
    <w:p>
      <w:pPr>
        <w:spacing w:after="120" w:line="259" w:lineRule="auto"/>
      </w:pPr>
      <w:r>
        <w:t>Logistic Regression top coefficients: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80" w:type="dxa"/>
              <w:bottom w:w="80" w:type="dxa"/>
              <w:end w:w="80" w:type="dxa"/>
            </w:tcMar>
            <w:shd w:fill="D9E2F3"/>
          </w:tcPr>
          <w:p>
            <w:pPr>
              <w:spacing w:after="0"/>
            </w:pPr>
            <w:r>
              <w:rPr>
                <w:b/>
                <w:sz w:val="16"/>
              </w:rPr>
              <w:t>Feature</w:t>
            </w:r>
          </w:p>
        </w:tc>
        <w:tc>
          <w:tcPr>
            <w:tcW w:type="dxa" w:w="3408"/>
            <w:vAlign w:val="center"/>
            <w:tcMar>
              <w:top w:w="80" w:type="dxa"/>
              <w:start w:w="80" w:type="dxa"/>
              <w:bottom w:w="80" w:type="dxa"/>
              <w:end w:w="80" w:type="dxa"/>
            </w:tcMar>
            <w:shd w:fill="D9E2F3"/>
          </w:tcPr>
          <w:p>
            <w:pPr>
              <w:spacing w:after="0"/>
            </w:pPr>
            <w:r>
              <w:rPr>
                <w:b/>
                <w:sz w:val="16"/>
              </w:rPr>
              <w:t>Coefficient</w:t>
            </w:r>
          </w:p>
        </w:tc>
        <w:tc>
          <w:tcPr>
            <w:tcW w:type="dxa" w:w="3408"/>
            <w:vAlign w:val="center"/>
            <w:tcMar>
              <w:top w:w="80" w:type="dxa"/>
              <w:start w:w="80" w:type="dxa"/>
              <w:bottom w:w="80" w:type="dxa"/>
              <w:end w:w="80" w:type="dxa"/>
            </w:tcMar>
            <w:shd w:fill="D9E2F3"/>
          </w:tcPr>
          <w:p>
            <w:pPr>
              <w:spacing w:after="0"/>
            </w:pPr>
            <w:r>
              <w:rPr>
                <w:b/>
                <w:sz w:val="16"/>
              </w:rPr>
              <w:t>Absolute_Coefficient</w:t>
            </w:r>
          </w:p>
        </w:tc>
      </w:tr>
      <w:tr>
        <w:trPr>
          <w:cantSplit/>
        </w:trPr>
        <w:tc>
          <w:tcPr>
            <w:tcW w:type="dxa" w:w="3408"/>
            <w:vAlign w:val="center"/>
            <w:tcMar>
              <w:top w:w="80" w:type="dxa"/>
              <w:start w:w="80" w:type="dxa"/>
              <w:bottom w:w="80" w:type="dxa"/>
              <w:end w:w="80" w:type="dxa"/>
            </w:tcMar>
          </w:tcPr>
          <w:p>
            <w:pPr>
              <w:spacing w:after="0"/>
            </w:pPr>
            <w:r>
              <w:rPr>
                <w:sz w:val="16"/>
              </w:rPr>
              <w:t>cat__Contract_Month-to-month</w:t>
            </w:r>
          </w:p>
        </w:tc>
        <w:tc>
          <w:tcPr>
            <w:tcW w:type="dxa" w:w="3408"/>
            <w:vAlign w:val="center"/>
            <w:tcMar>
              <w:top w:w="80" w:type="dxa"/>
              <w:start w:w="80" w:type="dxa"/>
              <w:bottom w:w="80" w:type="dxa"/>
              <w:end w:w="80" w:type="dxa"/>
            </w:tcMar>
          </w:tcPr>
          <w:p>
            <w:pPr>
              <w:spacing w:after="0"/>
            </w:pPr>
            <w:r>
              <w:rPr>
                <w:sz w:val="16"/>
              </w:rPr>
              <w:t>0.4862</w:t>
            </w:r>
          </w:p>
        </w:tc>
        <w:tc>
          <w:tcPr>
            <w:tcW w:type="dxa" w:w="3408"/>
            <w:vAlign w:val="center"/>
            <w:tcMar>
              <w:top w:w="80" w:type="dxa"/>
              <w:start w:w="80" w:type="dxa"/>
              <w:bottom w:w="80" w:type="dxa"/>
              <w:end w:w="80" w:type="dxa"/>
            </w:tcMar>
          </w:tcPr>
          <w:p>
            <w:pPr>
              <w:spacing w:after="0"/>
            </w:pPr>
            <w:r>
              <w:rPr>
                <w:sz w:val="16"/>
              </w:rPr>
              <w:t>0.4862</w:t>
            </w:r>
          </w:p>
        </w:tc>
      </w:tr>
      <w:tr>
        <w:trPr>
          <w:cantSplit/>
        </w:trPr>
        <w:tc>
          <w:tcPr>
            <w:tcW w:type="dxa" w:w="3408"/>
            <w:vAlign w:val="center"/>
            <w:tcMar>
              <w:top w:w="80" w:type="dxa"/>
              <w:start w:w="80" w:type="dxa"/>
              <w:bottom w:w="80" w:type="dxa"/>
              <w:end w:w="80" w:type="dxa"/>
            </w:tcMar>
          </w:tcPr>
          <w:p>
            <w:pPr>
              <w:spacing w:after="0"/>
            </w:pPr>
            <w:r>
              <w:rPr>
                <w:sz w:val="16"/>
              </w:rPr>
              <w:t>num__tenure</w:t>
            </w:r>
          </w:p>
        </w:tc>
        <w:tc>
          <w:tcPr>
            <w:tcW w:type="dxa" w:w="3408"/>
            <w:vAlign w:val="center"/>
            <w:tcMar>
              <w:top w:w="80" w:type="dxa"/>
              <w:start w:w="80" w:type="dxa"/>
              <w:bottom w:w="80" w:type="dxa"/>
              <w:end w:w="80" w:type="dxa"/>
            </w:tcMar>
          </w:tcPr>
          <w:p>
            <w:pPr>
              <w:spacing w:after="0"/>
            </w:pPr>
            <w:r>
              <w:rPr>
                <w:sz w:val="16"/>
              </w:rPr>
              <w:t>-0.4266</w:t>
            </w:r>
          </w:p>
        </w:tc>
        <w:tc>
          <w:tcPr>
            <w:tcW w:type="dxa" w:w="3408"/>
            <w:vAlign w:val="center"/>
            <w:tcMar>
              <w:top w:w="80" w:type="dxa"/>
              <w:start w:w="80" w:type="dxa"/>
              <w:bottom w:w="80" w:type="dxa"/>
              <w:end w:w="80" w:type="dxa"/>
            </w:tcMar>
          </w:tcPr>
          <w:p>
            <w:pPr>
              <w:spacing w:after="0"/>
            </w:pPr>
            <w:r>
              <w:rPr>
                <w:sz w:val="16"/>
              </w:rPr>
              <w:t>0.4266</w:t>
            </w:r>
          </w:p>
        </w:tc>
      </w:tr>
      <w:tr>
        <w:trPr>
          <w:cantSplit/>
        </w:trPr>
        <w:tc>
          <w:tcPr>
            <w:tcW w:type="dxa" w:w="3408"/>
            <w:vAlign w:val="center"/>
            <w:tcMar>
              <w:top w:w="80" w:type="dxa"/>
              <w:start w:w="80" w:type="dxa"/>
              <w:bottom w:w="80" w:type="dxa"/>
              <w:end w:w="80" w:type="dxa"/>
            </w:tcMar>
          </w:tcPr>
          <w:p>
            <w:pPr>
              <w:spacing w:after="0"/>
            </w:pPr>
            <w:r>
              <w:rPr>
                <w:sz w:val="16"/>
              </w:rPr>
              <w:t>cat__Contract_Two year</w:t>
            </w:r>
          </w:p>
        </w:tc>
        <w:tc>
          <w:tcPr>
            <w:tcW w:type="dxa" w:w="3408"/>
            <w:vAlign w:val="center"/>
            <w:tcMar>
              <w:top w:w="80" w:type="dxa"/>
              <w:start w:w="80" w:type="dxa"/>
              <w:bottom w:w="80" w:type="dxa"/>
              <w:end w:w="80" w:type="dxa"/>
            </w:tcMar>
          </w:tcPr>
          <w:p>
            <w:pPr>
              <w:spacing w:after="0"/>
            </w:pPr>
            <w:r>
              <w:rPr>
                <w:sz w:val="16"/>
              </w:rPr>
              <w:t>-0.4115</w:t>
            </w:r>
          </w:p>
        </w:tc>
        <w:tc>
          <w:tcPr>
            <w:tcW w:type="dxa" w:w="3408"/>
            <w:vAlign w:val="center"/>
            <w:tcMar>
              <w:top w:w="80" w:type="dxa"/>
              <w:start w:w="80" w:type="dxa"/>
              <w:bottom w:w="80" w:type="dxa"/>
              <w:end w:w="80" w:type="dxa"/>
            </w:tcMar>
          </w:tcPr>
          <w:p>
            <w:pPr>
              <w:spacing w:after="0"/>
            </w:pPr>
            <w:r>
              <w:rPr>
                <w:sz w:val="16"/>
              </w:rPr>
              <w:t>0.4115</w:t>
            </w:r>
          </w:p>
        </w:tc>
      </w:tr>
      <w:tr>
        <w:trPr>
          <w:cantSplit/>
        </w:trPr>
        <w:tc>
          <w:tcPr>
            <w:tcW w:type="dxa" w:w="3408"/>
            <w:vAlign w:val="center"/>
            <w:tcMar>
              <w:top w:w="80" w:type="dxa"/>
              <w:start w:w="80" w:type="dxa"/>
              <w:bottom w:w="80" w:type="dxa"/>
              <w:end w:w="80" w:type="dxa"/>
            </w:tcMar>
          </w:tcPr>
          <w:p>
            <w:pPr>
              <w:spacing w:after="0"/>
            </w:pPr>
            <w:r>
              <w:rPr>
                <w:sz w:val="16"/>
              </w:rPr>
              <w:t>cat__InternetService_Fiber optic</w:t>
            </w:r>
          </w:p>
        </w:tc>
        <w:tc>
          <w:tcPr>
            <w:tcW w:type="dxa" w:w="3408"/>
            <w:vAlign w:val="center"/>
            <w:tcMar>
              <w:top w:w="80" w:type="dxa"/>
              <w:start w:w="80" w:type="dxa"/>
              <w:bottom w:w="80" w:type="dxa"/>
              <w:end w:w="80" w:type="dxa"/>
            </w:tcMar>
          </w:tcPr>
          <w:p>
            <w:pPr>
              <w:spacing w:after="0"/>
            </w:pPr>
            <w:r>
              <w:rPr>
                <w:sz w:val="16"/>
              </w:rPr>
              <w:t>0.3172</w:t>
            </w:r>
          </w:p>
        </w:tc>
        <w:tc>
          <w:tcPr>
            <w:tcW w:type="dxa" w:w="3408"/>
            <w:vAlign w:val="center"/>
            <w:tcMar>
              <w:top w:w="80" w:type="dxa"/>
              <w:start w:w="80" w:type="dxa"/>
              <w:bottom w:w="80" w:type="dxa"/>
              <w:end w:w="80" w:type="dxa"/>
            </w:tcMar>
          </w:tcPr>
          <w:p>
            <w:pPr>
              <w:spacing w:after="0"/>
            </w:pPr>
            <w:r>
              <w:rPr>
                <w:sz w:val="16"/>
              </w:rPr>
              <w:t>0.3172</w:t>
            </w:r>
          </w:p>
        </w:tc>
      </w:tr>
      <w:tr>
        <w:trPr>
          <w:cantSplit/>
        </w:trPr>
        <w:tc>
          <w:tcPr>
            <w:tcW w:type="dxa" w:w="3408"/>
            <w:vAlign w:val="center"/>
            <w:tcMar>
              <w:top w:w="80" w:type="dxa"/>
              <w:start w:w="80" w:type="dxa"/>
              <w:bottom w:w="80" w:type="dxa"/>
              <w:end w:w="80" w:type="dxa"/>
            </w:tcMar>
          </w:tcPr>
          <w:p>
            <w:pPr>
              <w:spacing w:after="0"/>
            </w:pPr>
            <w:r>
              <w:rPr>
                <w:sz w:val="16"/>
              </w:rPr>
              <w:t>num__Is_New_Customer</w:t>
            </w:r>
          </w:p>
        </w:tc>
        <w:tc>
          <w:tcPr>
            <w:tcW w:type="dxa" w:w="3408"/>
            <w:vAlign w:val="center"/>
            <w:tcMar>
              <w:top w:w="80" w:type="dxa"/>
              <w:start w:w="80" w:type="dxa"/>
              <w:bottom w:w="80" w:type="dxa"/>
              <w:end w:w="80" w:type="dxa"/>
            </w:tcMar>
          </w:tcPr>
          <w:p>
            <w:pPr>
              <w:spacing w:after="0"/>
            </w:pPr>
            <w:r>
              <w:rPr>
                <w:sz w:val="16"/>
              </w:rPr>
              <w:t>0.3039</w:t>
            </w:r>
          </w:p>
        </w:tc>
        <w:tc>
          <w:tcPr>
            <w:tcW w:type="dxa" w:w="3408"/>
            <w:vAlign w:val="center"/>
            <w:tcMar>
              <w:top w:w="80" w:type="dxa"/>
              <w:start w:w="80" w:type="dxa"/>
              <w:bottom w:w="80" w:type="dxa"/>
              <w:end w:w="80" w:type="dxa"/>
            </w:tcMar>
          </w:tcPr>
          <w:p>
            <w:pPr>
              <w:spacing w:after="0"/>
            </w:pPr>
            <w:r>
              <w:rPr>
                <w:sz w:val="16"/>
              </w:rPr>
              <w:t>0.3039</w:t>
            </w:r>
          </w:p>
        </w:tc>
      </w:tr>
      <w:tr>
        <w:trPr>
          <w:cantSplit/>
        </w:trPr>
        <w:tc>
          <w:tcPr>
            <w:tcW w:type="dxa" w:w="3408"/>
            <w:vAlign w:val="center"/>
            <w:tcMar>
              <w:top w:w="80" w:type="dxa"/>
              <w:start w:w="80" w:type="dxa"/>
              <w:bottom w:w="80" w:type="dxa"/>
              <w:end w:w="80" w:type="dxa"/>
            </w:tcMar>
          </w:tcPr>
          <w:p>
            <w:pPr>
              <w:spacing w:after="0"/>
            </w:pPr>
            <w:r>
              <w:rPr>
                <w:sz w:val="16"/>
              </w:rPr>
              <w:t>num__MonthlyCharges</w:t>
            </w:r>
          </w:p>
        </w:tc>
        <w:tc>
          <w:tcPr>
            <w:tcW w:type="dxa" w:w="3408"/>
            <w:vAlign w:val="center"/>
            <w:tcMar>
              <w:top w:w="80" w:type="dxa"/>
              <w:start w:w="80" w:type="dxa"/>
              <w:bottom w:w="80" w:type="dxa"/>
              <w:end w:w="80" w:type="dxa"/>
            </w:tcMar>
          </w:tcPr>
          <w:p>
            <w:pPr>
              <w:spacing w:after="0"/>
            </w:pPr>
            <w:r>
              <w:rPr>
                <w:sz w:val="16"/>
              </w:rPr>
              <w:t>0.2735</w:t>
            </w:r>
          </w:p>
        </w:tc>
        <w:tc>
          <w:tcPr>
            <w:tcW w:type="dxa" w:w="3408"/>
            <w:vAlign w:val="center"/>
            <w:tcMar>
              <w:top w:w="80" w:type="dxa"/>
              <w:start w:w="80" w:type="dxa"/>
              <w:bottom w:w="80" w:type="dxa"/>
              <w:end w:w="80" w:type="dxa"/>
            </w:tcMar>
          </w:tcPr>
          <w:p>
            <w:pPr>
              <w:spacing w:after="0"/>
            </w:pPr>
            <w:r>
              <w:rPr>
                <w:sz w:val="16"/>
              </w:rPr>
              <w:t>0.2735</w:t>
            </w:r>
          </w:p>
        </w:tc>
      </w:tr>
      <w:tr>
        <w:trPr>
          <w:cantSplit/>
        </w:trPr>
        <w:tc>
          <w:tcPr>
            <w:tcW w:type="dxa" w:w="3408"/>
            <w:vAlign w:val="center"/>
            <w:tcMar>
              <w:top w:w="80" w:type="dxa"/>
              <w:start w:w="80" w:type="dxa"/>
              <w:bottom w:w="80" w:type="dxa"/>
              <w:end w:w="80" w:type="dxa"/>
            </w:tcMar>
          </w:tcPr>
          <w:p>
            <w:pPr>
              <w:spacing w:after="0"/>
            </w:pPr>
            <w:r>
              <w:rPr>
                <w:sz w:val="16"/>
              </w:rPr>
              <w:t>cat__PaymentMethod_Electronic check</w:t>
            </w:r>
          </w:p>
        </w:tc>
        <w:tc>
          <w:tcPr>
            <w:tcW w:type="dxa" w:w="3408"/>
            <w:vAlign w:val="center"/>
            <w:tcMar>
              <w:top w:w="80" w:type="dxa"/>
              <w:start w:w="80" w:type="dxa"/>
              <w:bottom w:w="80" w:type="dxa"/>
              <w:end w:w="80" w:type="dxa"/>
            </w:tcMar>
          </w:tcPr>
          <w:p>
            <w:pPr>
              <w:spacing w:after="0"/>
            </w:pPr>
            <w:r>
              <w:rPr>
                <w:sz w:val="16"/>
              </w:rPr>
              <w:t>0.2547</w:t>
            </w:r>
          </w:p>
        </w:tc>
        <w:tc>
          <w:tcPr>
            <w:tcW w:type="dxa" w:w="3408"/>
            <w:vAlign w:val="center"/>
            <w:tcMar>
              <w:top w:w="80" w:type="dxa"/>
              <w:start w:w="80" w:type="dxa"/>
              <w:bottom w:w="80" w:type="dxa"/>
              <w:end w:w="80" w:type="dxa"/>
            </w:tcMar>
          </w:tcPr>
          <w:p>
            <w:pPr>
              <w:spacing w:after="0"/>
            </w:pPr>
            <w:r>
              <w:rPr>
                <w:sz w:val="16"/>
              </w:rPr>
              <w:t>0.2547</w:t>
            </w:r>
          </w:p>
        </w:tc>
      </w:tr>
      <w:tr>
        <w:trPr>
          <w:cantSplit/>
        </w:trPr>
        <w:tc>
          <w:tcPr>
            <w:tcW w:type="dxa" w:w="3408"/>
            <w:vAlign w:val="center"/>
            <w:tcMar>
              <w:top w:w="80" w:type="dxa"/>
              <w:start w:w="80" w:type="dxa"/>
              <w:bottom w:w="80" w:type="dxa"/>
              <w:end w:w="80" w:type="dxa"/>
            </w:tcMar>
          </w:tcPr>
          <w:p>
            <w:pPr>
              <w:spacing w:after="0"/>
            </w:pPr>
            <w:r>
              <w:rPr>
                <w:sz w:val="16"/>
              </w:rPr>
              <w:t>cat__InternetService_DSL</w:t>
            </w:r>
          </w:p>
        </w:tc>
        <w:tc>
          <w:tcPr>
            <w:tcW w:type="dxa" w:w="3408"/>
            <w:vAlign w:val="center"/>
            <w:tcMar>
              <w:top w:w="80" w:type="dxa"/>
              <w:start w:w="80" w:type="dxa"/>
              <w:bottom w:w="80" w:type="dxa"/>
              <w:end w:w="80" w:type="dxa"/>
            </w:tcMar>
          </w:tcPr>
          <w:p>
            <w:pPr>
              <w:spacing w:after="0"/>
            </w:pPr>
            <w:r>
              <w:rPr>
                <w:sz w:val="16"/>
              </w:rPr>
              <w:t>-0.2397</w:t>
            </w:r>
          </w:p>
        </w:tc>
        <w:tc>
          <w:tcPr>
            <w:tcW w:type="dxa" w:w="3408"/>
            <w:vAlign w:val="center"/>
            <w:tcMar>
              <w:top w:w="80" w:type="dxa"/>
              <w:start w:w="80" w:type="dxa"/>
              <w:bottom w:w="80" w:type="dxa"/>
              <w:end w:w="80" w:type="dxa"/>
            </w:tcMar>
          </w:tcPr>
          <w:p>
            <w:pPr>
              <w:spacing w:after="0"/>
            </w:pPr>
            <w:r>
              <w:rPr>
                <w:sz w:val="16"/>
              </w:rPr>
              <w:t>0.2397</w:t>
            </w:r>
          </w:p>
        </w:tc>
      </w:tr>
      <w:tr>
        <w:trPr>
          <w:cantSplit/>
        </w:trPr>
        <w:tc>
          <w:tcPr>
            <w:tcW w:type="dxa" w:w="3408"/>
            <w:vAlign w:val="center"/>
            <w:tcMar>
              <w:top w:w="80" w:type="dxa"/>
              <w:start w:w="80" w:type="dxa"/>
              <w:bottom w:w="80" w:type="dxa"/>
              <w:end w:w="80" w:type="dxa"/>
            </w:tcMar>
          </w:tcPr>
          <w:p>
            <w:pPr>
              <w:spacing w:after="0"/>
            </w:pPr>
            <w:r>
              <w:rPr>
                <w:sz w:val="16"/>
              </w:rPr>
              <w:t>cat__OnlineSecurity_No</w:t>
            </w:r>
          </w:p>
        </w:tc>
        <w:tc>
          <w:tcPr>
            <w:tcW w:type="dxa" w:w="3408"/>
            <w:vAlign w:val="center"/>
            <w:tcMar>
              <w:top w:w="80" w:type="dxa"/>
              <w:start w:w="80" w:type="dxa"/>
              <w:bottom w:w="80" w:type="dxa"/>
              <w:end w:w="80" w:type="dxa"/>
            </w:tcMar>
          </w:tcPr>
          <w:p>
            <w:pPr>
              <w:spacing w:after="0"/>
            </w:pPr>
            <w:r>
              <w:rPr>
                <w:sz w:val="16"/>
              </w:rPr>
              <w:t>0.1901</w:t>
            </w:r>
          </w:p>
        </w:tc>
        <w:tc>
          <w:tcPr>
            <w:tcW w:type="dxa" w:w="3408"/>
            <w:vAlign w:val="center"/>
            <w:tcMar>
              <w:top w:w="80" w:type="dxa"/>
              <w:start w:w="80" w:type="dxa"/>
              <w:bottom w:w="80" w:type="dxa"/>
              <w:end w:w="80" w:type="dxa"/>
            </w:tcMar>
          </w:tcPr>
          <w:p>
            <w:pPr>
              <w:spacing w:after="0"/>
            </w:pPr>
            <w:r>
              <w:rPr>
                <w:sz w:val="16"/>
              </w:rPr>
              <w:t>0.1901</w:t>
            </w:r>
          </w:p>
        </w:tc>
      </w:tr>
      <w:tr>
        <w:trPr>
          <w:cantSplit/>
        </w:trPr>
        <w:tc>
          <w:tcPr>
            <w:tcW w:type="dxa" w:w="3408"/>
            <w:vAlign w:val="center"/>
            <w:tcMar>
              <w:top w:w="80" w:type="dxa"/>
              <w:start w:w="80" w:type="dxa"/>
              <w:bottom w:w="80" w:type="dxa"/>
              <w:end w:w="80" w:type="dxa"/>
            </w:tcMar>
          </w:tcPr>
          <w:p>
            <w:pPr>
              <w:spacing w:after="0"/>
            </w:pPr>
            <w:r>
              <w:rPr>
                <w:sz w:val="16"/>
              </w:rPr>
              <w:t>cat__TechSupport_No</w:t>
            </w:r>
          </w:p>
        </w:tc>
        <w:tc>
          <w:tcPr>
            <w:tcW w:type="dxa" w:w="3408"/>
            <w:vAlign w:val="center"/>
            <w:tcMar>
              <w:top w:w="80" w:type="dxa"/>
              <w:start w:w="80" w:type="dxa"/>
              <w:bottom w:w="80" w:type="dxa"/>
              <w:end w:w="80" w:type="dxa"/>
            </w:tcMar>
          </w:tcPr>
          <w:p>
            <w:pPr>
              <w:spacing w:after="0"/>
            </w:pPr>
            <w:r>
              <w:rPr>
                <w:sz w:val="16"/>
              </w:rPr>
              <w:t>0.1742</w:t>
            </w:r>
          </w:p>
        </w:tc>
        <w:tc>
          <w:tcPr>
            <w:tcW w:type="dxa" w:w="3408"/>
            <w:vAlign w:val="center"/>
            <w:tcMar>
              <w:top w:w="80" w:type="dxa"/>
              <w:start w:w="80" w:type="dxa"/>
              <w:bottom w:w="80" w:type="dxa"/>
              <w:end w:w="80" w:type="dxa"/>
            </w:tcMar>
          </w:tcPr>
          <w:p>
            <w:pPr>
              <w:spacing w:after="0"/>
            </w:pPr>
            <w:r>
              <w:rPr>
                <w:sz w:val="16"/>
              </w:rPr>
              <w:t>0.1742</w:t>
            </w:r>
          </w:p>
        </w:tc>
      </w:tr>
      <w:tr>
        <w:trPr>
          <w:cantSplit/>
        </w:trPr>
        <w:tc>
          <w:tcPr>
            <w:tcW w:type="dxa" w:w="3408"/>
            <w:vAlign w:val="center"/>
            <w:tcMar>
              <w:top w:w="80" w:type="dxa"/>
              <w:start w:w="80" w:type="dxa"/>
              <w:bottom w:w="80" w:type="dxa"/>
              <w:end w:w="80" w:type="dxa"/>
            </w:tcMar>
          </w:tcPr>
          <w:p>
            <w:pPr>
              <w:spacing w:after="0"/>
            </w:pPr>
            <w:r>
              <w:rPr>
                <w:sz w:val="16"/>
              </w:rPr>
              <w:t>cat__PaperlessBilling_No</w:t>
            </w:r>
          </w:p>
        </w:tc>
        <w:tc>
          <w:tcPr>
            <w:tcW w:type="dxa" w:w="3408"/>
            <w:vAlign w:val="center"/>
            <w:tcMar>
              <w:top w:w="80" w:type="dxa"/>
              <w:start w:w="80" w:type="dxa"/>
              <w:bottom w:w="80" w:type="dxa"/>
              <w:end w:w="80" w:type="dxa"/>
            </w:tcMar>
          </w:tcPr>
          <w:p>
            <w:pPr>
              <w:spacing w:after="0"/>
            </w:pPr>
            <w:r>
              <w:rPr>
                <w:sz w:val="16"/>
              </w:rPr>
              <w:t>-0.1592</w:t>
            </w:r>
          </w:p>
        </w:tc>
        <w:tc>
          <w:tcPr>
            <w:tcW w:type="dxa" w:w="3408"/>
            <w:vAlign w:val="center"/>
            <w:tcMar>
              <w:top w:w="80" w:type="dxa"/>
              <w:start w:w="80" w:type="dxa"/>
              <w:bottom w:w="80" w:type="dxa"/>
              <w:end w:w="80" w:type="dxa"/>
            </w:tcMar>
          </w:tcPr>
          <w:p>
            <w:pPr>
              <w:spacing w:after="0"/>
            </w:pPr>
            <w:r>
              <w:rPr>
                <w:sz w:val="16"/>
              </w:rPr>
              <w:t>0.1592</w:t>
            </w:r>
          </w:p>
        </w:tc>
      </w:tr>
      <w:tr>
        <w:trPr>
          <w:cantSplit/>
        </w:trPr>
        <w:tc>
          <w:tcPr>
            <w:tcW w:type="dxa" w:w="3408"/>
            <w:vAlign w:val="center"/>
            <w:tcMar>
              <w:top w:w="80" w:type="dxa"/>
              <w:start w:w="80" w:type="dxa"/>
              <w:bottom w:w="80" w:type="dxa"/>
              <w:end w:w="80" w:type="dxa"/>
            </w:tcMar>
          </w:tcPr>
          <w:p>
            <w:pPr>
              <w:spacing w:after="0"/>
            </w:pPr>
            <w:r>
              <w:rPr>
                <w:sz w:val="16"/>
              </w:rPr>
              <w:t>cat__PaperlessBilling_Yes</w:t>
            </w:r>
          </w:p>
        </w:tc>
        <w:tc>
          <w:tcPr>
            <w:tcW w:type="dxa" w:w="3408"/>
            <w:vAlign w:val="center"/>
            <w:tcMar>
              <w:top w:w="80" w:type="dxa"/>
              <w:start w:w="80" w:type="dxa"/>
              <w:bottom w:w="80" w:type="dxa"/>
              <w:end w:w="80" w:type="dxa"/>
            </w:tcMar>
          </w:tcPr>
          <w:p>
            <w:pPr>
              <w:spacing w:after="0"/>
            </w:pPr>
            <w:r>
              <w:rPr>
                <w:sz w:val="16"/>
              </w:rPr>
              <w:t>0.1589</w:t>
            </w:r>
          </w:p>
        </w:tc>
        <w:tc>
          <w:tcPr>
            <w:tcW w:type="dxa" w:w="3408"/>
            <w:vAlign w:val="center"/>
            <w:tcMar>
              <w:top w:w="80" w:type="dxa"/>
              <w:start w:w="80" w:type="dxa"/>
              <w:bottom w:w="80" w:type="dxa"/>
              <w:end w:w="80" w:type="dxa"/>
            </w:tcMar>
          </w:tcPr>
          <w:p>
            <w:pPr>
              <w:spacing w:after="0"/>
            </w:pPr>
            <w:r>
              <w:rPr>
                <w:sz w:val="16"/>
              </w:rPr>
              <w:t>0.1589</w:t>
            </w:r>
          </w:p>
        </w:tc>
      </w:tr>
    </w:tbl>
    <w:p>
      <w:pPr>
        <w:spacing w:after="120" w:line="259" w:lineRule="auto"/>
      </w:pPr>
      <w:r>
        <w:t>Random Forest top feature importances: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Mar>
              <w:top w:w="80" w:type="dxa"/>
              <w:start w:w="80" w:type="dxa"/>
              <w:bottom w:w="80" w:type="dxa"/>
              <w:end w:w="80" w:type="dxa"/>
            </w:tcMar>
            <w:shd w:fill="D9E2F3"/>
          </w:tcPr>
          <w:p>
            <w:pPr>
              <w:spacing w:after="0"/>
            </w:pPr>
            <w:r>
              <w:rPr>
                <w:b/>
                <w:sz w:val="16"/>
              </w:rPr>
              <w:t>Feature</w:t>
            </w:r>
          </w:p>
        </w:tc>
        <w:tc>
          <w:tcPr>
            <w:tcW w:type="dxa" w:w="5112"/>
            <w:vAlign w:val="center"/>
            <w:tcMar>
              <w:top w:w="80" w:type="dxa"/>
              <w:start w:w="80" w:type="dxa"/>
              <w:bottom w:w="80" w:type="dxa"/>
              <w:end w:w="80" w:type="dxa"/>
            </w:tcMar>
            <w:shd w:fill="D9E2F3"/>
          </w:tcPr>
          <w:p>
            <w:pPr>
              <w:spacing w:after="0"/>
            </w:pPr>
            <w:r>
              <w:rPr>
                <w:b/>
                <w:sz w:val="16"/>
              </w:rPr>
              <w:t>Importance</w:t>
            </w:r>
          </w:p>
        </w:tc>
      </w:tr>
      <w:tr>
        <w:trPr>
          <w:cantSplit/>
        </w:trPr>
        <w:tc>
          <w:tcPr>
            <w:tcW w:type="dxa" w:w="5112"/>
            <w:vAlign w:val="center"/>
            <w:tcMar>
              <w:top w:w="80" w:type="dxa"/>
              <w:start w:w="80" w:type="dxa"/>
              <w:bottom w:w="80" w:type="dxa"/>
              <w:end w:w="80" w:type="dxa"/>
            </w:tcMar>
          </w:tcPr>
          <w:p>
            <w:pPr>
              <w:spacing w:after="0"/>
            </w:pPr>
            <w:r>
              <w:rPr>
                <w:sz w:val="16"/>
              </w:rPr>
              <w:t>cat__Contract_Month-to-month</w:t>
            </w:r>
          </w:p>
        </w:tc>
        <w:tc>
          <w:tcPr>
            <w:tcW w:type="dxa" w:w="5112"/>
            <w:vAlign w:val="center"/>
            <w:tcMar>
              <w:top w:w="80" w:type="dxa"/>
              <w:start w:w="80" w:type="dxa"/>
              <w:bottom w:w="80" w:type="dxa"/>
              <w:end w:w="80" w:type="dxa"/>
            </w:tcMar>
          </w:tcPr>
          <w:p>
            <w:pPr>
              <w:spacing w:after="0"/>
            </w:pPr>
            <w:r>
              <w:rPr>
                <w:sz w:val="16"/>
              </w:rPr>
              <w:t>0.1169</w:t>
            </w:r>
          </w:p>
        </w:tc>
      </w:tr>
      <w:tr>
        <w:trPr>
          <w:cantSplit/>
        </w:trPr>
        <w:tc>
          <w:tcPr>
            <w:tcW w:type="dxa" w:w="5112"/>
            <w:vAlign w:val="center"/>
            <w:tcMar>
              <w:top w:w="80" w:type="dxa"/>
              <w:start w:w="80" w:type="dxa"/>
              <w:bottom w:w="80" w:type="dxa"/>
              <w:end w:w="80" w:type="dxa"/>
            </w:tcMar>
          </w:tcPr>
          <w:p>
            <w:pPr>
              <w:spacing w:after="0"/>
            </w:pPr>
            <w:r>
              <w:rPr>
                <w:sz w:val="16"/>
              </w:rPr>
              <w:t>num__tenure</w:t>
            </w:r>
          </w:p>
        </w:tc>
        <w:tc>
          <w:tcPr>
            <w:tcW w:type="dxa" w:w="5112"/>
            <w:vAlign w:val="center"/>
            <w:tcMar>
              <w:top w:w="80" w:type="dxa"/>
              <w:start w:w="80" w:type="dxa"/>
              <w:bottom w:w="80" w:type="dxa"/>
              <w:end w:w="80" w:type="dxa"/>
            </w:tcMar>
          </w:tcPr>
          <w:p>
            <w:pPr>
              <w:spacing w:after="0"/>
            </w:pPr>
            <w:r>
              <w:rPr>
                <w:sz w:val="16"/>
              </w:rPr>
              <w:t>0.1115</w:t>
            </w:r>
          </w:p>
        </w:tc>
      </w:tr>
      <w:tr>
        <w:trPr>
          <w:cantSplit/>
        </w:trPr>
        <w:tc>
          <w:tcPr>
            <w:tcW w:type="dxa" w:w="5112"/>
            <w:vAlign w:val="center"/>
            <w:tcMar>
              <w:top w:w="80" w:type="dxa"/>
              <w:start w:w="80" w:type="dxa"/>
              <w:bottom w:w="80" w:type="dxa"/>
              <w:end w:w="80" w:type="dxa"/>
            </w:tcMar>
          </w:tcPr>
          <w:p>
            <w:pPr>
              <w:spacing w:after="0"/>
            </w:pPr>
            <w:r>
              <w:rPr>
                <w:sz w:val="16"/>
              </w:rPr>
              <w:t>num__TotalCharges</w:t>
            </w:r>
          </w:p>
        </w:tc>
        <w:tc>
          <w:tcPr>
            <w:tcW w:type="dxa" w:w="5112"/>
            <w:vAlign w:val="center"/>
            <w:tcMar>
              <w:top w:w="80" w:type="dxa"/>
              <w:start w:w="80" w:type="dxa"/>
              <w:bottom w:w="80" w:type="dxa"/>
              <w:end w:w="80" w:type="dxa"/>
            </w:tcMar>
          </w:tcPr>
          <w:p>
            <w:pPr>
              <w:spacing w:after="0"/>
            </w:pPr>
            <w:r>
              <w:rPr>
                <w:sz w:val="16"/>
              </w:rPr>
              <w:t>0.1009</w:t>
            </w:r>
          </w:p>
        </w:tc>
      </w:tr>
      <w:tr>
        <w:trPr>
          <w:cantSplit/>
        </w:trPr>
        <w:tc>
          <w:tcPr>
            <w:tcW w:type="dxa" w:w="5112"/>
            <w:vAlign w:val="center"/>
            <w:tcMar>
              <w:top w:w="80" w:type="dxa"/>
              <w:start w:w="80" w:type="dxa"/>
              <w:bottom w:w="80" w:type="dxa"/>
              <w:end w:w="80" w:type="dxa"/>
            </w:tcMar>
          </w:tcPr>
          <w:p>
            <w:pPr>
              <w:spacing w:after="0"/>
            </w:pPr>
            <w:r>
              <w:rPr>
                <w:sz w:val="16"/>
              </w:rPr>
              <w:t>num__MonthlyCharges</w:t>
            </w:r>
          </w:p>
        </w:tc>
        <w:tc>
          <w:tcPr>
            <w:tcW w:type="dxa" w:w="5112"/>
            <w:vAlign w:val="center"/>
            <w:tcMar>
              <w:top w:w="80" w:type="dxa"/>
              <w:start w:w="80" w:type="dxa"/>
              <w:bottom w:w="80" w:type="dxa"/>
              <w:end w:w="80" w:type="dxa"/>
            </w:tcMar>
          </w:tcPr>
          <w:p>
            <w:pPr>
              <w:spacing w:after="0"/>
            </w:pPr>
            <w:r>
              <w:rPr>
                <w:sz w:val="16"/>
              </w:rPr>
              <w:t>0.0864</w:t>
            </w:r>
          </w:p>
        </w:tc>
      </w:tr>
      <w:tr>
        <w:trPr>
          <w:cantSplit/>
        </w:trPr>
        <w:tc>
          <w:tcPr>
            <w:tcW w:type="dxa" w:w="5112"/>
            <w:vAlign w:val="center"/>
            <w:tcMar>
              <w:top w:w="80" w:type="dxa"/>
              <w:start w:w="80" w:type="dxa"/>
              <w:bottom w:w="80" w:type="dxa"/>
              <w:end w:w="80" w:type="dxa"/>
            </w:tcMar>
          </w:tcPr>
          <w:p>
            <w:pPr>
              <w:spacing w:after="0"/>
            </w:pPr>
            <w:r>
              <w:rPr>
                <w:sz w:val="16"/>
              </w:rPr>
              <w:t>cat__Contract_Two year</w:t>
            </w:r>
          </w:p>
        </w:tc>
        <w:tc>
          <w:tcPr>
            <w:tcW w:type="dxa" w:w="5112"/>
            <w:vAlign w:val="center"/>
            <w:tcMar>
              <w:top w:w="80" w:type="dxa"/>
              <w:start w:w="80" w:type="dxa"/>
              <w:bottom w:w="80" w:type="dxa"/>
              <w:end w:w="80" w:type="dxa"/>
            </w:tcMar>
          </w:tcPr>
          <w:p>
            <w:pPr>
              <w:spacing w:after="0"/>
            </w:pPr>
            <w:r>
              <w:rPr>
                <w:sz w:val="16"/>
              </w:rPr>
              <w:t>0.0499</w:t>
            </w:r>
          </w:p>
        </w:tc>
      </w:tr>
      <w:tr>
        <w:trPr>
          <w:cantSplit/>
        </w:trPr>
        <w:tc>
          <w:tcPr>
            <w:tcW w:type="dxa" w:w="5112"/>
            <w:vAlign w:val="center"/>
            <w:tcMar>
              <w:top w:w="80" w:type="dxa"/>
              <w:start w:w="80" w:type="dxa"/>
              <w:bottom w:w="80" w:type="dxa"/>
              <w:end w:w="80" w:type="dxa"/>
            </w:tcMar>
          </w:tcPr>
          <w:p>
            <w:pPr>
              <w:spacing w:after="0"/>
            </w:pPr>
            <w:r>
              <w:rPr>
                <w:sz w:val="16"/>
              </w:rPr>
              <w:t>cat__OnlineSecurity_No</w:t>
            </w:r>
          </w:p>
        </w:tc>
        <w:tc>
          <w:tcPr>
            <w:tcW w:type="dxa" w:w="5112"/>
            <w:vAlign w:val="center"/>
            <w:tcMar>
              <w:top w:w="80" w:type="dxa"/>
              <w:start w:w="80" w:type="dxa"/>
              <w:bottom w:w="80" w:type="dxa"/>
              <w:end w:w="80" w:type="dxa"/>
            </w:tcMar>
          </w:tcPr>
          <w:p>
            <w:pPr>
              <w:spacing w:after="0"/>
            </w:pPr>
            <w:r>
              <w:rPr>
                <w:sz w:val="16"/>
              </w:rPr>
              <w:t>0.0473</w:t>
            </w:r>
          </w:p>
        </w:tc>
      </w:tr>
      <w:tr>
        <w:trPr>
          <w:cantSplit/>
        </w:trPr>
        <w:tc>
          <w:tcPr>
            <w:tcW w:type="dxa" w:w="5112"/>
            <w:vAlign w:val="center"/>
            <w:tcMar>
              <w:top w:w="80" w:type="dxa"/>
              <w:start w:w="80" w:type="dxa"/>
              <w:bottom w:w="80" w:type="dxa"/>
              <w:end w:w="80" w:type="dxa"/>
            </w:tcMar>
          </w:tcPr>
          <w:p>
            <w:pPr>
              <w:spacing w:after="0"/>
            </w:pPr>
            <w:r>
              <w:rPr>
                <w:sz w:val="16"/>
              </w:rPr>
              <w:t>cat__TechSupport_No</w:t>
            </w:r>
          </w:p>
        </w:tc>
        <w:tc>
          <w:tcPr>
            <w:tcW w:type="dxa" w:w="5112"/>
            <w:vAlign w:val="center"/>
            <w:tcMar>
              <w:top w:w="80" w:type="dxa"/>
              <w:start w:w="80" w:type="dxa"/>
              <w:bottom w:w="80" w:type="dxa"/>
              <w:end w:w="80" w:type="dxa"/>
            </w:tcMar>
          </w:tcPr>
          <w:p>
            <w:pPr>
              <w:spacing w:after="0"/>
            </w:pPr>
            <w:r>
              <w:rPr>
                <w:sz w:val="16"/>
              </w:rPr>
              <w:t>0.0413</w:t>
            </w:r>
          </w:p>
        </w:tc>
      </w:tr>
      <w:tr>
        <w:trPr>
          <w:cantSplit/>
        </w:trPr>
        <w:tc>
          <w:tcPr>
            <w:tcW w:type="dxa" w:w="5112"/>
            <w:vAlign w:val="center"/>
            <w:tcMar>
              <w:top w:w="80" w:type="dxa"/>
              <w:start w:w="80" w:type="dxa"/>
              <w:bottom w:w="80" w:type="dxa"/>
              <w:end w:w="80" w:type="dxa"/>
            </w:tcMar>
          </w:tcPr>
          <w:p>
            <w:pPr>
              <w:spacing w:after="0"/>
            </w:pPr>
            <w:r>
              <w:rPr>
                <w:sz w:val="16"/>
              </w:rPr>
              <w:t>cat__InternetService_Fiber optic</w:t>
            </w:r>
          </w:p>
        </w:tc>
        <w:tc>
          <w:tcPr>
            <w:tcW w:type="dxa" w:w="5112"/>
            <w:vAlign w:val="center"/>
            <w:tcMar>
              <w:top w:w="80" w:type="dxa"/>
              <w:start w:w="80" w:type="dxa"/>
              <w:bottom w:w="80" w:type="dxa"/>
              <w:end w:w="80" w:type="dxa"/>
            </w:tcMar>
          </w:tcPr>
          <w:p>
            <w:pPr>
              <w:spacing w:after="0"/>
            </w:pPr>
            <w:r>
              <w:rPr>
                <w:sz w:val="16"/>
              </w:rPr>
              <w:t>0.0368</w:t>
            </w:r>
          </w:p>
        </w:tc>
      </w:tr>
      <w:tr>
        <w:trPr>
          <w:cantSplit/>
        </w:trPr>
        <w:tc>
          <w:tcPr>
            <w:tcW w:type="dxa" w:w="5112"/>
            <w:vAlign w:val="center"/>
            <w:tcMar>
              <w:top w:w="80" w:type="dxa"/>
              <w:start w:w="80" w:type="dxa"/>
              <w:bottom w:w="80" w:type="dxa"/>
              <w:end w:w="80" w:type="dxa"/>
            </w:tcMar>
          </w:tcPr>
          <w:p>
            <w:pPr>
              <w:spacing w:after="0"/>
            </w:pPr>
            <w:r>
              <w:rPr>
                <w:sz w:val="16"/>
              </w:rPr>
              <w:t>cat__PaymentMethod_Electronic check</w:t>
            </w:r>
          </w:p>
        </w:tc>
        <w:tc>
          <w:tcPr>
            <w:tcW w:type="dxa" w:w="5112"/>
            <w:vAlign w:val="center"/>
            <w:tcMar>
              <w:top w:w="80" w:type="dxa"/>
              <w:start w:w="80" w:type="dxa"/>
              <w:bottom w:w="80" w:type="dxa"/>
              <w:end w:w="80" w:type="dxa"/>
            </w:tcMar>
          </w:tcPr>
          <w:p>
            <w:pPr>
              <w:spacing w:after="0"/>
            </w:pPr>
            <w:r>
              <w:rPr>
                <w:sz w:val="16"/>
              </w:rPr>
              <w:t>0.0327</w:t>
            </w:r>
          </w:p>
        </w:tc>
      </w:tr>
      <w:tr>
        <w:trPr>
          <w:cantSplit/>
        </w:trPr>
        <w:tc>
          <w:tcPr>
            <w:tcW w:type="dxa" w:w="5112"/>
            <w:vAlign w:val="center"/>
            <w:tcMar>
              <w:top w:w="80" w:type="dxa"/>
              <w:start w:w="80" w:type="dxa"/>
              <w:bottom w:w="80" w:type="dxa"/>
              <w:end w:w="80" w:type="dxa"/>
            </w:tcMar>
          </w:tcPr>
          <w:p>
            <w:pPr>
              <w:spacing w:after="0"/>
            </w:pPr>
            <w:r>
              <w:rPr>
                <w:sz w:val="16"/>
              </w:rPr>
              <w:t>num__Is_New_Customer</w:t>
            </w:r>
          </w:p>
        </w:tc>
        <w:tc>
          <w:tcPr>
            <w:tcW w:type="dxa" w:w="5112"/>
            <w:vAlign w:val="center"/>
            <w:tcMar>
              <w:top w:w="80" w:type="dxa"/>
              <w:start w:w="80" w:type="dxa"/>
              <w:bottom w:w="80" w:type="dxa"/>
              <w:end w:w="80" w:type="dxa"/>
            </w:tcMar>
          </w:tcPr>
          <w:p>
            <w:pPr>
              <w:spacing w:after="0"/>
            </w:pPr>
            <w:r>
              <w:rPr>
                <w:sz w:val="16"/>
              </w:rPr>
              <w:t>0.0238</w:t>
            </w:r>
          </w:p>
        </w:tc>
      </w:tr>
      <w:tr>
        <w:trPr>
          <w:cantSplit/>
        </w:trPr>
        <w:tc>
          <w:tcPr>
            <w:tcW w:type="dxa" w:w="5112"/>
            <w:vAlign w:val="center"/>
            <w:tcMar>
              <w:top w:w="80" w:type="dxa"/>
              <w:start w:w="80" w:type="dxa"/>
              <w:bottom w:w="80" w:type="dxa"/>
              <w:end w:w="80" w:type="dxa"/>
            </w:tcMar>
          </w:tcPr>
          <w:p>
            <w:pPr>
              <w:spacing w:after="0"/>
            </w:pPr>
            <w:r>
              <w:rPr>
                <w:sz w:val="16"/>
              </w:rPr>
              <w:t>num__SecuritySupport_Count</w:t>
            </w:r>
          </w:p>
        </w:tc>
        <w:tc>
          <w:tcPr>
            <w:tcW w:type="dxa" w:w="5112"/>
            <w:vAlign w:val="center"/>
            <w:tcMar>
              <w:top w:w="80" w:type="dxa"/>
              <w:start w:w="80" w:type="dxa"/>
              <w:bottom w:w="80" w:type="dxa"/>
              <w:end w:w="80" w:type="dxa"/>
            </w:tcMar>
          </w:tcPr>
          <w:p>
            <w:pPr>
              <w:spacing w:after="0"/>
            </w:pPr>
            <w:r>
              <w:rPr>
                <w:sz w:val="16"/>
              </w:rPr>
              <w:t>0.0227</w:t>
            </w:r>
          </w:p>
        </w:tc>
      </w:tr>
      <w:tr>
        <w:trPr>
          <w:cantSplit/>
        </w:trPr>
        <w:tc>
          <w:tcPr>
            <w:tcW w:type="dxa" w:w="5112"/>
            <w:vAlign w:val="center"/>
            <w:tcMar>
              <w:top w:w="80" w:type="dxa"/>
              <w:start w:w="80" w:type="dxa"/>
              <w:bottom w:w="80" w:type="dxa"/>
              <w:end w:w="80" w:type="dxa"/>
            </w:tcMar>
          </w:tcPr>
          <w:p>
            <w:pPr>
              <w:spacing w:after="0"/>
            </w:pPr>
            <w:r>
              <w:rPr>
                <w:sz w:val="16"/>
              </w:rPr>
              <w:t>num__Num_Services</w:t>
            </w:r>
          </w:p>
        </w:tc>
        <w:tc>
          <w:tcPr>
            <w:tcW w:type="dxa" w:w="5112"/>
            <w:vAlign w:val="center"/>
            <w:tcMar>
              <w:top w:w="80" w:type="dxa"/>
              <w:start w:w="80" w:type="dxa"/>
              <w:bottom w:w="80" w:type="dxa"/>
              <w:end w:w="80" w:type="dxa"/>
            </w:tcMar>
          </w:tcPr>
          <w:p>
            <w:pPr>
              <w:spacing w:after="0"/>
            </w:pPr>
            <w:r>
              <w:rPr>
                <w:sz w:val="16"/>
              </w:rPr>
              <w:t>0.0203</w:t>
            </w:r>
          </w:p>
        </w:tc>
      </w:tr>
    </w:tbl>
    <w:p>
      <w:pPr>
        <w:pStyle w:val="Heading1"/>
        <w:spacing w:before="200" w:after="100"/>
      </w:pPr>
      <w:r>
        <w:t>Sources and Notes</w:t>
      </w:r>
    </w:p>
    <w:p>
      <w:pPr>
        <w:spacing w:after="120" w:line="259" w:lineRule="auto"/>
      </w:pPr>
      <w:r>
        <w:t>Primary dataset: IBM Telco Customer Churn sample data. The project uses the public CSV representation of the dataset. All numerical results, charts, and model outputs in this report are based on the analysis files produced during the Week 6 workflow.</w:t>
      </w:r>
    </w:p>
    <w:p>
      <w:pPr>
        <w:spacing w:after="120" w:line="259" w:lineRule="auto"/>
      </w:pPr>
      <w:r>
        <w:t>Interpretation note: descriptive differences, statistical associations, model coefficients, feature importances, and cluster-level churn rates are presented as evidence of patterns in the supplied dataset. They are not treated as proof of causation.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6464"/>
        <w:sz w:val="16"/>
      </w:rPr>
      <w:t>Week 6 Integrative Capstone | Customer Churn Prediction &amp;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Integrative Capstone - Customer Churn Prediction and Customer Segmentation</dc:title>
  <dc:subject>Data Science with Python Internship Capstone</dc:subject>
  <dc:creator>Data Science Internship</dc:creator>
  <cp:keywords>Python, Data Science, Customer Churn, K-Means, Logistic Regression, Random Forest</cp:keywords>
  <dc:description>generated by python-docx</dc:description>
  <cp:lastModifiedBy/>
  <cp:revision>1</cp:revision>
  <dcterms:created xsi:type="dcterms:W3CDTF">2013-12-23T23:15:00Z</dcterms:created>
  <dcterms:modified xsi:type="dcterms:W3CDTF">2013-12-23T23:15:00Z</dcterms:modified>
  <cp:category/>
</cp:coreProperties>
</file>