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 VIRTUAL DATA SCIENCE WITH PYTHON TRAINEE</w:t>
      </w:r>
    </w:p>
    <w:p>
      <w:pPr>
        <w:jc w:val="center"/>
      </w:pPr>
      <w:r>
        <w:rPr>
          <w:b/>
          <w:sz w:val="54"/>
        </w:rPr>
        <w:t>WEEK 1 PROJECT REPORT</w:t>
      </w:r>
    </w:p>
    <w:p>
      <w:pPr>
        <w:jc w:val="center"/>
      </w:pPr>
      <w:r>
        <w:rPr>
          <w:b/>
          <w:sz w:val="34"/>
        </w:rPr>
        <w:t>Data Acquisition, Cleaning, and Preprocessing</w:t>
      </w:r>
    </w:p>
    <w:p/>
    <w:p>
      <w:pPr>
        <w:jc w:val="center"/>
      </w:pPr>
      <w:r>
        <w:rPr>
          <w:b/>
          <w:sz w:val="30"/>
        </w:rPr>
        <w:t>Project: Titanic Dataset Analysis</w:t>
      </w:r>
    </w:p>
    <w:p>
      <w:pPr>
        <w:jc w:val="center"/>
      </w:pPr>
      <w:r>
        <w:rPr>
          <w:sz w:val="21"/>
        </w:rPr>
        <w:t>Python • Pandas • NumPy • Matplotlib • Seaborn • Scikit-learn • Google Colab</w:t>
      </w:r>
    </w:p>
    <w:p>
      <w:r>
        <w:br w:type="page"/>
      </w:r>
    </w:p>
    <w:p>
      <w:pPr>
        <w:pStyle w:val="Heading1"/>
      </w:pPr>
      <w:r>
        <w:t>1. Introduction</w:t>
      </w:r>
    </w:p>
    <w:p>
      <w:r>
        <w:t>This project was completed for Week 1 of the Yuva Virtual Data Science with Python Trainee internship. The task focuses on acquiring a public dataset, understanding its structure, identifying data-quality issues, cleaning the data, checking inconsistencies and outliers, and preparing the data for subsequent analysis.</w:t>
      </w:r>
    </w:p>
    <w:p>
      <w:pPr>
        <w:pStyle w:val="Heading1"/>
      </w:pPr>
      <w:r>
        <w:t>2. Objective</w:t>
      </w:r>
    </w:p>
    <w:p>
      <w:pPr>
        <w:pStyle w:val="ListBullet"/>
      </w:pPr>
      <w:r>
        <w:t>Acquire and inspect a publicly available dataset using Python.</w:t>
      </w:r>
    </w:p>
    <w:p>
      <w:pPr>
        <w:pStyle w:val="ListBullet"/>
      </w:pPr>
      <w:r>
        <w:t>Understand the dataset dimensions, columns, and data types.</w:t>
      </w:r>
    </w:p>
    <w:p>
      <w:pPr>
        <w:pStyle w:val="ListBullet"/>
      </w:pPr>
      <w:r>
        <w:t>Identify and handle missing values and duplicate records.</w:t>
      </w:r>
    </w:p>
    <w:p>
      <w:pPr>
        <w:pStyle w:val="ListBullet"/>
      </w:pPr>
      <w:r>
        <w:t>Check categorical variables for consistency.</w:t>
      </w:r>
    </w:p>
    <w:p>
      <w:pPr>
        <w:pStyle w:val="ListBullet"/>
      </w:pPr>
      <w:r>
        <w:t>Detect numerical outliers using the IQR method.</w:t>
      </w:r>
    </w:p>
    <w:p>
      <w:pPr>
        <w:pStyle w:val="ListBullet"/>
      </w:pPr>
      <w:r>
        <w:t>Treat extreme values while retaining useful observations.</w:t>
      </w:r>
    </w:p>
    <w:p>
      <w:pPr>
        <w:pStyle w:val="ListBullet"/>
      </w:pPr>
      <w:r>
        <w:t>Prepare a cleaned dataset suitable for further data-science work.</w:t>
      </w:r>
    </w:p>
    <w:p>
      <w:pPr>
        <w:pStyle w:val="Heading1"/>
      </w:pPr>
      <w:r>
        <w:t>3. Dataset and Initial Inspection</w:t>
      </w:r>
    </w:p>
    <w:p>
      <w:r>
        <w:t>The Titanic dataset was loaded using Seaborn's built-in dataset loader. The initial dataset contained 891 rows and 15 columns. The notebook used head(), shape, columns, and info() to inspect the data before cleaning.</w:t>
      </w:r>
    </w:p>
    <w:p>
      <w:r>
        <w:drawing>
          <wp:inline xmlns:a="http://schemas.openxmlformats.org/drawingml/2006/main" xmlns:pic="http://schemas.openxmlformats.org/drawingml/2006/picture">
            <wp:extent cx="5943600" cy="5094514"/>
            <wp:docPr id="1" name="Picture 1"/>
            <wp:cNvGraphicFramePr>
              <a:graphicFrameLocks noChangeAspect="1"/>
            </wp:cNvGraphicFramePr>
            <a:graphic>
              <a:graphicData uri="http://schemas.openxmlformats.org/drawingml/2006/picture">
                <pic:pic>
                  <pic:nvPicPr>
                    <pic:cNvPr id="0" name="fig1_initial_inspection.png"/>
                    <pic:cNvPicPr/>
                  </pic:nvPicPr>
                  <pic:blipFill>
                    <a:blip r:embed="rId10"/>
                    <a:stretch>
                      <a:fillRect/>
                    </a:stretch>
                  </pic:blipFill>
                  <pic:spPr>
                    <a:xfrm>
                      <a:off x="0" y="0"/>
                      <a:ext cx="5943600" cy="5094514"/>
                    </a:xfrm>
                    <a:prstGeom prst="rect"/>
                  </pic:spPr>
                </pic:pic>
              </a:graphicData>
            </a:graphic>
          </wp:inline>
        </w:drawing>
      </w:r>
    </w:p>
    <w:p>
      <w:pPr>
        <w:pStyle w:val="FigureCaption"/>
        <w:jc w:val="center"/>
      </w:pPr>
      <w:r>
        <w:t>Figure 1. Google Colab evidence showing project setup, dataset loading, sample records, dimensions, and initial schema.</w:t>
      </w:r>
    </w:p>
    <w:p>
      <w:pPr>
        <w:pStyle w:val="Heading1"/>
      </w:pPr>
      <w:r>
        <w:t>4. Missing Value Analysis</w:t>
      </w:r>
    </w:p>
    <w:p>
      <w:r>
        <w:t>Missing values were quantified using Pandas isnull().sum() and converted into percentages. The notebook identified 177 missing values in age (19.87%), 2 in embarked (0.22%), 688 in deck (77.22%), and 2 in embark_town (0.22%) before cleaning.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Column</w:t>
            </w:r>
          </w:p>
        </w:tc>
        <w:tc>
          <w:tcPr>
            <w:tcW w:type="dxa" w:w="3360"/>
          </w:tcPr>
          <w:p>
            <w:r>
              <w:t>Missing before cleaning</w:t>
            </w:r>
          </w:p>
        </w:tc>
        <w:tc>
          <w:tcPr>
            <w:tcW w:type="dxa" w:w="3360"/>
          </w:tcPr>
          <w:p>
            <w:r>
              <w:t>Treatment shown in notebook</w:t>
            </w:r>
          </w:p>
        </w:tc>
      </w:tr>
      <w:tr>
        <w:tc>
          <w:tcPr>
            <w:tcW w:type="dxa" w:w="3360"/>
          </w:tcPr>
          <w:p>
            <w:r>
              <w:t>age</w:t>
            </w:r>
          </w:p>
        </w:tc>
        <w:tc>
          <w:tcPr>
            <w:tcW w:type="dxa" w:w="3360"/>
          </w:tcPr>
          <w:p>
            <w:r>
              <w:t>177 (19.87%)</w:t>
            </w:r>
          </w:p>
        </w:tc>
        <w:tc>
          <w:tcPr>
            <w:tcW w:type="dxa" w:w="3360"/>
          </w:tcPr>
          <w:p>
            <w:r>
              <w:t>Median imputation</w:t>
            </w:r>
          </w:p>
        </w:tc>
      </w:tr>
      <w:tr>
        <w:tc>
          <w:tcPr>
            <w:tcW w:type="dxa" w:w="3360"/>
          </w:tcPr>
          <w:p>
            <w:r>
              <w:t>embarked</w:t>
            </w:r>
          </w:p>
        </w:tc>
        <w:tc>
          <w:tcPr>
            <w:tcW w:type="dxa" w:w="3360"/>
          </w:tcPr>
          <w:p>
            <w:r>
              <w:t>2 (0.22%)</w:t>
            </w:r>
          </w:p>
        </w:tc>
        <w:tc>
          <w:tcPr>
            <w:tcW w:type="dxa" w:w="3360"/>
          </w:tcPr>
          <w:p>
            <w:r>
              <w:t>Mode imputation</w:t>
            </w:r>
          </w:p>
        </w:tc>
      </w:tr>
      <w:tr>
        <w:tc>
          <w:tcPr>
            <w:tcW w:type="dxa" w:w="3360"/>
          </w:tcPr>
          <w:p>
            <w:r>
              <w:t>deck</w:t>
            </w:r>
          </w:p>
        </w:tc>
        <w:tc>
          <w:tcPr>
            <w:tcW w:type="dxa" w:w="3360"/>
          </w:tcPr>
          <w:p>
            <w:r>
              <w:t>688 (77.22%)</w:t>
            </w:r>
          </w:p>
        </w:tc>
        <w:tc>
          <w:tcPr>
            <w:tcW w:type="dxa" w:w="3360"/>
          </w:tcPr>
          <w:p>
            <w:r>
              <w:t>Column removed</w:t>
            </w:r>
          </w:p>
        </w:tc>
      </w:tr>
      <w:tr>
        <w:tc>
          <w:tcPr>
            <w:tcW w:type="dxa" w:w="3360"/>
          </w:tcPr>
          <w:p>
            <w:r>
              <w:t>embark_town</w:t>
            </w:r>
          </w:p>
        </w:tc>
        <w:tc>
          <w:tcPr>
            <w:tcW w:type="dxa" w:w="3360"/>
          </w:tcPr>
          <w:p>
            <w:r>
              <w:t>2 (0.22%)</w:t>
            </w:r>
          </w:p>
        </w:tc>
        <w:tc>
          <w:tcPr>
            <w:tcW w:type="dxa" w:w="3360"/>
          </w:tcPr>
          <w:p>
            <w:r>
              <w:t>Not explicitly imputed; later represented as 'nan' during text standardization</w:t>
            </w:r>
          </w:p>
        </w:tc>
      </w:tr>
    </w:tbl>
    <w:p>
      <w:r>
        <w:drawing>
          <wp:inline xmlns:a="http://schemas.openxmlformats.org/drawingml/2006/main" xmlns:pic="http://schemas.openxmlformats.org/drawingml/2006/picture">
            <wp:extent cx="5943600" cy="6792686"/>
            <wp:docPr id="2" name="Picture 2"/>
            <wp:cNvGraphicFramePr>
              <a:graphicFrameLocks noChangeAspect="1"/>
            </wp:cNvGraphicFramePr>
            <a:graphic>
              <a:graphicData uri="http://schemas.openxmlformats.org/drawingml/2006/picture">
                <pic:pic>
                  <pic:nvPicPr>
                    <pic:cNvPr id="0" name="fig2_missing_analysis.png"/>
                    <pic:cNvPicPr/>
                  </pic:nvPicPr>
                  <pic:blipFill>
                    <a:blip r:embed="rId11"/>
                    <a:stretch>
                      <a:fillRect/>
                    </a:stretch>
                  </pic:blipFill>
                  <pic:spPr>
                    <a:xfrm>
                      <a:off x="0" y="0"/>
                      <a:ext cx="5943600" cy="6792686"/>
                    </a:xfrm>
                    <a:prstGeom prst="rect"/>
                  </pic:spPr>
                </pic:pic>
              </a:graphicData>
            </a:graphic>
          </wp:inline>
        </w:drawing>
      </w:r>
    </w:p>
    <w:p>
      <w:pPr>
        <w:pStyle w:val="FigureCaption"/>
        <w:jc w:val="center"/>
      </w:pPr>
      <w:r>
        <w:t>Figure 2. Missing-value counts, percentages, and heatmap from the completed Colab notebook.</w:t>
      </w:r>
    </w:p>
    <w:p>
      <w:pPr>
        <w:pStyle w:val="Heading1"/>
      </w:pPr>
      <w:r>
        <w:t>5. Missing Value Treatment</w:t>
      </w:r>
    </w:p>
    <w:p>
      <w:r>
        <w:t>The age column was filled using its median, which is a robust measure for numerical imputation. The embarked column was filled using its mode. The deck column was removed because 688 of the original 891 records were missing that attribute. The notebook output confirms that age and embarked had zero null values after their respective treatments.</w:t>
      </w:r>
    </w:p>
    <w:p>
      <w:r>
        <w:t>A data-quality note is important for the final report: embark_town originally had two missing values. The categorical-standardization code converted missing entries to the literal string 'nan'. Therefore, a future refinement should explicitly impute or remove those two values rather than treating the text 'nan' as a valid category.</w:t>
      </w:r>
    </w:p>
    <w:p>
      <w:pPr>
        <w:pStyle w:val="Heading1"/>
      </w:pPr>
      <w:r>
        <w:t>6. Duplicate Detection</w:t>
      </w:r>
    </w:p>
    <w:p>
      <w:r>
        <w:t>Duplicate rows were checked using duplicated().sum(). The notebook found 116 duplicate rows. These rows were removed using drop_duplicates(), leaving 775 rows and 14 columns in the working dataset. A subsequent check confirmed zero duplicate rows remaining.</w:t>
      </w:r>
    </w:p>
    <w:p>
      <w:r>
        <w:drawing>
          <wp:inline xmlns:a="http://schemas.openxmlformats.org/drawingml/2006/main" xmlns:pic="http://schemas.openxmlformats.org/drawingml/2006/picture">
            <wp:extent cx="5943600" cy="6509657"/>
            <wp:docPr id="3" name="Picture 3"/>
            <wp:cNvGraphicFramePr>
              <a:graphicFrameLocks noChangeAspect="1"/>
            </wp:cNvGraphicFramePr>
            <a:graphic>
              <a:graphicData uri="http://schemas.openxmlformats.org/drawingml/2006/picture">
                <pic:pic>
                  <pic:nvPicPr>
                    <pic:cNvPr id="0" name="fig3_duplicates.png"/>
                    <pic:cNvPicPr/>
                  </pic:nvPicPr>
                  <pic:blipFill>
                    <a:blip r:embed="rId12"/>
                    <a:stretch>
                      <a:fillRect/>
                    </a:stretch>
                  </pic:blipFill>
                  <pic:spPr>
                    <a:xfrm>
                      <a:off x="0" y="0"/>
                      <a:ext cx="5943600" cy="6509657"/>
                    </a:xfrm>
                    <a:prstGeom prst="rect"/>
                  </pic:spPr>
                </pic:pic>
              </a:graphicData>
            </a:graphic>
          </wp:inline>
        </w:drawing>
      </w:r>
    </w:p>
    <w:p>
      <w:pPr>
        <w:pStyle w:val="FigureCaption"/>
        <w:jc w:val="center"/>
      </w:pPr>
      <w:r>
        <w:t>Figure 3. Duplicate detection/removal and data-type inspection evidence.</w:t>
      </w:r>
    </w:p>
    <w:p>
      <w:pPr>
        <w:pStyle w:val="Heading1"/>
      </w:pPr>
      <w:r>
        <w:t>7. Data Type and Categorical Consistency Checks</w:t>
      </w:r>
    </w:p>
    <w:p>
      <w:r>
        <w:t>The notebook inspected data types and separated numerical and categorical variables. The numerical columns identified were survived, pclass, age, sibsp, parch, and fare. The object-type categorical columns identified were sex, embarked, who, embark_town, and alive. Unique values and frequency counts were then reviewed.</w:t>
      </w:r>
    </w:p>
    <w:p>
      <w:r>
        <w:drawing>
          <wp:inline xmlns:a="http://schemas.openxmlformats.org/drawingml/2006/main" xmlns:pic="http://schemas.openxmlformats.org/drawingml/2006/picture">
            <wp:extent cx="5943600" cy="5943600"/>
            <wp:docPr id="4" name="Picture 4"/>
            <wp:cNvGraphicFramePr>
              <a:graphicFrameLocks noChangeAspect="1"/>
            </wp:cNvGraphicFramePr>
            <a:graphic>
              <a:graphicData uri="http://schemas.openxmlformats.org/drawingml/2006/picture">
                <pic:pic>
                  <pic:nvPicPr>
                    <pic:cNvPr id="0" name="fig4_categorical.png"/>
                    <pic:cNvPicPr/>
                  </pic:nvPicPr>
                  <pic:blipFill>
                    <a:blip r:embed="rId13"/>
                    <a:stretch>
                      <a:fillRect/>
                    </a:stretch>
                  </pic:blipFill>
                  <pic:spPr>
                    <a:xfrm>
                      <a:off x="0" y="0"/>
                      <a:ext cx="5943600" cy="5943600"/>
                    </a:xfrm>
                    <a:prstGeom prst="rect"/>
                  </pic:spPr>
                </pic:pic>
              </a:graphicData>
            </a:graphic>
          </wp:inline>
        </w:drawing>
      </w:r>
    </w:p>
    <w:p>
      <w:pPr>
        <w:pStyle w:val="FigureCaption"/>
        <w:jc w:val="center"/>
      </w:pPr>
      <w:r>
        <w:t>Figure 4. Categorical unique-value checks, frequency counts, text standardization, and statistical summary evidence.</w:t>
      </w:r>
    </w:p>
    <w:p>
      <w:pPr>
        <w:pStyle w:val="Heading1"/>
      </w:pPr>
      <w:r>
        <w:t>8. Statistical Summary</w:t>
      </w:r>
    </w:p>
    <w:p>
      <w:r>
        <w:t>After duplicate removal, the numerical summary was calculated for 775 observations. The notebook reports a mean age of approximately 29.58 years and a median age of 28 years. Fare has a mean of approximately 34.88 before the displayed IQR treatment. The maximum observed age was 80 years and the maximum fare was 512.3292 before capping.</w:t>
      </w:r>
    </w:p>
    <w:p>
      <w:pPr>
        <w:pStyle w:val="Heading1"/>
      </w:pPr>
      <w:r>
        <w:t>9. Outlier Detection Using IQR</w:t>
      </w:r>
    </w:p>
    <w:p>
      <w:r>
        <w:t>Potential outliers were identified for age, fare, sibsp, and parch using the Interquartile Range (IQR) rule. The notebook reported 27 potential outliers for age, 102 for fare, 39 for sibsp, and 15 for parch. Boxplots were generated to visually inspect the distributions and extreme observations.</w:t>
      </w:r>
    </w:p>
    <w:tbl>
      <w:tblPr>
        <w:tblStyle w:val="TableGrid"/>
        <w:tblW w:type="auto" w:w="0"/>
        <w:jc w:val="center"/>
        <w:tblLook w:firstColumn="1" w:firstRow="1" w:lastColumn="0" w:lastRow="0" w:noHBand="0" w:noVBand="1" w:val="04A0"/>
      </w:tblPr>
      <w:tblGrid>
        <w:gridCol w:w="5040"/>
        <w:gridCol w:w="5040"/>
      </w:tblGrid>
      <w:tr>
        <w:tc>
          <w:tcPr>
            <w:tcW w:type="dxa" w:w="5040"/>
          </w:tcPr>
          <w:p>
            <w:r>
              <w:t>Variable</w:t>
            </w:r>
          </w:p>
        </w:tc>
        <w:tc>
          <w:tcPr>
            <w:tcW w:type="dxa" w:w="5040"/>
          </w:tcPr>
          <w:p>
            <w:r>
              <w:t>Potential outliers identified</w:t>
            </w:r>
          </w:p>
        </w:tc>
      </w:tr>
      <w:tr>
        <w:tc>
          <w:tcPr>
            <w:tcW w:type="dxa" w:w="5040"/>
          </w:tcPr>
          <w:p>
            <w:r>
              <w:t>age</w:t>
            </w:r>
          </w:p>
        </w:tc>
        <w:tc>
          <w:tcPr>
            <w:tcW w:type="dxa" w:w="5040"/>
          </w:tcPr>
          <w:p>
            <w:r>
              <w:t>27</w:t>
            </w:r>
          </w:p>
        </w:tc>
      </w:tr>
      <w:tr>
        <w:tc>
          <w:tcPr>
            <w:tcW w:type="dxa" w:w="5040"/>
          </w:tcPr>
          <w:p>
            <w:r>
              <w:t>fare</w:t>
            </w:r>
          </w:p>
        </w:tc>
        <w:tc>
          <w:tcPr>
            <w:tcW w:type="dxa" w:w="5040"/>
          </w:tcPr>
          <w:p>
            <w:r>
              <w:t>102</w:t>
            </w:r>
          </w:p>
        </w:tc>
      </w:tr>
      <w:tr>
        <w:tc>
          <w:tcPr>
            <w:tcW w:type="dxa" w:w="5040"/>
          </w:tcPr>
          <w:p>
            <w:r>
              <w:t>sibsp</w:t>
            </w:r>
          </w:p>
        </w:tc>
        <w:tc>
          <w:tcPr>
            <w:tcW w:type="dxa" w:w="5040"/>
          </w:tcPr>
          <w:p>
            <w:r>
              <w:t>39</w:t>
            </w:r>
          </w:p>
        </w:tc>
      </w:tr>
      <w:tr>
        <w:tc>
          <w:tcPr>
            <w:tcW w:type="dxa" w:w="5040"/>
          </w:tcPr>
          <w:p>
            <w:r>
              <w:t>parch</w:t>
            </w:r>
          </w:p>
        </w:tc>
        <w:tc>
          <w:tcPr>
            <w:tcW w:type="dxa" w:w="5040"/>
          </w:tcPr>
          <w:p>
            <w:r>
              <w:t>15</w:t>
            </w:r>
          </w:p>
        </w:tc>
      </w:tr>
    </w:tbl>
    <w:p>
      <w:r>
        <w:drawing>
          <wp:inline xmlns:a="http://schemas.openxmlformats.org/drawingml/2006/main" xmlns:pic="http://schemas.openxmlformats.org/drawingml/2006/picture">
            <wp:extent cx="5943600" cy="7924800"/>
            <wp:docPr id="5" name="Picture 5"/>
            <wp:cNvGraphicFramePr>
              <a:graphicFrameLocks noChangeAspect="1"/>
            </wp:cNvGraphicFramePr>
            <a:graphic>
              <a:graphicData uri="http://schemas.openxmlformats.org/drawingml/2006/picture">
                <pic:pic>
                  <pic:nvPicPr>
                    <pic:cNvPr id="0" name="fig5_statistics_iqr.png"/>
                    <pic:cNvPicPr/>
                  </pic:nvPicPr>
                  <pic:blipFill>
                    <a:blip r:embed="rId14"/>
                    <a:stretch>
                      <a:fillRect/>
                    </a:stretch>
                  </pic:blipFill>
                  <pic:spPr>
                    <a:xfrm>
                      <a:off x="0" y="0"/>
                      <a:ext cx="5943600" cy="7924800"/>
                    </a:xfrm>
                    <a:prstGeom prst="rect"/>
                  </pic:spPr>
                </pic:pic>
              </a:graphicData>
            </a:graphic>
          </wp:inline>
        </w:drawing>
      </w:r>
    </w:p>
    <w:p>
      <w:pPr>
        <w:pStyle w:val="FigureCaption"/>
        <w:jc w:val="center"/>
      </w:pPr>
      <w:r>
        <w:t>Figure 5. Numerical/statistical summary and IQR-based outlier detection output, including the Age boxplot.</w:t>
      </w:r>
    </w:p>
    <w:p>
      <w:pPr>
        <w:pStyle w:val="Heading1"/>
      </w:pPr>
      <w:r>
        <w:t>10. Outlier Treatment</w:t>
      </w:r>
    </w:p>
    <w:p>
      <w:r>
        <w:t>For the continuous variables age and fare, the notebook applied IQR capping. Values below the calculated lower bound or above the upper bound were clipped to the respective bounds. This method reduces the influence of extreme observations while preserving the passenger records.</w:t>
      </w:r>
    </w:p>
    <w:p>
      <w:r>
        <w:drawing>
          <wp:inline xmlns:a="http://schemas.openxmlformats.org/drawingml/2006/main" xmlns:pic="http://schemas.openxmlformats.org/drawingml/2006/picture">
            <wp:extent cx="5943600" cy="11038114"/>
            <wp:docPr id="6" name="Picture 6"/>
            <wp:cNvGraphicFramePr>
              <a:graphicFrameLocks noChangeAspect="1"/>
            </wp:cNvGraphicFramePr>
            <a:graphic>
              <a:graphicData uri="http://schemas.openxmlformats.org/drawingml/2006/picture">
                <pic:pic>
                  <pic:nvPicPr>
                    <pic:cNvPr id="0" name="fig6_outlier_treatment.png"/>
                    <pic:cNvPicPr/>
                  </pic:nvPicPr>
                  <pic:blipFill>
                    <a:blip r:embed="rId15"/>
                    <a:stretch>
                      <a:fillRect/>
                    </a:stretch>
                  </pic:blipFill>
                  <pic:spPr>
                    <a:xfrm>
                      <a:off x="0" y="0"/>
                      <a:ext cx="5943600" cy="11038114"/>
                    </a:xfrm>
                    <a:prstGeom prst="rect"/>
                  </pic:spPr>
                </pic:pic>
              </a:graphicData>
            </a:graphic>
          </wp:inline>
        </w:drawing>
      </w:r>
    </w:p>
    <w:p>
      <w:pPr>
        <w:pStyle w:val="FigureCaption"/>
        <w:jc w:val="center"/>
      </w:pPr>
      <w:r>
        <w:t>Figure 6. Boxplots for age, fare, sibsp, and parch, followed by IQR capping and the final data-quality-check cell.</w:t>
      </w:r>
    </w:p>
    <w:p>
      <w:pPr>
        <w:pStyle w:val="Heading1"/>
      </w:pPr>
      <w:r>
        <w:t>11. Cleaning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Data-quality issue</w:t>
            </w:r>
          </w:p>
        </w:tc>
        <w:tc>
          <w:tcPr>
            <w:tcW w:type="dxa" w:w="3360"/>
          </w:tcPr>
          <w:p>
            <w:r>
              <w:t>Action</w:t>
            </w:r>
          </w:p>
        </w:tc>
        <w:tc>
          <w:tcPr>
            <w:tcW w:type="dxa" w:w="3360"/>
          </w:tcPr>
          <w:p>
            <w:r>
              <w:t>Outcome</w:t>
            </w:r>
          </w:p>
        </w:tc>
      </w:tr>
      <w:tr>
        <w:tc>
          <w:tcPr>
            <w:tcW w:type="dxa" w:w="3360"/>
          </w:tcPr>
          <w:p>
            <w:r>
              <w:t>Age missingness</w:t>
            </w:r>
          </w:p>
        </w:tc>
        <w:tc>
          <w:tcPr>
            <w:tcW w:type="dxa" w:w="3360"/>
          </w:tcPr>
          <w:p>
            <w:r>
              <w:t>Median imputation</w:t>
            </w:r>
          </w:p>
        </w:tc>
        <w:tc>
          <w:tcPr>
            <w:tcW w:type="dxa" w:w="3360"/>
          </w:tcPr>
          <w:p>
            <w:r>
              <w:t>177 missing values addressed</w:t>
            </w:r>
          </w:p>
        </w:tc>
      </w:tr>
      <w:tr>
        <w:tc>
          <w:tcPr>
            <w:tcW w:type="dxa" w:w="3360"/>
          </w:tcPr>
          <w:p>
            <w:r>
              <w:t>Embarked missingness</w:t>
            </w:r>
          </w:p>
        </w:tc>
        <w:tc>
          <w:tcPr>
            <w:tcW w:type="dxa" w:w="3360"/>
          </w:tcPr>
          <w:p>
            <w:r>
              <w:t>Mode imputation</w:t>
            </w:r>
          </w:p>
        </w:tc>
        <w:tc>
          <w:tcPr>
            <w:tcW w:type="dxa" w:w="3360"/>
          </w:tcPr>
          <w:p>
            <w:r>
              <w:t>2 missing values addressed</w:t>
            </w:r>
          </w:p>
        </w:tc>
      </w:tr>
      <w:tr>
        <w:tc>
          <w:tcPr>
            <w:tcW w:type="dxa" w:w="3360"/>
          </w:tcPr>
          <w:p>
            <w:r>
              <w:t>Deck missingness</w:t>
            </w:r>
          </w:p>
        </w:tc>
        <w:tc>
          <w:tcPr>
            <w:tcW w:type="dxa" w:w="3360"/>
          </w:tcPr>
          <w:p>
            <w:r>
              <w:t>Column removal</w:t>
            </w:r>
          </w:p>
        </w:tc>
        <w:tc>
          <w:tcPr>
            <w:tcW w:type="dxa" w:w="3360"/>
          </w:tcPr>
          <w:p>
            <w:r>
              <w:t>Highly incomplete attribute removed</w:t>
            </w:r>
          </w:p>
        </w:tc>
      </w:tr>
      <w:tr>
        <w:tc>
          <w:tcPr>
            <w:tcW w:type="dxa" w:w="3360"/>
          </w:tcPr>
          <w:p>
            <w:r>
              <w:t>Duplicate rows</w:t>
            </w:r>
          </w:p>
        </w:tc>
        <w:tc>
          <w:tcPr>
            <w:tcW w:type="dxa" w:w="3360"/>
          </w:tcPr>
          <w:p>
            <w:r>
              <w:t>drop_duplicates()</w:t>
            </w:r>
          </w:p>
        </w:tc>
        <w:tc>
          <w:tcPr>
            <w:tcW w:type="dxa" w:w="3360"/>
          </w:tcPr>
          <w:p>
            <w:r>
              <w:t>116 duplicates removed; 775 rows remained</w:t>
            </w:r>
          </w:p>
        </w:tc>
      </w:tr>
      <w:tr>
        <w:tc>
          <w:tcPr>
            <w:tcW w:type="dxa" w:w="3360"/>
          </w:tcPr>
          <w:p>
            <w:r>
              <w:t>Categorical formatting</w:t>
            </w:r>
          </w:p>
        </w:tc>
        <w:tc>
          <w:tcPr>
            <w:tcW w:type="dxa" w:w="3360"/>
          </w:tcPr>
          <w:p>
            <w:r>
              <w:t>strip() + lower()</w:t>
            </w:r>
          </w:p>
        </w:tc>
        <w:tc>
          <w:tcPr>
            <w:tcW w:type="dxa" w:w="3360"/>
          </w:tcPr>
          <w:p>
            <w:r>
              <w:t>Text representation standardized</w:t>
            </w:r>
          </w:p>
        </w:tc>
      </w:tr>
      <w:tr>
        <w:tc>
          <w:tcPr>
            <w:tcW w:type="dxa" w:w="3360"/>
          </w:tcPr>
          <w:p>
            <w:r>
              <w:t>Numerical outliers</w:t>
            </w:r>
          </w:p>
        </w:tc>
        <w:tc>
          <w:tcPr>
            <w:tcW w:type="dxa" w:w="3360"/>
          </w:tcPr>
          <w:p>
            <w:r>
              <w:t>IQR analysis + capping for age/fare</w:t>
            </w:r>
          </w:p>
        </w:tc>
        <w:tc>
          <w:tcPr>
            <w:tcW w:type="dxa" w:w="3360"/>
          </w:tcPr>
          <w:p>
            <w:r>
              <w:t>Extreme continuous values capped</w:t>
            </w:r>
          </w:p>
        </w:tc>
      </w:tr>
    </w:tbl>
    <w:p>
      <w:pPr>
        <w:pStyle w:val="Heading1"/>
      </w:pPr>
      <w:r>
        <w:t>12. Conclusion</w:t>
      </w:r>
    </w:p>
    <w:p>
      <w:r>
        <w:t>The Week 1 data acquisition, inspection, and cleaning workflow was implemented in Google Colab using Python. The Titanic dataset was inspected from its original 891-row, 15-column form, missing values were analyzed and treated where specified, 116 duplicate records were removed, categorical values were reviewed and standardized, and potential outliers were identified with the IQR method. IQR capping was applied to age and fare to reduce the effect of extreme values while retaining records. The resulting working dataset contained 775 rows and 14 columns. The notebook provides a strong foundation for subsequent exploratory analysis and machine-learning work. One remaining data-quality consideration is the two original embark_town missing values, which should be handled explicitly before treating that feature as fully clean.</w:t>
      </w:r>
    </w:p>
    <w:p>
      <w:pPr>
        <w:pStyle w:val="Heading1"/>
      </w:pPr>
      <w:r>
        <w:t>13. Evidence and Reproducibility</w:t>
      </w:r>
    </w:p>
    <w:p>
      <w:r>
        <w:t>All figures in this report were cropped from the user's exported Google Colab notebook PDF. The evidence shows the executed code and outputs used during the Week 1 workflow. The source file was a one-page rendered Colab notebook containing the project setup, data inspection, missing-value analysis, duplicate handling, categorical checks, statistical summary, IQR outlier analysis, boxplots, and outlier capping. fileciteturn0file0L1-L2</w:t>
      </w:r>
    </w:p>
    <w:p>
      <w:pPr>
        <w:pStyle w:val="Heading1"/>
      </w:pPr>
      <w:r>
        <w:t>14. References</w:t>
      </w:r>
    </w:p>
    <w:p>
      <w:pPr>
        <w:pStyle w:val="ListBullet"/>
      </w:pPr>
      <w:r>
        <w:t>Seaborn — statistical data visualization and example datasets.</w:t>
      </w:r>
    </w:p>
    <w:p>
      <w:pPr>
        <w:pStyle w:val="ListBullet"/>
      </w:pPr>
      <w:r>
        <w:t>Pandas — data manipulation and analysis.</w:t>
      </w:r>
    </w:p>
    <w:p>
      <w:pPr>
        <w:pStyle w:val="ListBullet"/>
      </w:pPr>
      <w:r>
        <w:t>NumPy — numerical computing.</w:t>
      </w:r>
    </w:p>
    <w:p>
      <w:pPr>
        <w:pStyle w:val="ListBullet"/>
      </w:pPr>
      <w:r>
        <w:t>Matplotlib — visualization.</w:t>
      </w:r>
    </w:p>
    <w:p>
      <w:pPr>
        <w:pStyle w:val="ListBullet"/>
      </w:pPr>
      <w:r>
        <w:t>Scikit-learn — preprocessing utilities.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 Virtual Data Science with Python Trainee | Week 1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