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Arial" w:hAnsi="Arial"/>
          <w:b/>
          <w:color w:val="1E3A8A"/>
          <w:sz w:val="48"/>
        </w:rPr>
        <w:t>EXTREME SALES &amp; SERVICES (V2.0)</w:t>
      </w:r>
    </w:p>
    <w:p>
      <w:pPr>
        <w:spacing w:after="480"/>
        <w:jc w:val="center"/>
      </w:pPr>
      <w:r>
        <w:rPr>
          <w:rFonts w:ascii="Arial" w:hAnsi="Arial"/>
          <w:i/>
          <w:color w:val="475569"/>
          <w:sz w:val="26"/>
        </w:rPr>
        <w:t>Enterprise AC Sales, Servicing, AMC Contract Lifecycle &amp; Real-Time Dispatch System</w:t>
        <w:br/>
        <w:t>Comprehensive Software Engineering Specification &amp; Project Documentation</w:t>
      </w:r>
    </w:p>
    <w:p>
      <w:pPr>
        <w:spacing w:after="400"/>
      </w:pPr>
    </w:p>
    <w:tbl>
      <w:tblPr>
        <w:tblW w:type="auto" w:w="0"/>
        <w:jc w:val="center"/>
        <w:tblLook w:firstColumn="1" w:firstRow="1" w:lastColumn="0" w:lastRow="0" w:noHBand="0" w:noVBand="1" w:val="04A0"/>
      </w:tblPr>
      <w:tblGrid>
        <w:gridCol w:w="4680"/>
        <w:gridCol w:w="4680"/>
      </w:tblGrid>
      <w:tr>
        <w:tc>
          <w:tcPr>
            <w:tcW w:type="dxa" w:w="3600"/>
            <w:shd w:fill="1E3A8A"/>
            <w:tcMar>
              <w:top w:w="120" w:type="dxa"/>
              <w:bottom w:w="120" w:type="dxa"/>
              <w:left w:w="150" w:type="dxa"/>
              <w:right w:w="150" w:type="dxa"/>
            </w:tcMar>
          </w:tcPr>
          <w:p>
            <w:pPr>
              <w:jc w:val="center"/>
            </w:pPr>
            <w:r>
              <w:rPr>
                <w:rFonts w:ascii="Arial" w:hAnsi="Arial"/>
                <w:b/>
                <w:color w:val="FFFFFF"/>
                <w:sz w:val="19"/>
              </w:rPr>
              <w:t>Project Characteristic</w:t>
            </w:r>
          </w:p>
        </w:tc>
        <w:tc>
          <w:tcPr>
            <w:tcW w:type="dxa" w:w="5760"/>
            <w:shd w:fill="1E3A8A"/>
            <w:tcMar>
              <w:top w:w="120" w:type="dxa"/>
              <w:bottom w:w="120" w:type="dxa"/>
              <w:left w:w="150" w:type="dxa"/>
              <w:right w:w="150" w:type="dxa"/>
            </w:tcMar>
          </w:tcPr>
          <w:p>
            <w:pPr>
              <w:jc w:val="center"/>
            </w:pPr>
            <w:r>
              <w:rPr>
                <w:rFonts w:ascii="Arial" w:hAnsi="Arial"/>
                <w:b/>
                <w:color w:val="FFFFFF"/>
                <w:sz w:val="19"/>
              </w:rPr>
              <w:t>Specification Details</w:t>
            </w:r>
          </w:p>
        </w:tc>
      </w:tr>
      <w:tr>
        <w:tc>
          <w:tcPr>
            <w:tcW w:type="dxa" w:w="3600"/>
            <w:shd w:fill="FFFFFF"/>
            <w:tcMar>
              <w:top w:w="90" w:type="dxa"/>
              <w:bottom w:w="90" w:type="dxa"/>
              <w:left w:w="130" w:type="dxa"/>
              <w:right w:w="130" w:type="dxa"/>
            </w:tcMar>
          </w:tcPr>
          <w:p>
            <w:r>
              <w:rPr>
                <w:rFonts w:ascii="Calibri" w:hAnsi="Calibri"/>
                <w:color w:val="0F172A"/>
                <w:sz w:val="19"/>
              </w:rPr>
              <w:t>System Name</w:t>
            </w:r>
          </w:p>
        </w:tc>
        <w:tc>
          <w:tcPr>
            <w:tcW w:type="dxa" w:w="5760"/>
            <w:shd w:fill="FFFFFF"/>
            <w:tcMar>
              <w:top w:w="90" w:type="dxa"/>
              <w:bottom w:w="90" w:type="dxa"/>
              <w:left w:w="130" w:type="dxa"/>
              <w:right w:w="130" w:type="dxa"/>
            </w:tcMar>
          </w:tcPr>
          <w:p>
            <w:r>
              <w:rPr>
                <w:rFonts w:ascii="Calibri" w:hAnsi="Calibri"/>
                <w:color w:val="0F172A"/>
                <w:sz w:val="19"/>
              </w:rPr>
              <w:t>Extreme Sales &amp; Services Enterprise Suite</w:t>
            </w:r>
          </w:p>
        </w:tc>
      </w:tr>
      <w:tr>
        <w:tc>
          <w:tcPr>
            <w:tcW w:type="dxa" w:w="3600"/>
            <w:shd w:fill="F8FAFC"/>
            <w:tcMar>
              <w:top w:w="90" w:type="dxa"/>
              <w:bottom w:w="90" w:type="dxa"/>
              <w:left w:w="130" w:type="dxa"/>
              <w:right w:w="130" w:type="dxa"/>
            </w:tcMar>
          </w:tcPr>
          <w:p>
            <w:r>
              <w:rPr>
                <w:rFonts w:ascii="Calibri" w:hAnsi="Calibri"/>
                <w:color w:val="0F172A"/>
                <w:sz w:val="19"/>
              </w:rPr>
              <w:t>Software Version</w:t>
            </w:r>
          </w:p>
        </w:tc>
        <w:tc>
          <w:tcPr>
            <w:tcW w:type="dxa" w:w="5760"/>
            <w:shd w:fill="F8FAFC"/>
            <w:tcMar>
              <w:top w:w="90" w:type="dxa"/>
              <w:bottom w:w="90" w:type="dxa"/>
              <w:left w:w="130" w:type="dxa"/>
              <w:right w:w="130" w:type="dxa"/>
            </w:tcMar>
          </w:tcPr>
          <w:p>
            <w:r>
              <w:rPr>
                <w:rFonts w:ascii="Calibri" w:hAnsi="Calibri"/>
                <w:color w:val="0F172A"/>
                <w:sz w:val="19"/>
              </w:rPr>
              <w:t>2.0.0 (Production Release)</w:t>
            </w:r>
          </w:p>
        </w:tc>
      </w:tr>
      <w:tr>
        <w:tc>
          <w:tcPr>
            <w:tcW w:type="dxa" w:w="3600"/>
            <w:shd w:fill="FFFFFF"/>
            <w:tcMar>
              <w:top w:w="90" w:type="dxa"/>
              <w:bottom w:w="90" w:type="dxa"/>
              <w:left w:w="130" w:type="dxa"/>
              <w:right w:w="130" w:type="dxa"/>
            </w:tcMar>
          </w:tcPr>
          <w:p>
            <w:r>
              <w:rPr>
                <w:rFonts w:ascii="Calibri" w:hAnsi="Calibri"/>
                <w:color w:val="0F172A"/>
                <w:sz w:val="19"/>
              </w:rPr>
              <w:t>Target Industry</w:t>
            </w:r>
          </w:p>
        </w:tc>
        <w:tc>
          <w:tcPr>
            <w:tcW w:type="dxa" w:w="5760"/>
            <w:shd w:fill="FFFFFF"/>
            <w:tcMar>
              <w:top w:w="90" w:type="dxa"/>
              <w:bottom w:w="90" w:type="dxa"/>
              <w:left w:w="130" w:type="dxa"/>
              <w:right w:w="130" w:type="dxa"/>
            </w:tcMar>
          </w:tcPr>
          <w:p>
            <w:r>
              <w:rPr>
                <w:rFonts w:ascii="Calibri" w:hAnsi="Calibri"/>
                <w:color w:val="0F172A"/>
                <w:sz w:val="19"/>
              </w:rPr>
              <w:t>HVAC Enterprise &amp; Consumer Sales, Servicing, AMC &amp; Dispatch</w:t>
            </w:r>
          </w:p>
        </w:tc>
      </w:tr>
      <w:tr>
        <w:tc>
          <w:tcPr>
            <w:tcW w:type="dxa" w:w="3600"/>
            <w:shd w:fill="F8FAFC"/>
            <w:tcMar>
              <w:top w:w="90" w:type="dxa"/>
              <w:bottom w:w="90" w:type="dxa"/>
              <w:left w:w="130" w:type="dxa"/>
              <w:right w:w="130" w:type="dxa"/>
            </w:tcMar>
          </w:tcPr>
          <w:p>
            <w:r>
              <w:rPr>
                <w:rFonts w:ascii="Calibri" w:hAnsi="Calibri"/>
                <w:color w:val="0F172A"/>
                <w:sz w:val="19"/>
              </w:rPr>
              <w:t>Core Technology Stack</w:t>
            </w:r>
          </w:p>
        </w:tc>
        <w:tc>
          <w:tcPr>
            <w:tcW w:type="dxa" w:w="5760"/>
            <w:shd w:fill="F8FAFC"/>
            <w:tcMar>
              <w:top w:w="90" w:type="dxa"/>
              <w:bottom w:w="90" w:type="dxa"/>
              <w:left w:w="130" w:type="dxa"/>
              <w:right w:w="130" w:type="dxa"/>
            </w:tcMar>
          </w:tcPr>
          <w:p>
            <w:r>
              <w:rPr>
                <w:rFonts w:ascii="Calibri" w:hAnsi="Calibri"/>
                <w:color w:val="0F172A"/>
                <w:sz w:val="19"/>
              </w:rPr>
              <w:t>Node.js (Express 5.x), Vanilla HTML5/CSS3/ES6, Chart.js</w:t>
            </w:r>
          </w:p>
        </w:tc>
      </w:tr>
      <w:tr>
        <w:tc>
          <w:tcPr>
            <w:tcW w:type="dxa" w:w="3600"/>
            <w:shd w:fill="FFFFFF"/>
            <w:tcMar>
              <w:top w:w="90" w:type="dxa"/>
              <w:bottom w:w="90" w:type="dxa"/>
              <w:left w:w="130" w:type="dxa"/>
              <w:right w:w="130" w:type="dxa"/>
            </w:tcMar>
          </w:tcPr>
          <w:p>
            <w:r>
              <w:rPr>
                <w:rFonts w:ascii="Calibri" w:hAnsi="Calibri"/>
                <w:color w:val="0F172A"/>
                <w:sz w:val="19"/>
              </w:rPr>
              <w:t>Database Architecture</w:t>
            </w:r>
          </w:p>
        </w:tc>
        <w:tc>
          <w:tcPr>
            <w:tcW w:type="dxa" w:w="5760"/>
            <w:shd w:fill="FFFFFF"/>
            <w:tcMar>
              <w:top w:w="90" w:type="dxa"/>
              <w:bottom w:w="90" w:type="dxa"/>
              <w:left w:w="130" w:type="dxa"/>
              <w:right w:w="130" w:type="dxa"/>
            </w:tcMar>
          </w:tcPr>
          <w:p>
            <w:r>
              <w:rPr>
                <w:rFonts w:ascii="Calibri" w:hAnsi="Calibri"/>
                <w:color w:val="0F172A"/>
                <w:sz w:val="19"/>
              </w:rPr>
              <w:t>Dual-Mode: Cloud Firestore (Prod) &amp; Synchronized Mock (Dev)</w:t>
            </w:r>
          </w:p>
        </w:tc>
      </w:tr>
      <w:tr>
        <w:tc>
          <w:tcPr>
            <w:tcW w:type="dxa" w:w="3600"/>
            <w:shd w:fill="F8FAFC"/>
            <w:tcMar>
              <w:top w:w="90" w:type="dxa"/>
              <w:bottom w:w="90" w:type="dxa"/>
              <w:left w:w="130" w:type="dxa"/>
              <w:right w:w="130" w:type="dxa"/>
            </w:tcMar>
          </w:tcPr>
          <w:p>
            <w:r>
              <w:rPr>
                <w:rFonts w:ascii="Calibri" w:hAnsi="Calibri"/>
                <w:color w:val="0F172A"/>
                <w:sz w:val="19"/>
              </w:rPr>
              <w:t>External Integrations</w:t>
            </w:r>
          </w:p>
        </w:tc>
        <w:tc>
          <w:tcPr>
            <w:tcW w:type="dxa" w:w="5760"/>
            <w:shd w:fill="F8FAFC"/>
            <w:tcMar>
              <w:top w:w="90" w:type="dxa"/>
              <w:bottom w:w="90" w:type="dxa"/>
              <w:left w:w="130" w:type="dxa"/>
              <w:right w:w="130" w:type="dxa"/>
            </w:tcMar>
          </w:tcPr>
          <w:p>
            <w:r>
              <w:rPr>
                <w:rFonts w:ascii="Calibri" w:hAnsi="Calibri"/>
                <w:color w:val="0F172A"/>
                <w:sz w:val="19"/>
              </w:rPr>
              <w:t>SendGrid Email API, Server-Sent Events (SSE) Live Tracking</w:t>
            </w:r>
          </w:p>
        </w:tc>
      </w:tr>
      <w:tr>
        <w:tc>
          <w:tcPr>
            <w:tcW w:type="dxa" w:w="3600"/>
            <w:shd w:fill="FFFFFF"/>
            <w:tcMar>
              <w:top w:w="90" w:type="dxa"/>
              <w:bottom w:w="90" w:type="dxa"/>
              <w:left w:w="130" w:type="dxa"/>
              <w:right w:w="130" w:type="dxa"/>
            </w:tcMar>
          </w:tcPr>
          <w:p>
            <w:r>
              <w:rPr>
                <w:rFonts w:ascii="Calibri" w:hAnsi="Calibri"/>
                <w:color w:val="0F172A"/>
                <w:sz w:val="19"/>
              </w:rPr>
              <w:t>Author / Prepared By</w:t>
            </w:r>
          </w:p>
        </w:tc>
        <w:tc>
          <w:tcPr>
            <w:tcW w:type="dxa" w:w="5760"/>
            <w:shd w:fill="FFFFFF"/>
            <w:tcMar>
              <w:top w:w="90" w:type="dxa"/>
              <w:bottom w:w="90" w:type="dxa"/>
              <w:left w:w="130" w:type="dxa"/>
              <w:right w:w="130" w:type="dxa"/>
            </w:tcMar>
          </w:tcPr>
          <w:p>
            <w:r>
              <w:rPr>
                <w:rFonts w:ascii="Calibri" w:hAnsi="Calibri"/>
                <w:color w:val="0F172A"/>
                <w:sz w:val="19"/>
              </w:rPr>
              <w:t>Mr. Aayush &amp; Engineering Team</w:t>
            </w:r>
          </w:p>
        </w:tc>
      </w:tr>
      <w:tr>
        <w:tc>
          <w:tcPr>
            <w:tcW w:type="dxa" w:w="3600"/>
            <w:shd w:fill="F8FAFC"/>
            <w:tcMar>
              <w:top w:w="90" w:type="dxa"/>
              <w:bottom w:w="90" w:type="dxa"/>
              <w:left w:w="130" w:type="dxa"/>
              <w:right w:w="130" w:type="dxa"/>
            </w:tcMar>
          </w:tcPr>
          <w:p>
            <w:r>
              <w:rPr>
                <w:rFonts w:ascii="Calibri" w:hAnsi="Calibri"/>
                <w:color w:val="0F172A"/>
                <w:sz w:val="19"/>
              </w:rPr>
              <w:t>Academic Document Standard</w:t>
            </w:r>
          </w:p>
        </w:tc>
        <w:tc>
          <w:tcPr>
            <w:tcW w:type="dxa" w:w="5760"/>
            <w:shd w:fill="F8FAFC"/>
            <w:tcMar>
              <w:top w:w="90" w:type="dxa"/>
              <w:bottom w:w="90" w:type="dxa"/>
              <w:left w:w="130" w:type="dxa"/>
              <w:right w:w="130" w:type="dxa"/>
            </w:tcMar>
          </w:tcPr>
          <w:p>
            <w:r>
              <w:rPr>
                <w:rFonts w:ascii="Calibri" w:hAnsi="Calibri"/>
                <w:color w:val="0F172A"/>
                <w:sz w:val="19"/>
              </w:rPr>
              <w:t>ISO/IEC 12207 Software Life Cycle &amp; IEEE-830 SRS Compliant</w:t>
            </w:r>
          </w:p>
        </w:tc>
      </w:tr>
    </w:tbl>
    <w:p>
      <w:r>
        <w:br w:type="page"/>
      </w:r>
    </w:p>
    <w:p>
      <w:pPr>
        <w:spacing w:before="360" w:after="160"/>
      </w:pPr>
      <w:r>
        <w:rPr>
          <w:rFonts w:ascii="Arial" w:hAnsi="Arial"/>
          <w:b/>
          <w:color w:val="1E3A8A"/>
          <w:sz w:val="32"/>
        </w:rPr>
        <w:t>TABLE OF CONTENTS</w:t>
      </w:r>
    </w:p>
    <w:tbl>
      <w:tblPr>
        <w:tblW w:type="auto" w:w="0"/>
        <w:jc w:val="center"/>
        <w:tblLook w:firstColumn="1" w:firstRow="1" w:lastColumn="0" w:lastRow="0" w:noHBand="0" w:noVBand="1" w:val="04A0"/>
      </w:tblPr>
      <w:tblGrid>
        <w:gridCol w:w="3120"/>
        <w:gridCol w:w="3120"/>
        <w:gridCol w:w="3120"/>
      </w:tblGrid>
      <w:tr>
        <w:tc>
          <w:tcPr>
            <w:tcW w:type="dxa" w:w="1440"/>
            <w:shd w:fill="1E3A8A"/>
            <w:tcMar>
              <w:top w:w="120" w:type="dxa"/>
              <w:bottom w:w="120" w:type="dxa"/>
              <w:left w:w="150" w:type="dxa"/>
              <w:right w:w="150" w:type="dxa"/>
            </w:tcMar>
          </w:tcPr>
          <w:p>
            <w:pPr>
              <w:jc w:val="center"/>
            </w:pPr>
            <w:r>
              <w:rPr>
                <w:rFonts w:ascii="Arial" w:hAnsi="Arial"/>
                <w:b/>
                <w:color w:val="FFFFFF"/>
                <w:sz w:val="19"/>
              </w:rPr>
              <w:t>Sr. No.</w:t>
            </w:r>
          </w:p>
        </w:tc>
        <w:tc>
          <w:tcPr>
            <w:tcW w:type="dxa" w:w="6480"/>
            <w:shd w:fill="1E3A8A"/>
            <w:tcMar>
              <w:top w:w="120" w:type="dxa"/>
              <w:bottom w:w="120" w:type="dxa"/>
              <w:left w:w="150" w:type="dxa"/>
              <w:right w:w="150" w:type="dxa"/>
            </w:tcMar>
          </w:tcPr>
          <w:p>
            <w:pPr>
              <w:jc w:val="center"/>
            </w:pPr>
            <w:r>
              <w:rPr>
                <w:rFonts w:ascii="Arial" w:hAnsi="Arial"/>
                <w:b/>
                <w:color w:val="FFFFFF"/>
                <w:sz w:val="19"/>
              </w:rPr>
              <w:t>Section Title</w:t>
            </w:r>
          </w:p>
        </w:tc>
        <w:tc>
          <w:tcPr>
            <w:tcW w:type="dxa" w:w="1440"/>
            <w:shd w:fill="1E3A8A"/>
            <w:tcMar>
              <w:top w:w="120" w:type="dxa"/>
              <w:bottom w:w="120" w:type="dxa"/>
              <w:left w:w="150" w:type="dxa"/>
              <w:right w:w="150" w:type="dxa"/>
            </w:tcMar>
          </w:tcPr>
          <w:p>
            <w:pPr>
              <w:jc w:val="center"/>
            </w:pPr>
            <w:r>
              <w:rPr>
                <w:rFonts w:ascii="Arial" w:hAnsi="Arial"/>
                <w:b/>
                <w:color w:val="FFFFFF"/>
                <w:sz w:val="19"/>
              </w:rPr>
              <w:t>Page No.</w:t>
            </w:r>
          </w:p>
        </w:tc>
      </w:tr>
      <w:tr>
        <w:tc>
          <w:tcPr>
            <w:tcW w:type="dxa" w:w="1440"/>
            <w:shd w:fill="FFFFFF"/>
            <w:tcMar>
              <w:top w:w="90" w:type="dxa"/>
              <w:bottom w:w="90" w:type="dxa"/>
              <w:left w:w="130" w:type="dxa"/>
              <w:right w:w="130" w:type="dxa"/>
            </w:tcMar>
          </w:tcPr>
          <w:p>
            <w:r>
              <w:rPr>
                <w:rFonts w:ascii="Calibri" w:hAnsi="Calibri"/>
                <w:color w:val="0F172A"/>
                <w:sz w:val="19"/>
              </w:rPr>
              <w:t>1</w:t>
            </w:r>
          </w:p>
        </w:tc>
        <w:tc>
          <w:tcPr>
            <w:tcW w:type="dxa" w:w="6480"/>
            <w:shd w:fill="FFFFFF"/>
            <w:tcMar>
              <w:top w:w="90" w:type="dxa"/>
              <w:bottom w:w="90" w:type="dxa"/>
              <w:left w:w="130" w:type="dxa"/>
              <w:right w:w="130" w:type="dxa"/>
            </w:tcMar>
          </w:tcPr>
          <w:p>
            <w:r>
              <w:rPr>
                <w:rFonts w:ascii="Calibri" w:hAnsi="Calibri"/>
                <w:color w:val="0F172A"/>
                <w:sz w:val="19"/>
              </w:rPr>
              <w:t>Problem Statement &amp; Software Requirements Specification (SRS)</w:t>
            </w:r>
          </w:p>
        </w:tc>
        <w:tc>
          <w:tcPr>
            <w:tcW w:type="dxa" w:w="1440"/>
            <w:shd w:fill="FFFFFF"/>
            <w:tcMar>
              <w:top w:w="90" w:type="dxa"/>
              <w:bottom w:w="90" w:type="dxa"/>
              <w:left w:w="130" w:type="dxa"/>
              <w:right w:w="130" w:type="dxa"/>
            </w:tcMar>
          </w:tcPr>
          <w:p>
            <w:r>
              <w:rPr>
                <w:rFonts w:ascii="Calibri" w:hAnsi="Calibri"/>
                <w:color w:val="0F172A"/>
                <w:sz w:val="19"/>
              </w:rPr>
              <w:t>1</w:t>
            </w:r>
          </w:p>
        </w:tc>
      </w:tr>
      <w:tr>
        <w:tc>
          <w:tcPr>
            <w:tcW w:type="dxa" w:w="1440"/>
            <w:shd w:fill="F8FAFC"/>
            <w:tcMar>
              <w:top w:w="90" w:type="dxa"/>
              <w:bottom w:w="90" w:type="dxa"/>
              <w:left w:w="130" w:type="dxa"/>
              <w:right w:w="130" w:type="dxa"/>
            </w:tcMar>
          </w:tcPr>
          <w:p>
            <w:r>
              <w:rPr>
                <w:rFonts w:ascii="Calibri" w:hAnsi="Calibri"/>
                <w:color w:val="0F172A"/>
                <w:sz w:val="19"/>
              </w:rPr>
              <w:t>2</w:t>
            </w:r>
          </w:p>
        </w:tc>
        <w:tc>
          <w:tcPr>
            <w:tcW w:type="dxa" w:w="6480"/>
            <w:shd w:fill="F8FAFC"/>
            <w:tcMar>
              <w:top w:w="90" w:type="dxa"/>
              <w:bottom w:w="90" w:type="dxa"/>
              <w:left w:w="130" w:type="dxa"/>
              <w:right w:w="130" w:type="dxa"/>
            </w:tcMar>
          </w:tcPr>
          <w:p>
            <w:r>
              <w:rPr>
                <w:rFonts w:ascii="Calibri" w:hAnsi="Calibri"/>
                <w:color w:val="0F172A"/>
                <w:sz w:val="19"/>
              </w:rPr>
              <w:t>Data Flow Diagram (DFD) &amp; Structured Chart</w:t>
            </w:r>
          </w:p>
        </w:tc>
        <w:tc>
          <w:tcPr>
            <w:tcW w:type="dxa" w:w="1440"/>
            <w:shd w:fill="F8FAFC"/>
            <w:tcMar>
              <w:top w:w="90" w:type="dxa"/>
              <w:bottom w:w="90" w:type="dxa"/>
              <w:left w:w="130" w:type="dxa"/>
              <w:right w:w="130" w:type="dxa"/>
            </w:tcMar>
          </w:tcPr>
          <w:p>
            <w:r>
              <w:rPr>
                <w:rFonts w:ascii="Calibri" w:hAnsi="Calibri"/>
                <w:color w:val="0F172A"/>
                <w:sz w:val="19"/>
              </w:rPr>
              <w:t>4</w:t>
            </w:r>
          </w:p>
        </w:tc>
      </w:tr>
      <w:tr>
        <w:tc>
          <w:tcPr>
            <w:tcW w:type="dxa" w:w="1440"/>
            <w:shd w:fill="FFFFFF"/>
            <w:tcMar>
              <w:top w:w="90" w:type="dxa"/>
              <w:bottom w:w="90" w:type="dxa"/>
              <w:left w:w="130" w:type="dxa"/>
              <w:right w:w="130" w:type="dxa"/>
            </w:tcMar>
          </w:tcPr>
          <w:p>
            <w:r>
              <w:rPr>
                <w:rFonts w:ascii="Calibri" w:hAnsi="Calibri"/>
                <w:color w:val="0F172A"/>
                <w:sz w:val="19"/>
              </w:rPr>
              <w:t>3</w:t>
            </w:r>
          </w:p>
        </w:tc>
        <w:tc>
          <w:tcPr>
            <w:tcW w:type="dxa" w:w="6480"/>
            <w:shd w:fill="FFFFFF"/>
            <w:tcMar>
              <w:top w:w="90" w:type="dxa"/>
              <w:bottom w:w="90" w:type="dxa"/>
              <w:left w:w="130" w:type="dxa"/>
              <w:right w:w="130" w:type="dxa"/>
            </w:tcMar>
          </w:tcPr>
          <w:p>
            <w:r>
              <w:rPr>
                <w:rFonts w:ascii="Calibri" w:hAnsi="Calibri"/>
                <w:color w:val="0F172A"/>
                <w:sz w:val="19"/>
              </w:rPr>
              <w:t>Use Case Diagram &amp; Detailed Use Case Descriptions</w:t>
            </w:r>
          </w:p>
        </w:tc>
        <w:tc>
          <w:tcPr>
            <w:tcW w:type="dxa" w:w="1440"/>
            <w:shd w:fill="FFFFFF"/>
            <w:tcMar>
              <w:top w:w="90" w:type="dxa"/>
              <w:bottom w:w="90" w:type="dxa"/>
              <w:left w:w="130" w:type="dxa"/>
              <w:right w:w="130" w:type="dxa"/>
            </w:tcMar>
          </w:tcPr>
          <w:p>
            <w:r>
              <w:rPr>
                <w:rFonts w:ascii="Calibri" w:hAnsi="Calibri"/>
                <w:color w:val="0F172A"/>
                <w:sz w:val="19"/>
              </w:rPr>
              <w:t>6</w:t>
            </w:r>
          </w:p>
        </w:tc>
      </w:tr>
      <w:tr>
        <w:tc>
          <w:tcPr>
            <w:tcW w:type="dxa" w:w="1440"/>
            <w:shd w:fill="F8FAFC"/>
            <w:tcMar>
              <w:top w:w="90" w:type="dxa"/>
              <w:bottom w:w="90" w:type="dxa"/>
              <w:left w:w="130" w:type="dxa"/>
              <w:right w:w="130" w:type="dxa"/>
            </w:tcMar>
          </w:tcPr>
          <w:p>
            <w:r>
              <w:rPr>
                <w:rFonts w:ascii="Calibri" w:hAnsi="Calibri"/>
                <w:color w:val="0F172A"/>
                <w:sz w:val="19"/>
              </w:rPr>
              <w:t>4</w:t>
            </w:r>
          </w:p>
        </w:tc>
        <w:tc>
          <w:tcPr>
            <w:tcW w:type="dxa" w:w="6480"/>
            <w:shd w:fill="F8FAFC"/>
            <w:tcMar>
              <w:top w:w="90" w:type="dxa"/>
              <w:bottom w:w="90" w:type="dxa"/>
              <w:left w:w="130" w:type="dxa"/>
              <w:right w:w="130" w:type="dxa"/>
            </w:tcMar>
          </w:tcPr>
          <w:p>
            <w:r>
              <w:rPr>
                <w:rFonts w:ascii="Calibri" w:hAnsi="Calibri"/>
                <w:color w:val="0F172A"/>
                <w:sz w:val="19"/>
              </w:rPr>
              <w:t>Class Diagram &amp; Object Diagram</w:t>
            </w:r>
          </w:p>
        </w:tc>
        <w:tc>
          <w:tcPr>
            <w:tcW w:type="dxa" w:w="1440"/>
            <w:shd w:fill="F8FAFC"/>
            <w:tcMar>
              <w:top w:w="90" w:type="dxa"/>
              <w:bottom w:w="90" w:type="dxa"/>
              <w:left w:w="130" w:type="dxa"/>
              <w:right w:w="130" w:type="dxa"/>
            </w:tcMar>
          </w:tcPr>
          <w:p>
            <w:r>
              <w:rPr>
                <w:rFonts w:ascii="Calibri" w:hAnsi="Calibri"/>
                <w:color w:val="0F172A"/>
                <w:sz w:val="19"/>
              </w:rPr>
              <w:t>8</w:t>
            </w:r>
          </w:p>
        </w:tc>
      </w:tr>
      <w:tr>
        <w:tc>
          <w:tcPr>
            <w:tcW w:type="dxa" w:w="1440"/>
            <w:shd w:fill="FFFFFF"/>
            <w:tcMar>
              <w:top w:w="90" w:type="dxa"/>
              <w:bottom w:w="90" w:type="dxa"/>
              <w:left w:w="130" w:type="dxa"/>
              <w:right w:w="130" w:type="dxa"/>
            </w:tcMar>
          </w:tcPr>
          <w:p>
            <w:r>
              <w:rPr>
                <w:rFonts w:ascii="Calibri" w:hAnsi="Calibri"/>
                <w:color w:val="0F172A"/>
                <w:sz w:val="19"/>
              </w:rPr>
              <w:t>5</w:t>
            </w:r>
          </w:p>
        </w:tc>
        <w:tc>
          <w:tcPr>
            <w:tcW w:type="dxa" w:w="6480"/>
            <w:shd w:fill="FFFFFF"/>
            <w:tcMar>
              <w:top w:w="90" w:type="dxa"/>
              <w:bottom w:w="90" w:type="dxa"/>
              <w:left w:w="130" w:type="dxa"/>
              <w:right w:w="130" w:type="dxa"/>
            </w:tcMar>
          </w:tcPr>
          <w:p>
            <w:r>
              <w:rPr>
                <w:rFonts w:ascii="Calibri" w:hAnsi="Calibri"/>
                <w:color w:val="0F172A"/>
                <w:sz w:val="19"/>
              </w:rPr>
              <w:t>State Chart &amp; Activity Diagrams</w:t>
            </w:r>
          </w:p>
        </w:tc>
        <w:tc>
          <w:tcPr>
            <w:tcW w:type="dxa" w:w="1440"/>
            <w:shd w:fill="FFFFFF"/>
            <w:tcMar>
              <w:top w:w="90" w:type="dxa"/>
              <w:bottom w:w="90" w:type="dxa"/>
              <w:left w:w="130" w:type="dxa"/>
              <w:right w:w="130" w:type="dxa"/>
            </w:tcMar>
          </w:tcPr>
          <w:p>
            <w:r>
              <w:rPr>
                <w:rFonts w:ascii="Calibri" w:hAnsi="Calibri"/>
                <w:color w:val="0F172A"/>
                <w:sz w:val="19"/>
              </w:rPr>
              <w:t>10</w:t>
            </w:r>
          </w:p>
        </w:tc>
      </w:tr>
      <w:tr>
        <w:tc>
          <w:tcPr>
            <w:tcW w:type="dxa" w:w="1440"/>
            <w:shd w:fill="F8FAFC"/>
            <w:tcMar>
              <w:top w:w="90" w:type="dxa"/>
              <w:bottom w:w="90" w:type="dxa"/>
              <w:left w:w="130" w:type="dxa"/>
              <w:right w:w="130" w:type="dxa"/>
            </w:tcMar>
          </w:tcPr>
          <w:p>
            <w:r>
              <w:rPr>
                <w:rFonts w:ascii="Calibri" w:hAnsi="Calibri"/>
                <w:color w:val="0F172A"/>
                <w:sz w:val="19"/>
              </w:rPr>
              <w:t>6</w:t>
            </w:r>
          </w:p>
        </w:tc>
        <w:tc>
          <w:tcPr>
            <w:tcW w:type="dxa" w:w="6480"/>
            <w:shd w:fill="F8FAFC"/>
            <w:tcMar>
              <w:top w:w="90" w:type="dxa"/>
              <w:bottom w:w="90" w:type="dxa"/>
              <w:left w:w="130" w:type="dxa"/>
              <w:right w:w="130" w:type="dxa"/>
            </w:tcMar>
          </w:tcPr>
          <w:p>
            <w:r>
              <w:rPr>
                <w:rFonts w:ascii="Calibri" w:hAnsi="Calibri"/>
                <w:color w:val="0F172A"/>
                <w:sz w:val="19"/>
              </w:rPr>
              <w:t>Sequence Diagram &amp; Collaboration Diagram</w:t>
            </w:r>
          </w:p>
        </w:tc>
        <w:tc>
          <w:tcPr>
            <w:tcW w:type="dxa" w:w="1440"/>
            <w:shd w:fill="F8FAFC"/>
            <w:tcMar>
              <w:top w:w="90" w:type="dxa"/>
              <w:bottom w:w="90" w:type="dxa"/>
              <w:left w:w="130" w:type="dxa"/>
              <w:right w:w="130" w:type="dxa"/>
            </w:tcMar>
          </w:tcPr>
          <w:p>
            <w:r>
              <w:rPr>
                <w:rFonts w:ascii="Calibri" w:hAnsi="Calibri"/>
                <w:color w:val="0F172A"/>
                <w:sz w:val="19"/>
              </w:rPr>
              <w:t>13</w:t>
            </w:r>
          </w:p>
        </w:tc>
      </w:tr>
      <w:tr>
        <w:tc>
          <w:tcPr>
            <w:tcW w:type="dxa" w:w="1440"/>
            <w:shd w:fill="FFFFFF"/>
            <w:tcMar>
              <w:top w:w="90" w:type="dxa"/>
              <w:bottom w:w="90" w:type="dxa"/>
              <w:left w:w="130" w:type="dxa"/>
              <w:right w:w="130" w:type="dxa"/>
            </w:tcMar>
          </w:tcPr>
          <w:p>
            <w:r>
              <w:rPr>
                <w:rFonts w:ascii="Calibri" w:hAnsi="Calibri"/>
                <w:color w:val="0F172A"/>
                <w:sz w:val="19"/>
              </w:rPr>
              <w:t>7</w:t>
            </w:r>
          </w:p>
        </w:tc>
        <w:tc>
          <w:tcPr>
            <w:tcW w:type="dxa" w:w="6480"/>
            <w:shd w:fill="FFFFFF"/>
            <w:tcMar>
              <w:top w:w="90" w:type="dxa"/>
              <w:bottom w:w="90" w:type="dxa"/>
              <w:left w:w="130" w:type="dxa"/>
              <w:right w:w="130" w:type="dxa"/>
            </w:tcMar>
          </w:tcPr>
          <w:p>
            <w:r>
              <w:rPr>
                <w:rFonts w:ascii="Calibri" w:hAnsi="Calibri"/>
                <w:color w:val="0F172A"/>
                <w:sz w:val="19"/>
              </w:rPr>
              <w:t>Component, Deployment &amp; Advanced Algorithmic Subsystems</w:t>
            </w:r>
          </w:p>
        </w:tc>
        <w:tc>
          <w:tcPr>
            <w:tcW w:type="dxa" w:w="1440"/>
            <w:shd w:fill="FFFFFF"/>
            <w:tcMar>
              <w:top w:w="90" w:type="dxa"/>
              <w:bottom w:w="90" w:type="dxa"/>
              <w:left w:w="130" w:type="dxa"/>
              <w:right w:w="130" w:type="dxa"/>
            </w:tcMar>
          </w:tcPr>
          <w:p>
            <w:r>
              <w:rPr>
                <w:rFonts w:ascii="Calibri" w:hAnsi="Calibri"/>
                <w:color w:val="0F172A"/>
                <w:sz w:val="19"/>
              </w:rPr>
              <w:t>15</w:t>
            </w:r>
          </w:p>
        </w:tc>
      </w:tr>
      <w:tr>
        <w:tc>
          <w:tcPr>
            <w:tcW w:type="dxa" w:w="1440"/>
            <w:shd w:fill="F8FAFC"/>
            <w:tcMar>
              <w:top w:w="90" w:type="dxa"/>
              <w:bottom w:w="90" w:type="dxa"/>
              <w:left w:w="130" w:type="dxa"/>
              <w:right w:w="130" w:type="dxa"/>
            </w:tcMar>
          </w:tcPr>
          <w:p>
            <w:r>
              <w:rPr>
                <w:rFonts w:ascii="Calibri" w:hAnsi="Calibri"/>
                <w:color w:val="0F172A"/>
                <w:sz w:val="19"/>
              </w:rPr>
              <w:t>8</w:t>
            </w:r>
          </w:p>
        </w:tc>
        <w:tc>
          <w:tcPr>
            <w:tcW w:type="dxa" w:w="6480"/>
            <w:shd w:fill="F8FAFC"/>
            <w:tcMar>
              <w:top w:w="90" w:type="dxa"/>
              <w:bottom w:w="90" w:type="dxa"/>
              <w:left w:w="130" w:type="dxa"/>
              <w:right w:w="130" w:type="dxa"/>
            </w:tcMar>
          </w:tcPr>
          <w:p>
            <w:r>
              <w:rPr>
                <w:rFonts w:ascii="Calibri" w:hAnsi="Calibri"/>
                <w:color w:val="0F172A"/>
                <w:sz w:val="19"/>
              </w:rPr>
              <w:t>Function Point (FP) Analysis &amp; Effort Estimation</w:t>
            </w:r>
          </w:p>
        </w:tc>
        <w:tc>
          <w:tcPr>
            <w:tcW w:type="dxa" w:w="1440"/>
            <w:shd w:fill="F8FAFC"/>
            <w:tcMar>
              <w:top w:w="90" w:type="dxa"/>
              <w:bottom w:w="90" w:type="dxa"/>
              <w:left w:w="130" w:type="dxa"/>
              <w:right w:w="130" w:type="dxa"/>
            </w:tcMar>
          </w:tcPr>
          <w:p>
            <w:r>
              <w:rPr>
                <w:rFonts w:ascii="Calibri" w:hAnsi="Calibri"/>
                <w:color w:val="0F172A"/>
                <w:sz w:val="19"/>
              </w:rPr>
              <w:t>17</w:t>
            </w:r>
          </w:p>
        </w:tc>
      </w:tr>
      <w:tr>
        <w:tc>
          <w:tcPr>
            <w:tcW w:type="dxa" w:w="1440"/>
            <w:shd w:fill="FFFFFF"/>
            <w:tcMar>
              <w:top w:w="90" w:type="dxa"/>
              <w:bottom w:w="90" w:type="dxa"/>
              <w:left w:w="130" w:type="dxa"/>
              <w:right w:w="130" w:type="dxa"/>
            </w:tcMar>
          </w:tcPr>
          <w:p>
            <w:r>
              <w:rPr>
                <w:rFonts w:ascii="Calibri" w:hAnsi="Calibri"/>
                <w:color w:val="0F172A"/>
                <w:sz w:val="19"/>
              </w:rPr>
              <w:t>9</w:t>
            </w:r>
          </w:p>
        </w:tc>
        <w:tc>
          <w:tcPr>
            <w:tcW w:type="dxa" w:w="6480"/>
            <w:shd w:fill="FFFFFF"/>
            <w:tcMar>
              <w:top w:w="90" w:type="dxa"/>
              <w:bottom w:w="90" w:type="dxa"/>
              <w:left w:w="130" w:type="dxa"/>
              <w:right w:w="130" w:type="dxa"/>
            </w:tcMar>
          </w:tcPr>
          <w:p>
            <w:r>
              <w:rPr>
                <w:rFonts w:ascii="Calibri" w:hAnsi="Calibri"/>
                <w:color w:val="0F172A"/>
                <w:sz w:val="19"/>
              </w:rPr>
              <w:t>Project Scheduling (Gantt Chart &amp; PERT/CPM)</w:t>
            </w:r>
          </w:p>
        </w:tc>
        <w:tc>
          <w:tcPr>
            <w:tcW w:type="dxa" w:w="1440"/>
            <w:shd w:fill="FFFFFF"/>
            <w:tcMar>
              <w:top w:w="90" w:type="dxa"/>
              <w:bottom w:w="90" w:type="dxa"/>
              <w:left w:w="130" w:type="dxa"/>
              <w:right w:w="130" w:type="dxa"/>
            </w:tcMar>
          </w:tcPr>
          <w:p>
            <w:r>
              <w:rPr>
                <w:rFonts w:ascii="Calibri" w:hAnsi="Calibri"/>
                <w:color w:val="0F172A"/>
                <w:sz w:val="19"/>
              </w:rPr>
              <w:t>19</w:t>
            </w:r>
          </w:p>
        </w:tc>
      </w:tr>
      <w:tr>
        <w:tc>
          <w:tcPr>
            <w:tcW w:type="dxa" w:w="1440"/>
            <w:shd w:fill="F8FAFC"/>
            <w:tcMar>
              <w:top w:w="90" w:type="dxa"/>
              <w:bottom w:w="90" w:type="dxa"/>
              <w:left w:w="130" w:type="dxa"/>
              <w:right w:w="130" w:type="dxa"/>
            </w:tcMar>
          </w:tcPr>
          <w:p>
            <w:r>
              <w:rPr>
                <w:rFonts w:ascii="Calibri" w:hAnsi="Calibri"/>
                <w:color w:val="0F172A"/>
                <w:sz w:val="19"/>
              </w:rPr>
              <w:t>10</w:t>
            </w:r>
          </w:p>
        </w:tc>
        <w:tc>
          <w:tcPr>
            <w:tcW w:type="dxa" w:w="6480"/>
            <w:shd w:fill="F8FAFC"/>
            <w:tcMar>
              <w:top w:w="90" w:type="dxa"/>
              <w:bottom w:w="90" w:type="dxa"/>
              <w:left w:w="130" w:type="dxa"/>
              <w:right w:w="130" w:type="dxa"/>
            </w:tcMar>
          </w:tcPr>
          <w:p>
            <w:r>
              <w:rPr>
                <w:rFonts w:ascii="Calibri" w:hAnsi="Calibri"/>
                <w:color w:val="0F172A"/>
                <w:sz w:val="19"/>
              </w:rPr>
              <w:t>Testing Strategy &amp; Comprehensive Test Cases</w:t>
            </w:r>
          </w:p>
        </w:tc>
        <w:tc>
          <w:tcPr>
            <w:tcW w:type="dxa" w:w="1440"/>
            <w:shd w:fill="F8FAFC"/>
            <w:tcMar>
              <w:top w:w="90" w:type="dxa"/>
              <w:bottom w:w="90" w:type="dxa"/>
              <w:left w:w="130" w:type="dxa"/>
              <w:right w:w="130" w:type="dxa"/>
            </w:tcMar>
          </w:tcPr>
          <w:p>
            <w:r>
              <w:rPr>
                <w:rFonts w:ascii="Calibri" w:hAnsi="Calibri"/>
                <w:color w:val="0F172A"/>
                <w:sz w:val="19"/>
              </w:rPr>
              <w:t>21</w:t>
            </w:r>
          </w:p>
        </w:tc>
      </w:tr>
      <w:tr>
        <w:tc>
          <w:tcPr>
            <w:tcW w:type="dxa" w:w="1440"/>
            <w:shd w:fill="FFFFFF"/>
            <w:tcMar>
              <w:top w:w="90" w:type="dxa"/>
              <w:bottom w:w="90" w:type="dxa"/>
              <w:left w:w="130" w:type="dxa"/>
              <w:right w:w="130" w:type="dxa"/>
            </w:tcMar>
          </w:tcPr>
          <w:p>
            <w:r>
              <w:rPr>
                <w:rFonts w:ascii="Calibri" w:hAnsi="Calibri"/>
                <w:color w:val="0F172A"/>
                <w:sz w:val="19"/>
              </w:rPr>
              <w:t>11</w:t>
            </w:r>
          </w:p>
        </w:tc>
        <w:tc>
          <w:tcPr>
            <w:tcW w:type="dxa" w:w="6480"/>
            <w:shd w:fill="FFFFFF"/>
            <w:tcMar>
              <w:top w:w="90" w:type="dxa"/>
              <w:bottom w:w="90" w:type="dxa"/>
              <w:left w:w="130" w:type="dxa"/>
              <w:right w:w="130" w:type="dxa"/>
            </w:tcMar>
          </w:tcPr>
          <w:p>
            <w:r>
              <w:rPr>
                <w:rFonts w:ascii="Calibri" w:hAnsi="Calibri"/>
                <w:color w:val="0F172A"/>
                <w:sz w:val="19"/>
              </w:rPr>
              <w:t>Conclusion &amp; Future Roadmap</w:t>
            </w:r>
          </w:p>
        </w:tc>
        <w:tc>
          <w:tcPr>
            <w:tcW w:type="dxa" w:w="1440"/>
            <w:shd w:fill="FFFFFF"/>
            <w:tcMar>
              <w:top w:w="90" w:type="dxa"/>
              <w:bottom w:w="90" w:type="dxa"/>
              <w:left w:w="130" w:type="dxa"/>
              <w:right w:w="130" w:type="dxa"/>
            </w:tcMar>
          </w:tcPr>
          <w:p>
            <w:r>
              <w:rPr>
                <w:rFonts w:ascii="Calibri" w:hAnsi="Calibri"/>
                <w:color w:val="0F172A"/>
                <w:sz w:val="19"/>
              </w:rPr>
              <w:t>24</w:t>
            </w:r>
          </w:p>
        </w:tc>
      </w:tr>
    </w:tbl>
    <w:p>
      <w:r>
        <w:br w:type="page"/>
      </w:r>
    </w:p>
    <w:p>
      <w:pPr>
        <w:spacing w:before="360" w:after="160"/>
      </w:pPr>
      <w:r>
        <w:rPr>
          <w:rFonts w:ascii="Arial" w:hAnsi="Arial"/>
          <w:b/>
          <w:color w:val="1E3A8A"/>
          <w:sz w:val="32"/>
        </w:rPr>
        <w:t>1. PROBLEM STATEMENT AND SOFTWARE REQUIREMENTS SPECIFICATION (SRS)</w:t>
      </w:r>
    </w:p>
    <w:p>
      <w:pPr>
        <w:spacing w:before="280" w:after="120"/>
      </w:pPr>
      <w:r>
        <w:rPr>
          <w:rFonts w:ascii="Arial" w:hAnsi="Arial"/>
          <w:b/>
          <w:color w:val="2563EB"/>
          <w:sz w:val="26"/>
        </w:rPr>
        <w:t>1.1 Problem Statement</w:t>
      </w:r>
    </w:p>
    <w:p>
      <w:pPr>
        <w:spacing w:after="120" w:line="276" w:lineRule="auto"/>
      </w:pPr>
      <w:r>
        <w:rPr>
          <w:rFonts w:ascii="Calibri" w:hAnsi="Calibri"/>
          <w:b/>
          <w:color w:val="0F172A"/>
          <w:sz w:val="22"/>
        </w:rPr>
        <w:t xml:space="preserve">Industry Context: </w:t>
      </w:r>
      <w:r>
        <w:rPr>
          <w:rFonts w:ascii="Calibri" w:hAnsi="Calibri"/>
          <w:color w:val="0F172A"/>
          <w:sz w:val="22"/>
        </w:rPr>
        <w:t>The heating, ventilation, and air-conditioning (HVAC) service industry represents a mission-critical consumer and commercial sector characterized by urgent customer requirements, seasonal peak loads, and complex lifecycle commitments. In traditional HVAC operations, enterprises face acute operational bottlenecks:</w:t>
      </w:r>
    </w:p>
    <w:p>
      <w:pPr>
        <w:pStyle w:val="ListBullet"/>
        <w:spacing w:after="80" w:line="276" w:lineRule="auto"/>
      </w:pPr>
      <w:r>
        <w:rPr>
          <w:rFonts w:ascii="Calibri" w:hAnsi="Calibri"/>
          <w:b/>
          <w:color w:val="0F172A"/>
          <w:sz w:val="22"/>
        </w:rPr>
        <w:t>Fragmented Manual Intake:</w:t>
      </w:r>
      <w:r>
        <w:rPr>
          <w:rFonts w:ascii="Calibri" w:hAnsi="Calibri"/>
          <w:color w:val="0F172A"/>
          <w:sz w:val="22"/>
        </w:rPr>
        <w:t xml:space="preserve"> Customers are forced to place service requests over phone calls or physical store visits, resulting in missed calls during peak summer heatwaves and lost revenue opportunities.</w:t>
      </w:r>
    </w:p>
    <w:p>
      <w:pPr>
        <w:pStyle w:val="ListBullet"/>
        <w:spacing w:after="80" w:line="276" w:lineRule="auto"/>
      </w:pPr>
      <w:r>
        <w:rPr>
          <w:rFonts w:ascii="Calibri" w:hAnsi="Calibri"/>
          <w:b/>
          <w:color w:val="0F172A"/>
          <w:sz w:val="22"/>
        </w:rPr>
        <w:t>Uncoordinated Dispatching:</w:t>
      </w:r>
      <w:r>
        <w:rPr>
          <w:rFonts w:ascii="Calibri" w:hAnsi="Calibri"/>
          <w:color w:val="0F172A"/>
          <w:sz w:val="22"/>
        </w:rPr>
        <w:t xml:space="preserve"> Traditional service dispatch relies on manual logbooks or WhatsApp messaging, leading to overlapping allocations, lack of field tracking, and unbalanced technician workloads.</w:t>
      </w:r>
    </w:p>
    <w:p>
      <w:pPr>
        <w:pStyle w:val="ListBullet"/>
        <w:spacing w:after="80" w:line="276" w:lineRule="auto"/>
      </w:pPr>
      <w:r>
        <w:rPr>
          <w:rFonts w:ascii="Calibri" w:hAnsi="Calibri"/>
          <w:b/>
          <w:color w:val="0F172A"/>
          <w:sz w:val="22"/>
        </w:rPr>
        <w:t>Zero Real-Time Tracking:</w:t>
      </w:r>
      <w:r>
        <w:rPr>
          <w:rFonts w:ascii="Calibri" w:hAnsi="Calibri"/>
          <w:color w:val="0F172A"/>
          <w:sz w:val="22"/>
        </w:rPr>
        <w:t xml:space="preserve"> Customers have zero visibility into technician arrival times, current repair stage, or spare parts replaced, leading to constant follow-up calls and customer dissatisfaction.</w:t>
      </w:r>
    </w:p>
    <w:p>
      <w:pPr>
        <w:pStyle w:val="ListBullet"/>
        <w:spacing w:after="80" w:line="276" w:lineRule="auto"/>
      </w:pPr>
      <w:r>
        <w:rPr>
          <w:rFonts w:ascii="Calibri" w:hAnsi="Calibri"/>
          <w:b/>
          <w:color w:val="0F172A"/>
          <w:sz w:val="22"/>
        </w:rPr>
        <w:t>Lapsed AMC Governance:</w:t>
      </w:r>
      <w:r>
        <w:rPr>
          <w:rFonts w:ascii="Calibri" w:hAnsi="Calibri"/>
          <w:color w:val="0F172A"/>
          <w:sz w:val="22"/>
        </w:rPr>
        <w:t xml:space="preserve"> Annual Maintenance Contracts (AMC) are recorded in manual spreadsheets. Scheduled quarterly visits are neglected, customer visit balances are disputed, and contract renewals lapse unnoticed.</w:t>
      </w:r>
    </w:p>
    <w:p>
      <w:pPr>
        <w:pStyle w:val="ListBullet"/>
        <w:spacing w:after="80" w:line="276" w:lineRule="auto"/>
      </w:pPr>
      <w:r>
        <w:rPr>
          <w:rFonts w:ascii="Calibri" w:hAnsi="Calibri"/>
          <w:b/>
          <w:color w:val="0F172A"/>
          <w:sz w:val="22"/>
        </w:rPr>
        <w:t>Disconnected Inventory &amp; Spare Parts:</w:t>
      </w:r>
      <w:r>
        <w:rPr>
          <w:rFonts w:ascii="Calibri" w:hAnsi="Calibri"/>
          <w:color w:val="0F172A"/>
          <w:sz w:val="22"/>
        </w:rPr>
        <w:t xml:space="preserve"> Disjointed inventory tracking leads to stock-outs of critical refrigerants (R32, R410A) and electrical components (capacitors, fan motors) during active customer site visits.</w:t>
      </w:r>
    </w:p>
    <w:p>
      <w:pPr>
        <w:spacing w:before="280" w:after="120"/>
      </w:pPr>
      <w:r>
        <w:rPr>
          <w:rFonts w:ascii="Arial" w:hAnsi="Arial"/>
          <w:b/>
          <w:color w:val="2563EB"/>
          <w:sz w:val="26"/>
        </w:rPr>
        <w:t>1.2 Project Overview</w:t>
      </w:r>
    </w:p>
    <w:p>
      <w:pPr>
        <w:spacing w:after="120" w:line="276" w:lineRule="auto"/>
      </w:pPr>
      <w:r>
        <w:rPr>
          <w:rFonts w:ascii="Calibri" w:hAnsi="Calibri"/>
          <w:b/>
          <w:color w:val="0F172A"/>
          <w:sz w:val="22"/>
        </w:rPr>
        <w:t xml:space="preserve">System Identity: </w:t>
      </w:r>
      <w:r>
        <w:rPr>
          <w:rFonts w:ascii="Calibri" w:hAnsi="Calibri"/>
          <w:color w:val="0F172A"/>
          <w:sz w:val="22"/>
        </w:rPr>
        <w:t>Extreme Sales &amp; Services is a unified, full-stack enterprise web platform engineered to automate and optimize the end-to-end lifecycle of HVAC sales, installation, recurring maintenance (AMC), field workforce dispatch, and customer tracking. The system implements a resilient dual-mode architecture that operates seamlessly across both enterprise cloud environments (Google Cloud Firebase Firestore + SendGrid transactional email) and zero-dependency local synchronized development runtimes.</w:t>
      </w:r>
    </w:p>
    <w:p>
      <w:pPr>
        <w:spacing w:after="120" w:line="276" w:lineRule="auto"/>
      </w:pPr>
      <w:r>
        <w:rPr>
          <w:rFonts w:ascii="Calibri" w:hAnsi="Calibri"/>
          <w:color w:val="0F172A"/>
          <w:sz w:val="22"/>
        </w:rPr>
        <w:t>Core Capabilities of the Platform:</w:t>
      </w:r>
    </w:p>
    <w:p>
      <w:pPr>
        <w:pStyle w:val="ListBullet"/>
        <w:spacing w:after="80" w:line="276" w:lineRule="auto"/>
      </w:pPr>
      <w:r>
        <w:rPr>
          <w:rFonts w:ascii="Calibri" w:hAnsi="Calibri"/>
          <w:b/>
          <w:color w:val="0F172A"/>
          <w:sz w:val="22"/>
        </w:rPr>
        <w:t>Customer Self-Service Portal:</w:t>
      </w:r>
      <w:r>
        <w:rPr>
          <w:rFonts w:ascii="Calibri" w:hAnsi="Calibri"/>
          <w:color w:val="0F172A"/>
          <w:sz w:val="22"/>
        </w:rPr>
        <w:t xml:space="preserve"> Direct booking of repair, installation, preventive maintenance, gas refill, and AMC visits with instant Request ID (AC-XXXX) generation.</w:t>
      </w:r>
    </w:p>
    <w:p>
      <w:pPr>
        <w:pStyle w:val="ListBullet"/>
        <w:spacing w:after="80" w:line="276" w:lineRule="auto"/>
      </w:pPr>
      <w:r>
        <w:rPr>
          <w:rFonts w:ascii="Calibri" w:hAnsi="Calibri"/>
          <w:b/>
          <w:color w:val="0F172A"/>
          <w:sz w:val="22"/>
        </w:rPr>
        <w:t>Dispatcher &amp; Admin Command Center:</w:t>
      </w:r>
      <w:r>
        <w:rPr>
          <w:rFonts w:ascii="Calibri" w:hAnsi="Calibri"/>
          <w:color w:val="0F172A"/>
          <w:sz w:val="22"/>
        </w:rPr>
        <w:t xml:space="preserve"> Centralized queue for triaging tickets, filtering by lifecycle stage, and dynamically assigning jobs to field engineers with live load counters.</w:t>
      </w:r>
    </w:p>
    <w:p>
      <w:pPr>
        <w:pStyle w:val="ListBullet"/>
        <w:spacing w:after="80" w:line="276" w:lineRule="auto"/>
      </w:pPr>
      <w:r>
        <w:rPr>
          <w:rFonts w:ascii="Calibri" w:hAnsi="Calibri"/>
          <w:b/>
          <w:color w:val="0F172A"/>
          <w:sz w:val="22"/>
        </w:rPr>
        <w:t>Field Technician Workspace:</w:t>
      </w:r>
      <w:r>
        <w:rPr>
          <w:rFonts w:ascii="Calibri" w:hAnsi="Calibri"/>
          <w:color w:val="0F172A"/>
          <w:sz w:val="22"/>
        </w:rPr>
        <w:t xml:space="preserve"> Dedicated mobile console for technicians to inspect job addresses, diagnose fault descriptions, update status (Pending -&gt; Assigned -&gt; In Progress -&gt; Completed), and log spare parts used.</w:t>
      </w:r>
    </w:p>
    <w:p>
      <w:pPr>
        <w:pStyle w:val="ListBullet"/>
        <w:spacing w:after="80" w:line="276" w:lineRule="auto"/>
      </w:pPr>
      <w:r>
        <w:rPr>
          <w:rFonts w:ascii="Calibri" w:hAnsi="Calibri"/>
          <w:b/>
          <w:color w:val="0F172A"/>
          <w:sz w:val="22"/>
        </w:rPr>
        <w:t>AMC Contract Lifecycle Engine:</w:t>
      </w:r>
      <w:r>
        <w:rPr>
          <w:rFonts w:ascii="Calibri" w:hAnsi="Calibri"/>
          <w:color w:val="0F172A"/>
          <w:sz w:val="22"/>
        </w:rPr>
        <w:t xml:space="preserve"> 3-tier maintenance packages (Eco Saver, Comfort Standard, Elite Ultimate) with automatic phone-number-based visit verification and decrementation during service booking.</w:t>
      </w:r>
    </w:p>
    <w:p>
      <w:pPr>
        <w:pStyle w:val="ListBullet"/>
        <w:spacing w:after="80" w:line="276" w:lineRule="auto"/>
      </w:pPr>
      <w:r>
        <w:rPr>
          <w:rFonts w:ascii="Calibri" w:hAnsi="Calibri"/>
          <w:b/>
          <w:color w:val="0F172A"/>
          <w:sz w:val="22"/>
        </w:rPr>
        <w:t>Real-Time Ticket Tracker:</w:t>
      </w:r>
      <w:r>
        <w:rPr>
          <w:rFonts w:ascii="Calibri" w:hAnsi="Calibri"/>
          <w:color w:val="0F172A"/>
          <w:sz w:val="22"/>
        </w:rPr>
        <w:t xml:space="preserve"> Dynamic REST lookup and Server-Sent Events (SSE) push streaming providing step-by-step progress tracking for customers.</w:t>
      </w:r>
    </w:p>
    <w:p>
      <w:pPr>
        <w:pStyle w:val="ListBullet"/>
        <w:spacing w:after="80" w:line="276" w:lineRule="auto"/>
      </w:pPr>
      <w:r>
        <w:rPr>
          <w:rFonts w:ascii="Calibri" w:hAnsi="Calibri"/>
          <w:b/>
          <w:color w:val="0F172A"/>
          <w:sz w:val="22"/>
        </w:rPr>
        <w:t>Executive Analytics Dashboard:</w:t>
      </w:r>
      <w:r>
        <w:rPr>
          <w:rFonts w:ascii="Calibri" w:hAnsi="Calibri"/>
          <w:color w:val="0F172A"/>
          <w:sz w:val="22"/>
        </w:rPr>
        <w:t xml:space="preserve"> Dynamic charts displaying revenue metrics, job status distributions, 7-day booking trends, technician performance leaderboards, and service breakdown.</w:t>
      </w:r>
    </w:p>
    <w:p>
      <w:pPr>
        <w:spacing w:before="280" w:after="120"/>
      </w:pPr>
      <w:r>
        <w:rPr>
          <w:rFonts w:ascii="Arial" w:hAnsi="Arial"/>
          <w:b/>
          <w:color w:val="2563EB"/>
          <w:sz w:val="26"/>
        </w:rPr>
        <w:t>1.3 Software Requirements Specification (SRS)</w:t>
      </w:r>
    </w:p>
    <w:p>
      <w:pPr>
        <w:spacing w:before="200" w:after="80"/>
      </w:pPr>
      <w:r>
        <w:rPr>
          <w:rFonts w:ascii="Arial" w:hAnsi="Arial"/>
          <w:b/>
          <w:color w:val="0F172A"/>
          <w:sz w:val="22"/>
        </w:rPr>
        <w:t>1.3.1 Functional Requirements</w:t>
      </w:r>
    </w:p>
    <w:p>
      <w:pPr>
        <w:pStyle w:val="ListBullet"/>
        <w:spacing w:after="80" w:line="276" w:lineRule="auto"/>
      </w:pPr>
      <w:r>
        <w:rPr>
          <w:rFonts w:ascii="Calibri" w:hAnsi="Calibri"/>
          <w:b/>
          <w:color w:val="0F172A"/>
          <w:sz w:val="22"/>
        </w:rPr>
        <w:t>FR-01 (Service Booking Intake):</w:t>
      </w:r>
      <w:r>
        <w:rPr>
          <w:rFonts w:ascii="Calibri" w:hAnsi="Calibri"/>
          <w:color w:val="0F172A"/>
          <w:sz w:val="22"/>
        </w:rPr>
        <w:t xml:space="preserve"> The system shall allow unauthenticated customers to submit service requests specifying customer name, phone number, address, service category, and issue description.</w:t>
      </w:r>
    </w:p>
    <w:p>
      <w:pPr>
        <w:pStyle w:val="ListBullet"/>
        <w:spacing w:after="80" w:line="276" w:lineRule="auto"/>
      </w:pPr>
      <w:r>
        <w:rPr>
          <w:rFonts w:ascii="Calibri" w:hAnsi="Calibri"/>
          <w:b/>
          <w:color w:val="0F172A"/>
          <w:sz w:val="22"/>
        </w:rPr>
        <w:t>FR-02 (Automated AMC Verification):</w:t>
      </w:r>
      <w:r>
        <w:rPr>
          <w:rFonts w:ascii="Calibri" w:hAnsi="Calibri"/>
          <w:color w:val="0F172A"/>
          <w:sz w:val="22"/>
        </w:rPr>
        <w:t xml:space="preserve"> Upon booking submission, the engine shall automatically inspect the customer AMC registry by phone number. If an active contract with remaining balance is detected, it shall decrement the service count and tag the request with '[✅ AMC Covered]'.</w:t>
      </w:r>
    </w:p>
    <w:p>
      <w:pPr>
        <w:pStyle w:val="ListBullet"/>
        <w:spacing w:after="80" w:line="276" w:lineRule="auto"/>
      </w:pPr>
      <w:r>
        <w:rPr>
          <w:rFonts w:ascii="Calibri" w:hAnsi="Calibri"/>
          <w:b/>
          <w:color w:val="0F172A"/>
          <w:sz w:val="22"/>
        </w:rPr>
        <w:t>FR-03 (Ticket Generation &amp; Email Notification):</w:t>
      </w:r>
      <w:r>
        <w:rPr>
          <w:rFonts w:ascii="Calibri" w:hAnsi="Calibri"/>
          <w:color w:val="0F172A"/>
          <w:sz w:val="22"/>
        </w:rPr>
        <w:t xml:space="preserve"> The system shall issue a unique tracking ticket identifier formatted as 'AC-XXXX' and dispatch an HTML booking confirmation email via SendGrid.</w:t>
      </w:r>
    </w:p>
    <w:p>
      <w:pPr>
        <w:pStyle w:val="ListBullet"/>
        <w:spacing w:after="80" w:line="276" w:lineRule="auto"/>
      </w:pPr>
      <w:r>
        <w:rPr>
          <w:rFonts w:ascii="Calibri" w:hAnsi="Calibri"/>
          <w:b/>
          <w:color w:val="0F172A"/>
          <w:sz w:val="22"/>
        </w:rPr>
        <w:t>FR-04 (Ticket Triage &amp; Filtering):</w:t>
      </w:r>
      <w:r>
        <w:rPr>
          <w:rFonts w:ascii="Calibri" w:hAnsi="Calibri"/>
          <w:color w:val="0F172A"/>
          <w:sz w:val="22"/>
        </w:rPr>
        <w:t xml:space="preserve"> Dispatchers and administrators shall be able to filter tickets by status ('All', 'Pending', 'Assigned', 'In Progress', 'Completed') and perform instant keyword search on ID, name, or phone.</w:t>
      </w:r>
    </w:p>
    <w:p>
      <w:pPr>
        <w:pStyle w:val="ListBullet"/>
        <w:spacing w:after="80" w:line="276" w:lineRule="auto"/>
      </w:pPr>
      <w:r>
        <w:rPr>
          <w:rFonts w:ascii="Calibri" w:hAnsi="Calibri"/>
          <w:b/>
          <w:color w:val="0F172A"/>
          <w:sz w:val="22"/>
        </w:rPr>
        <w:t>FR-05 (Technician Allocation):</w:t>
      </w:r>
      <w:r>
        <w:rPr>
          <w:rFonts w:ascii="Calibri" w:hAnsi="Calibri"/>
          <w:color w:val="0F172A"/>
          <w:sz w:val="22"/>
        </w:rPr>
        <w:t xml:space="preserve"> Authorized staff shall be able to assign an active field technician to any pending service request, updating ticket status to 'Assigned' and reflecting in the technician's active job counter.</w:t>
      </w:r>
    </w:p>
    <w:p>
      <w:pPr>
        <w:pStyle w:val="ListBullet"/>
        <w:spacing w:after="80" w:line="276" w:lineRule="auto"/>
      </w:pPr>
      <w:r>
        <w:rPr>
          <w:rFonts w:ascii="Calibri" w:hAnsi="Calibri"/>
          <w:b/>
          <w:color w:val="0F172A"/>
          <w:sz w:val="22"/>
        </w:rPr>
        <w:t>FR-06 (Field Execution &amp; Notes Logging):</w:t>
      </w:r>
      <w:r>
        <w:rPr>
          <w:rFonts w:ascii="Calibri" w:hAnsi="Calibri"/>
          <w:color w:val="0F172A"/>
          <w:sz w:val="22"/>
        </w:rPr>
        <w:t xml:space="preserve"> Authenticated technicians shall view their dedicated job queue and patch ticket status to 'In Progress' or 'Completed' while appending technical completion notes and spare parts consumed.</w:t>
      </w:r>
    </w:p>
    <w:p>
      <w:pPr>
        <w:pStyle w:val="ListBullet"/>
        <w:spacing w:after="80" w:line="276" w:lineRule="auto"/>
      </w:pPr>
      <w:r>
        <w:rPr>
          <w:rFonts w:ascii="Calibri" w:hAnsi="Calibri"/>
          <w:b/>
          <w:color w:val="0F172A"/>
          <w:sz w:val="22"/>
        </w:rPr>
        <w:t>FR-07 (Dual Tracking Mechanism):</w:t>
      </w:r>
      <w:r>
        <w:rPr>
          <w:rFonts w:ascii="Calibri" w:hAnsi="Calibri"/>
          <w:color w:val="0F172A"/>
          <w:sz w:val="22"/>
        </w:rPr>
        <w:t xml:space="preserve"> Customers shall be able to monitor ticket progress in real-time using either REST polling or a persistent Server-Sent Events (SSE) stream (`/api/track/live`).</w:t>
      </w:r>
    </w:p>
    <w:p>
      <w:pPr>
        <w:pStyle w:val="ListBullet"/>
        <w:spacing w:after="80" w:line="276" w:lineRule="auto"/>
      </w:pPr>
      <w:r>
        <w:rPr>
          <w:rFonts w:ascii="Calibri" w:hAnsi="Calibri"/>
          <w:b/>
          <w:color w:val="0F172A"/>
          <w:sz w:val="22"/>
        </w:rPr>
        <w:t>FR-08 (Product Catalog &amp; Lead Management):</w:t>
      </w:r>
      <w:r>
        <w:rPr>
          <w:rFonts w:ascii="Calibri" w:hAnsi="Calibri"/>
          <w:color w:val="0F172A"/>
          <w:sz w:val="22"/>
        </w:rPr>
        <w:t xml:space="preserve"> The system shall present an interactive product catalog for Brand New ACs, Certified Refurbished units, and Spare Parts, allowing customers to filter by brand, capacity, and submit purchase enquiries.</w:t>
      </w:r>
    </w:p>
    <w:p>
      <w:pPr>
        <w:pStyle w:val="ListBullet"/>
        <w:spacing w:after="80" w:line="276" w:lineRule="auto"/>
      </w:pPr>
      <w:r>
        <w:rPr>
          <w:rFonts w:ascii="Calibri" w:hAnsi="Calibri"/>
          <w:b/>
          <w:color w:val="0F172A"/>
          <w:sz w:val="22"/>
        </w:rPr>
        <w:t>FR-09 (AMC Administration &amp; Activation):</w:t>
      </w:r>
      <w:r>
        <w:rPr>
          <w:rFonts w:ascii="Calibri" w:hAnsi="Calibri"/>
          <w:color w:val="0F172A"/>
          <w:sz w:val="22"/>
        </w:rPr>
        <w:t xml:space="preserve"> Administrators shall create, edit, and delete AMC plans, while customers can submit purchase requests that admins activate for a 365-day validity window.</w:t>
      </w:r>
    </w:p>
    <w:p>
      <w:pPr>
        <w:pStyle w:val="ListBullet"/>
        <w:spacing w:after="80" w:line="276" w:lineRule="auto"/>
      </w:pPr>
      <w:r>
        <w:rPr>
          <w:rFonts w:ascii="Calibri" w:hAnsi="Calibri"/>
          <w:b/>
          <w:color w:val="0F172A"/>
          <w:sz w:val="22"/>
        </w:rPr>
        <w:t>FR-10 (Customer Feedback &amp; Review System):</w:t>
      </w:r>
      <w:r>
        <w:rPr>
          <w:rFonts w:ascii="Calibri" w:hAnsi="Calibri"/>
          <w:color w:val="0F172A"/>
          <w:sz w:val="22"/>
        </w:rPr>
        <w:t xml:space="preserve"> Customers shall be able to submit post-service ratings (1 to 5 stars), category selections, and written feedback, which dynamically renders across public testimonial sections.</w:t>
      </w:r>
    </w:p>
    <w:p>
      <w:pPr>
        <w:spacing w:before="160" w:after="80"/>
        <w:jc w:val="center"/>
      </w:pPr>
      <w:r>
        <w:drawing>
          <wp:inline xmlns:a="http://schemas.openxmlformats.org/drawingml/2006/main" xmlns:pic="http://schemas.openxmlformats.org/drawingml/2006/picture">
            <wp:extent cx="5303520" cy="3160684"/>
            <wp:docPr id="1" name="Picture 1"/>
            <wp:cNvGraphicFramePr>
              <a:graphicFrameLocks noChangeAspect="1"/>
            </wp:cNvGraphicFramePr>
            <a:graphic>
              <a:graphicData uri="http://schemas.openxmlformats.org/drawingml/2006/picture">
                <pic:pic>
                  <pic:nvPicPr>
                    <pic:cNvPr id="0" name="img1_functional_reqs.png"/>
                    <pic:cNvPicPr/>
                  </pic:nvPicPr>
                  <pic:blipFill>
                    <a:blip r:embed="rId9"/>
                    <a:stretch>
                      <a:fillRect/>
                    </a:stretch>
                  </pic:blipFill>
                  <pic:spPr>
                    <a:xfrm>
                      <a:off x="0" y="0"/>
                      <a:ext cx="5303520" cy="3160684"/>
                    </a:xfrm>
                    <a:prstGeom prst="rect"/>
                  </pic:spPr>
                </pic:pic>
              </a:graphicData>
            </a:graphic>
          </wp:inline>
        </w:drawing>
      </w:r>
    </w:p>
    <w:p>
      <w:pPr>
        <w:spacing w:after="240"/>
        <w:jc w:val="center"/>
      </w:pPr>
      <w:r>
        <w:rPr>
          <w:rFonts w:ascii="Calibri" w:hAnsi="Calibri"/>
          <w:i/>
          <w:color w:val="475569"/>
          <w:sz w:val="19"/>
        </w:rPr>
        <w:t>Figure: Extreme Sales &amp; Services - Functional Requirements Hierarchy</w:t>
      </w:r>
    </w:p>
    <w:p>
      <w:pPr>
        <w:spacing w:before="200" w:after="80"/>
      </w:pPr>
      <w:r>
        <w:rPr>
          <w:rFonts w:ascii="Arial" w:hAnsi="Arial"/>
          <w:b/>
          <w:color w:val="0F172A"/>
          <w:sz w:val="22"/>
        </w:rPr>
        <w:t>1.3.2 Non-Functional Requirements</w:t>
      </w:r>
    </w:p>
    <w:p>
      <w:pPr>
        <w:pStyle w:val="ListBullet"/>
        <w:spacing w:after="80" w:line="276" w:lineRule="auto"/>
      </w:pPr>
      <w:r>
        <w:rPr>
          <w:rFonts w:ascii="Calibri" w:hAnsi="Calibri"/>
          <w:b/>
          <w:color w:val="0F172A"/>
          <w:sz w:val="22"/>
        </w:rPr>
        <w:t>NFR-01 (Security &amp; Authentication):</w:t>
      </w:r>
      <w:r>
        <w:rPr>
          <w:rFonts w:ascii="Calibri" w:hAnsi="Calibri"/>
          <w:color w:val="0F172A"/>
          <w:sz w:val="22"/>
        </w:rPr>
        <w:t xml:space="preserve"> All administrative, dispatch, and technician endpoints shall enforce JSON Web Token (JWT) verification with role-based access control (RBAC). Passwords must be hashed using bcrypt with a salt work factor of 10.</w:t>
      </w:r>
    </w:p>
    <w:p>
      <w:pPr>
        <w:pStyle w:val="ListBullet"/>
        <w:spacing w:after="80" w:line="276" w:lineRule="auto"/>
      </w:pPr>
      <w:r>
        <w:rPr>
          <w:rFonts w:ascii="Calibri" w:hAnsi="Calibri"/>
          <w:b/>
          <w:color w:val="0F172A"/>
          <w:sz w:val="22"/>
        </w:rPr>
        <w:t>NFR-02 (Response Time &amp; Latency):</w:t>
      </w:r>
      <w:r>
        <w:rPr>
          <w:rFonts w:ascii="Calibri" w:hAnsi="Calibri"/>
          <w:color w:val="0F172A"/>
          <w:sz w:val="22"/>
        </w:rPr>
        <w:t xml:space="preserve"> Standard REST API queries shall resolve within 120 milliseconds under normal network conditions. Live SSE status broadcasts shall reflect state mutations within 250 milliseconds.</w:t>
      </w:r>
    </w:p>
    <w:p>
      <w:pPr>
        <w:pStyle w:val="ListBullet"/>
        <w:spacing w:after="80" w:line="276" w:lineRule="auto"/>
      </w:pPr>
      <w:r>
        <w:rPr>
          <w:rFonts w:ascii="Calibri" w:hAnsi="Calibri"/>
          <w:b/>
          <w:color w:val="0F172A"/>
          <w:sz w:val="22"/>
        </w:rPr>
        <w:t>NFR-03 (Fault Tolerance &amp; Availability):</w:t>
      </w:r>
      <w:r>
        <w:rPr>
          <w:rFonts w:ascii="Calibri" w:hAnsi="Calibri"/>
          <w:color w:val="0F172A"/>
          <w:sz w:val="22"/>
        </w:rPr>
        <w:t xml:space="preserve"> The server shall automatically fall back to an internal synchronized memory store if Firebase credentials are absent, guaranteeing zero system downtime during local development or network disconnections.</w:t>
      </w:r>
    </w:p>
    <w:p>
      <w:pPr>
        <w:pStyle w:val="ListBullet"/>
        <w:spacing w:after="80" w:line="276" w:lineRule="auto"/>
      </w:pPr>
      <w:r>
        <w:rPr>
          <w:rFonts w:ascii="Calibri" w:hAnsi="Calibri"/>
          <w:b/>
          <w:color w:val="0F172A"/>
          <w:sz w:val="22"/>
        </w:rPr>
        <w:t>NFR-04 (Usability &amp; Responsive Form Factor):</w:t>
      </w:r>
      <w:r>
        <w:rPr>
          <w:rFonts w:ascii="Calibri" w:hAnsi="Calibri"/>
          <w:color w:val="0F172A"/>
          <w:sz w:val="22"/>
        </w:rPr>
        <w:t xml:space="preserve"> The user interface shall provide a 100% responsive, mobile-first experience adapted for smartphones, tablets, and desktop workstations with modern glassmorphism visual styling.</w:t>
      </w:r>
    </w:p>
    <w:p>
      <w:pPr>
        <w:pStyle w:val="ListBullet"/>
        <w:spacing w:after="80" w:line="276" w:lineRule="auto"/>
      </w:pPr>
      <w:r>
        <w:rPr>
          <w:rFonts w:ascii="Calibri" w:hAnsi="Calibri"/>
          <w:b/>
          <w:color w:val="0F172A"/>
          <w:sz w:val="22"/>
        </w:rPr>
        <w:t>NFR-05 (Scalability):</w:t>
      </w:r>
      <w:r>
        <w:rPr>
          <w:rFonts w:ascii="Calibri" w:hAnsi="Calibri"/>
          <w:color w:val="0F172A"/>
          <w:sz w:val="22"/>
        </w:rPr>
        <w:t xml:space="preserve"> The server architecture shall be stateless to enable horizontal auto-scaling on cloud platforms (e.g. Render, AWS, Heroku) with independent Firestore read/write scaling.</w:t>
      </w:r>
    </w:p>
    <w:p>
      <w:pPr>
        <w:pStyle w:val="ListBullet"/>
        <w:spacing w:after="80" w:line="276" w:lineRule="auto"/>
      </w:pPr>
      <w:r>
        <w:rPr>
          <w:rFonts w:ascii="Calibri" w:hAnsi="Calibri"/>
          <w:b/>
          <w:color w:val="0F172A"/>
          <w:sz w:val="22"/>
        </w:rPr>
        <w:t>NFR-06 (Data Integrity &amp; Validation):</w:t>
      </w:r>
      <w:r>
        <w:rPr>
          <w:rFonts w:ascii="Calibri" w:hAnsi="Calibri"/>
          <w:color w:val="0F172A"/>
          <w:sz w:val="22"/>
        </w:rPr>
        <w:t xml:space="preserve"> All incoming client inputs (phone numbers, email addresses, HTML form strings) shall be validated and sanitized to prevent XSS, NoSQL injection, and header manipulation attacks.</w:t>
      </w:r>
    </w:p>
    <w:p>
      <w:pPr>
        <w:spacing w:before="160" w:after="80"/>
        <w:jc w:val="center"/>
      </w:pPr>
      <w:r>
        <w:drawing>
          <wp:inline xmlns:a="http://schemas.openxmlformats.org/drawingml/2006/main" xmlns:pic="http://schemas.openxmlformats.org/drawingml/2006/picture">
            <wp:extent cx="5303520" cy="2892829"/>
            <wp:docPr id="2" name="Picture 2"/>
            <wp:cNvGraphicFramePr>
              <a:graphicFrameLocks noChangeAspect="1"/>
            </wp:cNvGraphicFramePr>
            <a:graphic>
              <a:graphicData uri="http://schemas.openxmlformats.org/drawingml/2006/picture">
                <pic:pic>
                  <pic:nvPicPr>
                    <pic:cNvPr id="0" name="img2_non_functional_reqs.png"/>
                    <pic:cNvPicPr/>
                  </pic:nvPicPr>
                  <pic:blipFill>
                    <a:blip r:embed="rId10"/>
                    <a:stretch>
                      <a:fillRect/>
                    </a:stretch>
                  </pic:blipFill>
                  <pic:spPr>
                    <a:xfrm>
                      <a:off x="0" y="0"/>
                      <a:ext cx="5303520" cy="2892829"/>
                    </a:xfrm>
                    <a:prstGeom prst="rect"/>
                  </pic:spPr>
                </pic:pic>
              </a:graphicData>
            </a:graphic>
          </wp:inline>
        </w:drawing>
      </w:r>
    </w:p>
    <w:p>
      <w:pPr>
        <w:spacing w:after="240"/>
        <w:jc w:val="center"/>
      </w:pPr>
      <w:r>
        <w:rPr>
          <w:rFonts w:ascii="Calibri" w:hAnsi="Calibri"/>
          <w:i/>
          <w:color w:val="475569"/>
          <w:sz w:val="19"/>
        </w:rPr>
        <w:t>Figure: Non-Functional Quality Attributes (ISO/IEC 25010 Framework)</w:t>
      </w:r>
    </w:p>
    <w:p>
      <w:pPr>
        <w:spacing w:before="280" w:after="120"/>
      </w:pPr>
      <w:r>
        <w:rPr>
          <w:rFonts w:ascii="Arial" w:hAnsi="Arial"/>
          <w:b/>
          <w:color w:val="2563EB"/>
          <w:sz w:val="26"/>
        </w:rPr>
        <w:t>1.4 System Scope</w:t>
      </w:r>
    </w:p>
    <w:p>
      <w:pPr>
        <w:spacing w:after="120" w:line="276" w:lineRule="auto"/>
      </w:pPr>
      <w:r>
        <w:rPr>
          <w:rFonts w:ascii="Calibri" w:hAnsi="Calibri"/>
          <w:b/>
          <w:color w:val="0F172A"/>
          <w:sz w:val="22"/>
        </w:rPr>
        <w:t xml:space="preserve">System Boundaries: </w:t>
      </w:r>
      <w:r>
        <w:rPr>
          <w:rFonts w:ascii="Calibri" w:hAnsi="Calibri"/>
          <w:color w:val="0F172A"/>
          <w:sz w:val="22"/>
        </w:rPr>
        <w:t>In Scope:</w:t>
      </w:r>
    </w:p>
    <w:p>
      <w:pPr>
        <w:pStyle w:val="ListBullet"/>
        <w:spacing w:after="80" w:line="276" w:lineRule="auto"/>
      </w:pPr>
      <w:r>
        <w:rPr>
          <w:rFonts w:ascii="Calibri" w:hAnsi="Calibri"/>
          <w:color w:val="0F172A"/>
          <w:sz w:val="22"/>
        </w:rPr>
        <w:t xml:space="preserve"> Responsive public customer portal for online AC service booking, catalog exploration, and AMC purchase.</w:t>
      </w:r>
    </w:p>
    <w:p>
      <w:pPr>
        <w:pStyle w:val="ListBullet"/>
        <w:spacing w:after="80" w:line="276" w:lineRule="auto"/>
      </w:pPr>
      <w:r>
        <w:rPr>
          <w:rFonts w:ascii="Calibri" w:hAnsi="Calibri"/>
          <w:color w:val="0F172A"/>
          <w:sz w:val="22"/>
        </w:rPr>
        <w:t xml:space="preserve"> Live customer service tracking dashboard featuring REST and SSE event stream integration.</w:t>
      </w:r>
    </w:p>
    <w:p>
      <w:pPr>
        <w:pStyle w:val="ListBullet"/>
        <w:spacing w:after="80" w:line="276" w:lineRule="auto"/>
      </w:pPr>
      <w:r>
        <w:rPr>
          <w:rFonts w:ascii="Calibri" w:hAnsi="Calibri"/>
          <w:color w:val="0F172A"/>
          <w:sz w:val="22"/>
        </w:rPr>
        <w:t xml:space="preserve"> Comprehensive Dispatcher &amp; Admin workstation for ticket triage, technician workload monitoring, and fleet assignment.</w:t>
      </w:r>
    </w:p>
    <w:p>
      <w:pPr>
        <w:pStyle w:val="ListBullet"/>
        <w:spacing w:after="80" w:line="276" w:lineRule="auto"/>
      </w:pPr>
      <w:r>
        <w:rPr>
          <w:rFonts w:ascii="Calibri" w:hAnsi="Calibri"/>
          <w:color w:val="0F172A"/>
          <w:sz w:val="22"/>
        </w:rPr>
        <w:t xml:space="preserve"> Specialized mobile field technician job board with status updates and diagnostic notes logging.</w:t>
      </w:r>
    </w:p>
    <w:p>
      <w:pPr>
        <w:pStyle w:val="ListBullet"/>
        <w:spacing w:after="80" w:line="276" w:lineRule="auto"/>
      </w:pPr>
      <w:r>
        <w:rPr>
          <w:rFonts w:ascii="Calibri" w:hAnsi="Calibri"/>
          <w:color w:val="0F172A"/>
          <w:sz w:val="22"/>
        </w:rPr>
        <w:t xml:space="preserve"> AMC plan creation, customer subscription ledger, and automated visit decrement logic.</w:t>
      </w:r>
    </w:p>
    <w:p>
      <w:pPr>
        <w:pStyle w:val="ListBullet"/>
        <w:spacing w:after="80" w:line="276" w:lineRule="auto"/>
      </w:pPr>
      <w:r>
        <w:rPr>
          <w:rFonts w:ascii="Calibri" w:hAnsi="Calibri"/>
          <w:color w:val="0F172A"/>
          <w:sz w:val="22"/>
        </w:rPr>
        <w:t xml:space="preserve"> Product catalog management (new, refurbished, spare parts) with enquiry capture.</w:t>
      </w:r>
    </w:p>
    <w:p>
      <w:pPr>
        <w:pStyle w:val="ListBullet"/>
        <w:spacing w:after="80" w:line="276" w:lineRule="auto"/>
      </w:pPr>
      <w:r>
        <w:rPr>
          <w:rFonts w:ascii="Calibri" w:hAnsi="Calibri"/>
          <w:color w:val="0F172A"/>
          <w:sz w:val="22"/>
        </w:rPr>
        <w:t xml:space="preserve"> Executive business intelligence reporting powered by Chart.js.</w:t>
      </w:r>
    </w:p>
    <w:p>
      <w:pPr>
        <w:pStyle w:val="ListBullet"/>
        <w:spacing w:after="80" w:line="276" w:lineRule="auto"/>
      </w:pPr>
      <w:r>
        <w:rPr>
          <w:rFonts w:ascii="Calibri" w:hAnsi="Calibri"/>
          <w:color w:val="0F172A"/>
          <w:sz w:val="22"/>
        </w:rPr>
        <w:t xml:space="preserve"> Transactional email delivery via SendGrid API.</w:t>
      </w:r>
    </w:p>
    <w:p>
      <w:pPr>
        <w:spacing w:after="120" w:line="276" w:lineRule="auto"/>
      </w:pPr>
      <w:r>
        <w:rPr>
          <w:rFonts w:ascii="Calibri" w:hAnsi="Calibri"/>
          <w:b/>
          <w:color w:val="0F172A"/>
          <w:sz w:val="22"/>
        </w:rPr>
        <w:t xml:space="preserve">Delimitations: </w:t>
      </w:r>
      <w:r>
        <w:rPr>
          <w:rFonts w:ascii="Calibri" w:hAnsi="Calibri"/>
          <w:color w:val="0F172A"/>
          <w:sz w:val="22"/>
        </w:rPr>
        <w:t>Out of Scope (Future Phases):</w:t>
      </w:r>
    </w:p>
    <w:p>
      <w:pPr>
        <w:pStyle w:val="ListBullet"/>
        <w:spacing w:after="80" w:line="276" w:lineRule="auto"/>
      </w:pPr>
      <w:r>
        <w:rPr>
          <w:rFonts w:ascii="Calibri" w:hAnsi="Calibri"/>
          <w:color w:val="0F172A"/>
          <w:sz w:val="22"/>
        </w:rPr>
        <w:t xml:space="preserve"> Native mobile store binaries (iOS App Store / Google Play); current release is a Progressive Mobile Web Application.</w:t>
      </w:r>
    </w:p>
    <w:p>
      <w:pPr>
        <w:pStyle w:val="ListBullet"/>
        <w:spacing w:after="80" w:line="276" w:lineRule="auto"/>
      </w:pPr>
      <w:r>
        <w:rPr>
          <w:rFonts w:ascii="Calibri" w:hAnsi="Calibri"/>
          <w:color w:val="0F172A"/>
          <w:sz w:val="22"/>
        </w:rPr>
        <w:t xml:space="preserve"> Direct physical hardware IoT telemetry sensors on compressor lines (planned for V3.0 predictive maintenance).</w:t>
      </w:r>
    </w:p>
    <w:p>
      <w:pPr>
        <w:pStyle w:val="ListBullet"/>
        <w:spacing w:after="80" w:line="276" w:lineRule="auto"/>
      </w:pPr>
      <w:r>
        <w:rPr>
          <w:rFonts w:ascii="Calibri" w:hAnsi="Calibri"/>
          <w:color w:val="0F172A"/>
          <w:sz w:val="22"/>
        </w:rPr>
        <w:t xml:space="preserve"> Direct online automated payment gateway settlement (current release uses verified invoicing and on-site collection).</w:t>
      </w:r>
    </w:p>
    <w:p>
      <w:pPr>
        <w:pStyle w:val="ListBullet"/>
        <w:spacing w:after="80" w:line="276" w:lineRule="auto"/>
      </w:pPr>
      <w:r>
        <w:rPr>
          <w:rFonts w:ascii="Calibri" w:hAnsi="Calibri"/>
          <w:color w:val="0F172A"/>
          <w:sz w:val="22"/>
        </w:rPr>
        <w:t xml:space="preserve"> Multi-currency conversion (operations are localized for INR transactions).</w:t>
      </w:r>
    </w:p>
    <w:p>
      <w:r>
        <w:br w:type="page"/>
      </w:r>
    </w:p>
    <w:p>
      <w:pPr>
        <w:spacing w:before="360" w:after="160"/>
      </w:pPr>
      <w:r>
        <w:rPr>
          <w:rFonts w:ascii="Arial" w:hAnsi="Arial"/>
          <w:b/>
          <w:color w:val="1E3A8A"/>
          <w:sz w:val="32"/>
        </w:rPr>
        <w:t>2. DATA FLOW DIAGRAM (DFD) &amp; STRUCTURED CHART</w:t>
      </w:r>
    </w:p>
    <w:p>
      <w:pPr>
        <w:spacing w:before="280" w:after="120"/>
      </w:pPr>
      <w:r>
        <w:rPr>
          <w:rFonts w:ascii="Arial" w:hAnsi="Arial"/>
          <w:b/>
          <w:color w:val="2563EB"/>
          <w:sz w:val="26"/>
        </w:rPr>
        <w:t>2.1 Context Diagram (Level 0 DFD)</w:t>
      </w:r>
    </w:p>
    <w:p>
      <w:pPr>
        <w:spacing w:after="120" w:line="276" w:lineRule="auto"/>
      </w:pPr>
      <w:r>
        <w:rPr>
          <w:rFonts w:ascii="Calibri" w:hAnsi="Calibri"/>
          <w:b/>
          <w:color w:val="0F172A"/>
          <w:sz w:val="22"/>
        </w:rPr>
        <w:t xml:space="preserve">Architectural Context: </w:t>
      </w:r>
      <w:r>
        <w:rPr>
          <w:rFonts w:ascii="Calibri" w:hAnsi="Calibri"/>
          <w:color w:val="0F172A"/>
          <w:sz w:val="22"/>
        </w:rPr>
        <w:t>The Level 0 Context Diagram establishes the macroscopic boundary of the Extreme Sales &amp; Services system. It models the system as a single central process (0.0) interacting with four primary external entities: the Customer, the Field Technician, the Administrator/Dispatcher, and the SendGrid Cloud Email Service.</w:t>
      </w:r>
    </w:p>
    <w:p>
      <w:pPr>
        <w:spacing w:before="160" w:after="80"/>
        <w:jc w:val="center"/>
      </w:pPr>
      <w:r>
        <w:drawing>
          <wp:inline xmlns:a="http://schemas.openxmlformats.org/drawingml/2006/main" xmlns:pic="http://schemas.openxmlformats.org/drawingml/2006/picture">
            <wp:extent cx="5303520" cy="3160684"/>
            <wp:docPr id="3" name="Picture 3"/>
            <wp:cNvGraphicFramePr>
              <a:graphicFrameLocks noChangeAspect="1"/>
            </wp:cNvGraphicFramePr>
            <a:graphic>
              <a:graphicData uri="http://schemas.openxmlformats.org/drawingml/2006/picture">
                <pic:pic>
                  <pic:nvPicPr>
                    <pic:cNvPr id="0" name="img3_context_dfd.png"/>
                    <pic:cNvPicPr/>
                  </pic:nvPicPr>
                  <pic:blipFill>
                    <a:blip r:embed="rId11"/>
                    <a:stretch>
                      <a:fillRect/>
                    </a:stretch>
                  </pic:blipFill>
                  <pic:spPr>
                    <a:xfrm>
                      <a:off x="0" y="0"/>
                      <a:ext cx="5303520" cy="3160684"/>
                    </a:xfrm>
                    <a:prstGeom prst="rect"/>
                  </pic:spPr>
                </pic:pic>
              </a:graphicData>
            </a:graphic>
          </wp:inline>
        </w:drawing>
      </w:r>
    </w:p>
    <w:p>
      <w:pPr>
        <w:spacing w:after="240"/>
        <w:jc w:val="center"/>
      </w:pPr>
      <w:r>
        <w:rPr>
          <w:rFonts w:ascii="Calibri" w:hAnsi="Calibri"/>
          <w:i/>
          <w:color w:val="475569"/>
          <w:sz w:val="19"/>
        </w:rPr>
        <w:t>Figure: Level 0 Context Data Flow Diagram</w:t>
      </w:r>
    </w:p>
    <w:p>
      <w:pPr>
        <w:spacing w:before="280" w:after="120"/>
      </w:pPr>
      <w:r>
        <w:rPr>
          <w:rFonts w:ascii="Arial" w:hAnsi="Arial"/>
          <w:b/>
          <w:color w:val="2563EB"/>
          <w:sz w:val="26"/>
        </w:rPr>
        <w:t>2.2 Level 1 DFD - Main Subsystems</w:t>
      </w:r>
    </w:p>
    <w:p>
      <w:pPr>
        <w:spacing w:after="120" w:line="276" w:lineRule="auto"/>
      </w:pPr>
      <w:r>
        <w:rPr>
          <w:rFonts w:ascii="Calibri" w:hAnsi="Calibri"/>
          <w:b/>
          <w:color w:val="0F172A"/>
          <w:sz w:val="22"/>
        </w:rPr>
        <w:t xml:space="preserve">Subsystem Decomposition: </w:t>
      </w:r>
      <w:r>
        <w:rPr>
          <w:rFonts w:ascii="Calibri" w:hAnsi="Calibri"/>
          <w:color w:val="0F172A"/>
          <w:sz w:val="22"/>
        </w:rPr>
        <w:t>The Level 1 DFD decomposes the central process into six interconnected functional modules: (1.0) Authentication &amp; Role Verification, (2.0) Service Request Processing &amp; AMC Verification, (3.0) Dispatch &amp; Technician Allocation, (4.0) Field Job Execution &amp; Status Management, (5.0) AMC Contract Lifecycle Management, and (6.0) Catalog Management &amp; Business Intelligence Analytics. These processes interact with four persistent data stores: D1 (service_requests), D2 (customer_amc), D3 (users/auth), and D4 (products/inventory).</w:t>
      </w:r>
    </w:p>
    <w:p>
      <w:pPr>
        <w:spacing w:before="160" w:after="80"/>
        <w:jc w:val="center"/>
      </w:pPr>
      <w:r>
        <w:drawing>
          <wp:inline xmlns:a="http://schemas.openxmlformats.org/drawingml/2006/main" xmlns:pic="http://schemas.openxmlformats.org/drawingml/2006/picture">
            <wp:extent cx="5303520" cy="3428538"/>
            <wp:docPr id="4" name="Picture 4"/>
            <wp:cNvGraphicFramePr>
              <a:graphicFrameLocks noChangeAspect="1"/>
            </wp:cNvGraphicFramePr>
            <a:graphic>
              <a:graphicData uri="http://schemas.openxmlformats.org/drawingml/2006/picture">
                <pic:pic>
                  <pic:nvPicPr>
                    <pic:cNvPr id="0" name="img4_level1_dfd.png"/>
                    <pic:cNvPicPr/>
                  </pic:nvPicPr>
                  <pic:blipFill>
                    <a:blip r:embed="rId12"/>
                    <a:stretch>
                      <a:fillRect/>
                    </a:stretch>
                  </pic:blipFill>
                  <pic:spPr>
                    <a:xfrm>
                      <a:off x="0" y="0"/>
                      <a:ext cx="5303520" cy="3428538"/>
                    </a:xfrm>
                    <a:prstGeom prst="rect"/>
                  </pic:spPr>
                </pic:pic>
              </a:graphicData>
            </a:graphic>
          </wp:inline>
        </w:drawing>
      </w:r>
    </w:p>
    <w:p>
      <w:pPr>
        <w:spacing w:after="240"/>
        <w:jc w:val="center"/>
      </w:pPr>
      <w:r>
        <w:rPr>
          <w:rFonts w:ascii="Calibri" w:hAnsi="Calibri"/>
          <w:i/>
          <w:color w:val="475569"/>
          <w:sz w:val="19"/>
        </w:rPr>
        <w:t>Figure: Level 1 Data Flow Diagram (Subsystem Level)</w:t>
      </w:r>
    </w:p>
    <w:p>
      <w:pPr>
        <w:spacing w:before="280" w:after="120"/>
      </w:pPr>
      <w:r>
        <w:rPr>
          <w:rFonts w:ascii="Arial" w:hAnsi="Arial"/>
          <w:b/>
          <w:color w:val="2563EB"/>
          <w:sz w:val="26"/>
        </w:rPr>
        <w:t>2.3 Structured Chart (HIPO Chart)</w:t>
      </w:r>
    </w:p>
    <w:p>
      <w:pPr>
        <w:spacing w:after="120" w:line="276" w:lineRule="auto"/>
      </w:pPr>
      <w:r>
        <w:rPr>
          <w:rFonts w:ascii="Calibri" w:hAnsi="Calibri"/>
          <w:b/>
          <w:color w:val="0F172A"/>
          <w:sz w:val="22"/>
        </w:rPr>
        <w:t xml:space="preserve">Modular Hierarchy: </w:t>
      </w:r>
      <w:r>
        <w:rPr>
          <w:rFonts w:ascii="Calibri" w:hAnsi="Calibri"/>
          <w:color w:val="0F172A"/>
          <w:sz w:val="22"/>
        </w:rPr>
        <w:t>The Hierarchical Input-Process-Output (HIPO) Structured Chart illustrates the top-down modular breakdown of the application engine down to individual terminal subroutines, demonstrating high functional cohesion and clean interface decoupling.</w:t>
      </w:r>
    </w:p>
    <w:p>
      <w:pPr>
        <w:spacing w:before="160" w:after="80"/>
        <w:jc w:val="center"/>
      </w:pPr>
      <w:r>
        <w:drawing>
          <wp:inline xmlns:a="http://schemas.openxmlformats.org/drawingml/2006/main" xmlns:pic="http://schemas.openxmlformats.org/drawingml/2006/picture">
            <wp:extent cx="5303520" cy="2892829"/>
            <wp:docPr id="5" name="Picture 5"/>
            <wp:cNvGraphicFramePr>
              <a:graphicFrameLocks noChangeAspect="1"/>
            </wp:cNvGraphicFramePr>
            <a:graphic>
              <a:graphicData uri="http://schemas.openxmlformats.org/drawingml/2006/picture">
                <pic:pic>
                  <pic:nvPicPr>
                    <pic:cNvPr id="0" name="img5_hipo_chart.png"/>
                    <pic:cNvPicPr/>
                  </pic:nvPicPr>
                  <pic:blipFill>
                    <a:blip r:embed="rId13"/>
                    <a:stretch>
                      <a:fillRect/>
                    </a:stretch>
                  </pic:blipFill>
                  <pic:spPr>
                    <a:xfrm>
                      <a:off x="0" y="0"/>
                      <a:ext cx="5303520" cy="2892829"/>
                    </a:xfrm>
                    <a:prstGeom prst="rect"/>
                  </pic:spPr>
                </pic:pic>
              </a:graphicData>
            </a:graphic>
          </wp:inline>
        </w:drawing>
      </w:r>
    </w:p>
    <w:p>
      <w:pPr>
        <w:spacing w:after="240"/>
        <w:jc w:val="center"/>
      </w:pPr>
      <w:r>
        <w:rPr>
          <w:rFonts w:ascii="Calibri" w:hAnsi="Calibri"/>
          <w:i/>
          <w:color w:val="475569"/>
          <w:sz w:val="19"/>
        </w:rPr>
        <w:t>Figure: Hierarchical Structure Chart (HIPO)</w:t>
      </w:r>
    </w:p>
    <w:p>
      <w:r>
        <w:br w:type="page"/>
      </w:r>
    </w:p>
    <w:p>
      <w:pPr>
        <w:spacing w:before="360" w:after="160"/>
      </w:pPr>
      <w:r>
        <w:rPr>
          <w:rFonts w:ascii="Arial" w:hAnsi="Arial"/>
          <w:b/>
          <w:color w:val="1E3A8A"/>
          <w:sz w:val="32"/>
        </w:rPr>
        <w:t>3. USE CASE DIAGRAM &amp; SPECIFICATIONS</w:t>
      </w:r>
    </w:p>
    <w:p>
      <w:pPr>
        <w:spacing w:before="280" w:after="120"/>
      </w:pPr>
      <w:r>
        <w:rPr>
          <w:rFonts w:ascii="Arial" w:hAnsi="Arial"/>
          <w:b/>
          <w:color w:val="2563EB"/>
          <w:sz w:val="26"/>
        </w:rPr>
        <w:t>3.1 Complete Use Case Diagram</w:t>
      </w:r>
    </w:p>
    <w:p>
      <w:pPr>
        <w:spacing w:after="120" w:line="276" w:lineRule="auto"/>
      </w:pPr>
      <w:r>
        <w:rPr>
          <w:rFonts w:ascii="Calibri" w:hAnsi="Calibri"/>
          <w:b/>
          <w:color w:val="0F172A"/>
          <w:sz w:val="22"/>
        </w:rPr>
        <w:t xml:space="preserve">Behavioral Modeling: </w:t>
      </w:r>
      <w:r>
        <w:rPr>
          <w:rFonts w:ascii="Calibri" w:hAnsi="Calibri"/>
          <w:color w:val="0F172A"/>
          <w:sz w:val="22"/>
        </w:rPr>
        <w:t>The use case diagram depicts the functional interactions between the four system actors (Customer, Staff/Dispatcher, Field Technician, and Administrator) and the core capabilities encapsulated within the system boundary.</w:t>
      </w:r>
    </w:p>
    <w:p>
      <w:pPr>
        <w:spacing w:before="160" w:after="80"/>
        <w:jc w:val="center"/>
      </w:pPr>
      <w:r>
        <w:drawing>
          <wp:inline xmlns:a="http://schemas.openxmlformats.org/drawingml/2006/main" xmlns:pic="http://schemas.openxmlformats.org/drawingml/2006/picture">
            <wp:extent cx="5303520" cy="3428538"/>
            <wp:docPr id="6" name="Picture 6"/>
            <wp:cNvGraphicFramePr>
              <a:graphicFrameLocks noChangeAspect="1"/>
            </wp:cNvGraphicFramePr>
            <a:graphic>
              <a:graphicData uri="http://schemas.openxmlformats.org/drawingml/2006/picture">
                <pic:pic>
                  <pic:nvPicPr>
                    <pic:cNvPr id="0" name="img6_use_case.png"/>
                    <pic:cNvPicPr/>
                  </pic:nvPicPr>
                  <pic:blipFill>
                    <a:blip r:embed="rId14"/>
                    <a:stretch>
                      <a:fillRect/>
                    </a:stretch>
                  </pic:blipFill>
                  <pic:spPr>
                    <a:xfrm>
                      <a:off x="0" y="0"/>
                      <a:ext cx="5303520" cy="3428538"/>
                    </a:xfrm>
                    <a:prstGeom prst="rect"/>
                  </pic:spPr>
                </pic:pic>
              </a:graphicData>
            </a:graphic>
          </wp:inline>
        </w:drawing>
      </w:r>
    </w:p>
    <w:p>
      <w:pPr>
        <w:spacing w:after="240"/>
        <w:jc w:val="center"/>
      </w:pPr>
      <w:r>
        <w:rPr>
          <w:rFonts w:ascii="Calibri" w:hAnsi="Calibri"/>
          <w:i/>
          <w:color w:val="475569"/>
          <w:sz w:val="19"/>
        </w:rPr>
        <w:t>Figure: System Use Case Diagram</w:t>
      </w:r>
    </w:p>
    <w:p>
      <w:pPr>
        <w:spacing w:before="280" w:after="120"/>
      </w:pPr>
      <w:r>
        <w:rPr>
          <w:rFonts w:ascii="Arial" w:hAnsi="Arial"/>
          <w:b/>
          <w:color w:val="2563EB"/>
          <w:sz w:val="26"/>
        </w:rPr>
        <w:t>3.2 Detailed Use Case Descriptions</w:t>
      </w:r>
    </w:p>
    <w:tbl>
      <w:tblPr>
        <w:tblW w:type="auto" w:w="0"/>
        <w:jc w:val="center"/>
        <w:tblLook w:firstColumn="1" w:firstRow="1" w:lastColumn="0" w:lastRow="0" w:noHBand="0" w:noVBand="1" w:val="04A0"/>
      </w:tblPr>
      <w:tblGrid>
        <w:gridCol w:w="1872"/>
        <w:gridCol w:w="1872"/>
        <w:gridCol w:w="1872"/>
        <w:gridCol w:w="1872"/>
        <w:gridCol w:w="1872"/>
      </w:tblGrid>
      <w:tr>
        <w:tc>
          <w:tcPr>
            <w:tcW w:type="dxa" w:w="1152"/>
            <w:shd w:fill="1E3A8A"/>
            <w:tcMar>
              <w:top w:w="120" w:type="dxa"/>
              <w:bottom w:w="120" w:type="dxa"/>
              <w:left w:w="150" w:type="dxa"/>
              <w:right w:w="150" w:type="dxa"/>
            </w:tcMar>
          </w:tcPr>
          <w:p>
            <w:pPr>
              <w:jc w:val="center"/>
            </w:pPr>
            <w:r>
              <w:rPr>
                <w:rFonts w:ascii="Arial" w:hAnsi="Arial"/>
                <w:b/>
                <w:color w:val="FFFFFF"/>
                <w:sz w:val="19"/>
              </w:rPr>
              <w:t>Use Case ID</w:t>
            </w:r>
          </w:p>
        </w:tc>
        <w:tc>
          <w:tcPr>
            <w:tcW w:type="dxa" w:w="1728"/>
            <w:shd w:fill="1E3A8A"/>
            <w:tcMar>
              <w:top w:w="120" w:type="dxa"/>
              <w:bottom w:w="120" w:type="dxa"/>
              <w:left w:w="150" w:type="dxa"/>
              <w:right w:w="150" w:type="dxa"/>
            </w:tcMar>
          </w:tcPr>
          <w:p>
            <w:pPr>
              <w:jc w:val="center"/>
            </w:pPr>
            <w:r>
              <w:rPr>
                <w:rFonts w:ascii="Arial" w:hAnsi="Arial"/>
                <w:b/>
                <w:color w:val="FFFFFF"/>
                <w:sz w:val="19"/>
              </w:rPr>
              <w:t>Actor</w:t>
            </w:r>
          </w:p>
        </w:tc>
        <w:tc>
          <w:tcPr>
            <w:tcW w:type="dxa" w:w="2592"/>
            <w:shd w:fill="1E3A8A"/>
            <w:tcMar>
              <w:top w:w="120" w:type="dxa"/>
              <w:bottom w:w="120" w:type="dxa"/>
              <w:left w:w="150" w:type="dxa"/>
              <w:right w:w="150" w:type="dxa"/>
            </w:tcMar>
          </w:tcPr>
          <w:p>
            <w:pPr>
              <w:jc w:val="center"/>
            </w:pPr>
            <w:r>
              <w:rPr>
                <w:rFonts w:ascii="Arial" w:hAnsi="Arial"/>
                <w:b/>
                <w:color w:val="FFFFFF"/>
                <w:sz w:val="19"/>
              </w:rPr>
              <w:t>Description</w:t>
            </w:r>
          </w:p>
        </w:tc>
        <w:tc>
          <w:tcPr>
            <w:tcW w:type="dxa" w:w="1872"/>
            <w:shd w:fill="1E3A8A"/>
            <w:tcMar>
              <w:top w:w="120" w:type="dxa"/>
              <w:bottom w:w="120" w:type="dxa"/>
              <w:left w:w="150" w:type="dxa"/>
              <w:right w:w="150" w:type="dxa"/>
            </w:tcMar>
          </w:tcPr>
          <w:p>
            <w:pPr>
              <w:jc w:val="center"/>
            </w:pPr>
            <w:r>
              <w:rPr>
                <w:rFonts w:ascii="Arial" w:hAnsi="Arial"/>
                <w:b/>
                <w:color w:val="FFFFFF"/>
                <w:sz w:val="19"/>
              </w:rPr>
              <w:t>Precondition</w:t>
            </w:r>
          </w:p>
        </w:tc>
        <w:tc>
          <w:tcPr>
            <w:tcW w:type="dxa" w:w="2016"/>
            <w:shd w:fill="1E3A8A"/>
            <w:tcMar>
              <w:top w:w="120" w:type="dxa"/>
              <w:bottom w:w="120" w:type="dxa"/>
              <w:left w:w="150" w:type="dxa"/>
              <w:right w:w="150" w:type="dxa"/>
            </w:tcMar>
          </w:tcPr>
          <w:p>
            <w:pPr>
              <w:jc w:val="center"/>
            </w:pPr>
            <w:r>
              <w:rPr>
                <w:rFonts w:ascii="Arial" w:hAnsi="Arial"/>
                <w:b/>
                <w:color w:val="FFFFFF"/>
                <w:sz w:val="19"/>
              </w:rPr>
              <w:t>Postcondition</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UC-01</w:t>
            </w:r>
          </w:p>
        </w:tc>
        <w:tc>
          <w:tcPr>
            <w:tcW w:type="dxa" w:w="1728"/>
            <w:shd w:fill="FFFFFF"/>
            <w:tcMar>
              <w:top w:w="90" w:type="dxa"/>
              <w:bottom w:w="90" w:type="dxa"/>
              <w:left w:w="130" w:type="dxa"/>
              <w:right w:w="130" w:type="dxa"/>
            </w:tcMar>
          </w:tcPr>
          <w:p>
            <w:r>
              <w:rPr>
                <w:rFonts w:ascii="Calibri" w:hAnsi="Calibri"/>
                <w:color w:val="0F172A"/>
                <w:sz w:val="19"/>
              </w:rPr>
              <w:t>Customer</w:t>
            </w:r>
          </w:p>
        </w:tc>
        <w:tc>
          <w:tcPr>
            <w:tcW w:type="dxa" w:w="2592"/>
            <w:shd w:fill="FFFFFF"/>
            <w:tcMar>
              <w:top w:w="90" w:type="dxa"/>
              <w:bottom w:w="90" w:type="dxa"/>
              <w:left w:w="130" w:type="dxa"/>
              <w:right w:w="130" w:type="dxa"/>
            </w:tcMar>
          </w:tcPr>
          <w:p>
            <w:pPr>
              <w:jc w:val="center"/>
            </w:pPr>
            <w:r>
              <w:rPr>
                <w:rFonts w:ascii="Calibri" w:hAnsi="Calibri"/>
                <w:color w:val="0F172A"/>
                <w:sz w:val="19"/>
              </w:rPr>
              <w:t>Book AC Service or Repair</w:t>
            </w:r>
          </w:p>
        </w:tc>
        <w:tc>
          <w:tcPr>
            <w:tcW w:type="dxa" w:w="1872"/>
            <w:shd w:fill="FFFFFF"/>
            <w:tcMar>
              <w:top w:w="90" w:type="dxa"/>
              <w:bottom w:w="90" w:type="dxa"/>
              <w:left w:w="130" w:type="dxa"/>
              <w:right w:w="130" w:type="dxa"/>
            </w:tcMar>
          </w:tcPr>
          <w:p>
            <w:pPr>
              <w:jc w:val="center"/>
            </w:pPr>
            <w:r>
              <w:rPr>
                <w:rFonts w:ascii="Calibri" w:hAnsi="Calibri"/>
                <w:color w:val="0F172A"/>
                <w:sz w:val="19"/>
              </w:rPr>
              <w:t>None (Public)</w:t>
            </w:r>
          </w:p>
        </w:tc>
        <w:tc>
          <w:tcPr>
            <w:tcW w:type="dxa" w:w="2016"/>
            <w:shd w:fill="FFFFFF"/>
            <w:tcMar>
              <w:top w:w="90" w:type="dxa"/>
              <w:bottom w:w="90" w:type="dxa"/>
              <w:left w:w="130" w:type="dxa"/>
              <w:right w:w="130" w:type="dxa"/>
            </w:tcMar>
          </w:tcPr>
          <w:p>
            <w:r>
              <w:rPr>
                <w:rFonts w:ascii="Calibri" w:hAnsi="Calibri"/>
                <w:color w:val="0F172A"/>
                <w:sz w:val="19"/>
              </w:rPr>
              <w:t>Ticket created (AC-XXXX), AMC deducted if applicable, email sent</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UC-02</w:t>
            </w:r>
          </w:p>
        </w:tc>
        <w:tc>
          <w:tcPr>
            <w:tcW w:type="dxa" w:w="1728"/>
            <w:shd w:fill="F8FAFC"/>
            <w:tcMar>
              <w:top w:w="90" w:type="dxa"/>
              <w:bottom w:w="90" w:type="dxa"/>
              <w:left w:w="130" w:type="dxa"/>
              <w:right w:w="130" w:type="dxa"/>
            </w:tcMar>
          </w:tcPr>
          <w:p>
            <w:r>
              <w:rPr>
                <w:rFonts w:ascii="Calibri" w:hAnsi="Calibri"/>
                <w:color w:val="0F172A"/>
                <w:sz w:val="19"/>
              </w:rPr>
              <w:t>Customer</w:t>
            </w:r>
          </w:p>
        </w:tc>
        <w:tc>
          <w:tcPr>
            <w:tcW w:type="dxa" w:w="2592"/>
            <w:shd w:fill="F8FAFC"/>
            <w:tcMar>
              <w:top w:w="90" w:type="dxa"/>
              <w:bottom w:w="90" w:type="dxa"/>
              <w:left w:w="130" w:type="dxa"/>
              <w:right w:w="130" w:type="dxa"/>
            </w:tcMar>
          </w:tcPr>
          <w:p>
            <w:r>
              <w:rPr>
                <w:rFonts w:ascii="Calibri" w:hAnsi="Calibri"/>
                <w:color w:val="0F172A"/>
                <w:sz w:val="19"/>
              </w:rPr>
              <w:t>Track Service Request Status</w:t>
            </w:r>
          </w:p>
        </w:tc>
        <w:tc>
          <w:tcPr>
            <w:tcW w:type="dxa" w:w="1872"/>
            <w:shd w:fill="F8FAFC"/>
            <w:tcMar>
              <w:top w:w="90" w:type="dxa"/>
              <w:bottom w:w="90" w:type="dxa"/>
              <w:left w:w="130" w:type="dxa"/>
              <w:right w:w="130" w:type="dxa"/>
            </w:tcMar>
          </w:tcPr>
          <w:p>
            <w:pPr>
              <w:jc w:val="center"/>
            </w:pPr>
            <w:r>
              <w:rPr>
                <w:rFonts w:ascii="Calibri" w:hAnsi="Calibri"/>
                <w:color w:val="0F172A"/>
                <w:sz w:val="19"/>
              </w:rPr>
              <w:t>Valid Request ID or Phone</w:t>
            </w:r>
          </w:p>
        </w:tc>
        <w:tc>
          <w:tcPr>
            <w:tcW w:type="dxa" w:w="2016"/>
            <w:shd w:fill="F8FAFC"/>
            <w:tcMar>
              <w:top w:w="90" w:type="dxa"/>
              <w:bottom w:w="90" w:type="dxa"/>
              <w:left w:w="130" w:type="dxa"/>
              <w:right w:w="130" w:type="dxa"/>
            </w:tcMar>
          </w:tcPr>
          <w:p>
            <w:r>
              <w:rPr>
                <w:rFonts w:ascii="Calibri" w:hAnsi="Calibri"/>
                <w:color w:val="0F172A"/>
                <w:sz w:val="19"/>
              </w:rPr>
              <w:t>Current stage, technician name &amp; live SSE status displayed</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UC-03</w:t>
            </w:r>
          </w:p>
        </w:tc>
        <w:tc>
          <w:tcPr>
            <w:tcW w:type="dxa" w:w="1728"/>
            <w:shd w:fill="FFFFFF"/>
            <w:tcMar>
              <w:top w:w="90" w:type="dxa"/>
              <w:bottom w:w="90" w:type="dxa"/>
              <w:left w:w="130" w:type="dxa"/>
              <w:right w:w="130" w:type="dxa"/>
            </w:tcMar>
          </w:tcPr>
          <w:p>
            <w:r>
              <w:rPr>
                <w:rFonts w:ascii="Calibri" w:hAnsi="Calibri"/>
                <w:color w:val="0F172A"/>
                <w:sz w:val="19"/>
              </w:rPr>
              <w:t>Customer</w:t>
            </w:r>
          </w:p>
        </w:tc>
        <w:tc>
          <w:tcPr>
            <w:tcW w:type="dxa" w:w="2592"/>
            <w:shd w:fill="FFFFFF"/>
            <w:tcMar>
              <w:top w:w="90" w:type="dxa"/>
              <w:bottom w:w="90" w:type="dxa"/>
              <w:left w:w="130" w:type="dxa"/>
              <w:right w:w="130" w:type="dxa"/>
            </w:tcMar>
          </w:tcPr>
          <w:p>
            <w:r>
              <w:rPr>
                <w:rFonts w:ascii="Calibri" w:hAnsi="Calibri"/>
                <w:color w:val="0F172A"/>
                <w:sz w:val="19"/>
              </w:rPr>
              <w:t>Browse AC Catalog &amp; Inquire</w:t>
            </w:r>
          </w:p>
        </w:tc>
        <w:tc>
          <w:tcPr>
            <w:tcW w:type="dxa" w:w="1872"/>
            <w:shd w:fill="FFFFFF"/>
            <w:tcMar>
              <w:top w:w="90" w:type="dxa"/>
              <w:bottom w:w="90" w:type="dxa"/>
              <w:left w:w="130" w:type="dxa"/>
              <w:right w:w="130" w:type="dxa"/>
            </w:tcMar>
          </w:tcPr>
          <w:p>
            <w:pPr>
              <w:jc w:val="center"/>
            </w:pPr>
            <w:r>
              <w:rPr>
                <w:rFonts w:ascii="Calibri" w:hAnsi="Calibri"/>
                <w:color w:val="0F172A"/>
                <w:sz w:val="19"/>
              </w:rPr>
              <w:t>None (Public)</w:t>
            </w:r>
          </w:p>
        </w:tc>
        <w:tc>
          <w:tcPr>
            <w:tcW w:type="dxa" w:w="2016"/>
            <w:shd w:fill="FFFFFF"/>
            <w:tcMar>
              <w:top w:w="90" w:type="dxa"/>
              <w:bottom w:w="90" w:type="dxa"/>
              <w:left w:w="130" w:type="dxa"/>
              <w:right w:w="130" w:type="dxa"/>
            </w:tcMar>
          </w:tcPr>
          <w:p>
            <w:r>
              <w:rPr>
                <w:rFonts w:ascii="Calibri" w:hAnsi="Calibri"/>
                <w:color w:val="0F172A"/>
                <w:sz w:val="19"/>
              </w:rPr>
              <w:t>Enquiry logged in admin inbox, customer notified</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UC-04</w:t>
            </w:r>
          </w:p>
        </w:tc>
        <w:tc>
          <w:tcPr>
            <w:tcW w:type="dxa" w:w="1728"/>
            <w:shd w:fill="F8FAFC"/>
            <w:tcMar>
              <w:top w:w="90" w:type="dxa"/>
              <w:bottom w:w="90" w:type="dxa"/>
              <w:left w:w="130" w:type="dxa"/>
              <w:right w:w="130" w:type="dxa"/>
            </w:tcMar>
          </w:tcPr>
          <w:p>
            <w:r>
              <w:rPr>
                <w:rFonts w:ascii="Calibri" w:hAnsi="Calibri"/>
                <w:color w:val="0F172A"/>
                <w:sz w:val="19"/>
              </w:rPr>
              <w:t>Customer</w:t>
            </w:r>
          </w:p>
        </w:tc>
        <w:tc>
          <w:tcPr>
            <w:tcW w:type="dxa" w:w="2592"/>
            <w:shd w:fill="F8FAFC"/>
            <w:tcMar>
              <w:top w:w="90" w:type="dxa"/>
              <w:bottom w:w="90" w:type="dxa"/>
              <w:left w:w="130" w:type="dxa"/>
              <w:right w:w="130" w:type="dxa"/>
            </w:tcMar>
          </w:tcPr>
          <w:p>
            <w:r>
              <w:rPr>
                <w:rFonts w:ascii="Calibri" w:hAnsi="Calibri"/>
                <w:color w:val="0F172A"/>
                <w:sz w:val="19"/>
              </w:rPr>
              <w:t>Purchase / Subscribe to AMC</w:t>
            </w:r>
          </w:p>
        </w:tc>
        <w:tc>
          <w:tcPr>
            <w:tcW w:type="dxa" w:w="1872"/>
            <w:shd w:fill="F8FAFC"/>
            <w:tcMar>
              <w:top w:w="90" w:type="dxa"/>
              <w:bottom w:w="90" w:type="dxa"/>
              <w:left w:w="130" w:type="dxa"/>
              <w:right w:w="130" w:type="dxa"/>
            </w:tcMar>
          </w:tcPr>
          <w:p>
            <w:pPr>
              <w:jc w:val="center"/>
            </w:pPr>
            <w:r>
              <w:rPr>
                <w:rFonts w:ascii="Calibri" w:hAnsi="Calibri"/>
                <w:color w:val="0F172A"/>
                <w:sz w:val="19"/>
              </w:rPr>
              <w:t>None (Public)</w:t>
            </w:r>
          </w:p>
        </w:tc>
        <w:tc>
          <w:tcPr>
            <w:tcW w:type="dxa" w:w="2016"/>
            <w:shd w:fill="F8FAFC"/>
            <w:tcMar>
              <w:top w:w="90" w:type="dxa"/>
              <w:bottom w:w="90" w:type="dxa"/>
              <w:left w:w="130" w:type="dxa"/>
              <w:right w:w="130" w:type="dxa"/>
            </w:tcMar>
          </w:tcPr>
          <w:p>
            <w:r>
              <w:rPr>
                <w:rFonts w:ascii="Calibri" w:hAnsi="Calibri"/>
                <w:color w:val="0F172A"/>
                <w:sz w:val="19"/>
              </w:rPr>
              <w:t>Subscription created with 'Pending' status awaiting admin activation</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UC-05</w:t>
            </w:r>
          </w:p>
        </w:tc>
        <w:tc>
          <w:tcPr>
            <w:tcW w:type="dxa" w:w="1728"/>
            <w:shd w:fill="FFFFFF"/>
            <w:tcMar>
              <w:top w:w="90" w:type="dxa"/>
              <w:bottom w:w="90" w:type="dxa"/>
              <w:left w:w="130" w:type="dxa"/>
              <w:right w:w="130" w:type="dxa"/>
            </w:tcMar>
          </w:tcPr>
          <w:p>
            <w:r>
              <w:rPr>
                <w:rFonts w:ascii="Calibri" w:hAnsi="Calibri"/>
                <w:color w:val="0F172A"/>
                <w:sz w:val="19"/>
              </w:rPr>
              <w:t>Customer</w:t>
            </w:r>
          </w:p>
        </w:tc>
        <w:tc>
          <w:tcPr>
            <w:tcW w:type="dxa" w:w="2592"/>
            <w:shd w:fill="FFFFFF"/>
            <w:tcMar>
              <w:top w:w="90" w:type="dxa"/>
              <w:bottom w:w="90" w:type="dxa"/>
              <w:left w:w="130" w:type="dxa"/>
              <w:right w:w="130" w:type="dxa"/>
            </w:tcMar>
          </w:tcPr>
          <w:p>
            <w:r>
              <w:rPr>
                <w:rFonts w:ascii="Calibri" w:hAnsi="Calibri"/>
                <w:color w:val="0F172A"/>
                <w:sz w:val="19"/>
              </w:rPr>
              <w:t>Submit Post-Service Feedback</w:t>
            </w:r>
          </w:p>
        </w:tc>
        <w:tc>
          <w:tcPr>
            <w:tcW w:type="dxa" w:w="1872"/>
            <w:shd w:fill="FFFFFF"/>
            <w:tcMar>
              <w:top w:w="90" w:type="dxa"/>
              <w:bottom w:w="90" w:type="dxa"/>
              <w:left w:w="130" w:type="dxa"/>
              <w:right w:w="130" w:type="dxa"/>
            </w:tcMar>
          </w:tcPr>
          <w:p>
            <w:pPr>
              <w:jc w:val="center"/>
            </w:pPr>
            <w:r>
              <w:rPr>
                <w:rFonts w:ascii="Calibri" w:hAnsi="Calibri"/>
                <w:color w:val="0F172A"/>
                <w:sz w:val="19"/>
              </w:rPr>
              <w:t>Service completed</w:t>
            </w:r>
          </w:p>
        </w:tc>
        <w:tc>
          <w:tcPr>
            <w:tcW w:type="dxa" w:w="2016"/>
            <w:shd w:fill="FFFFFF"/>
            <w:tcMar>
              <w:top w:w="90" w:type="dxa"/>
              <w:bottom w:w="90" w:type="dxa"/>
              <w:left w:w="130" w:type="dxa"/>
              <w:right w:w="130" w:type="dxa"/>
            </w:tcMar>
          </w:tcPr>
          <w:p>
            <w:r>
              <w:rPr>
                <w:rFonts w:ascii="Calibri" w:hAnsi="Calibri"/>
                <w:color w:val="0F172A"/>
                <w:sz w:val="19"/>
              </w:rPr>
              <w:t>Rating &amp; review recorded in public testimonial registry</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UC-06</w:t>
            </w:r>
          </w:p>
        </w:tc>
        <w:tc>
          <w:tcPr>
            <w:tcW w:type="dxa" w:w="1728"/>
            <w:shd w:fill="F8FAFC"/>
            <w:tcMar>
              <w:top w:w="90" w:type="dxa"/>
              <w:bottom w:w="90" w:type="dxa"/>
              <w:left w:w="130" w:type="dxa"/>
              <w:right w:w="130" w:type="dxa"/>
            </w:tcMar>
          </w:tcPr>
          <w:p>
            <w:r>
              <w:rPr>
                <w:rFonts w:ascii="Calibri" w:hAnsi="Calibri"/>
                <w:color w:val="0F172A"/>
                <w:sz w:val="19"/>
              </w:rPr>
              <w:t>Staff / Admin</w:t>
            </w:r>
          </w:p>
        </w:tc>
        <w:tc>
          <w:tcPr>
            <w:tcW w:type="dxa" w:w="2592"/>
            <w:shd w:fill="F8FAFC"/>
            <w:tcMar>
              <w:top w:w="90" w:type="dxa"/>
              <w:bottom w:w="90" w:type="dxa"/>
              <w:left w:w="130" w:type="dxa"/>
              <w:right w:w="130" w:type="dxa"/>
            </w:tcMar>
          </w:tcPr>
          <w:p>
            <w:pPr>
              <w:jc w:val="center"/>
            </w:pPr>
            <w:r>
              <w:rPr>
                <w:rFonts w:ascii="Calibri" w:hAnsi="Calibri"/>
                <w:color w:val="0F172A"/>
                <w:sz w:val="19"/>
              </w:rPr>
              <w:t>Authenticate to Portal</w:t>
            </w:r>
          </w:p>
        </w:tc>
        <w:tc>
          <w:tcPr>
            <w:tcW w:type="dxa" w:w="1872"/>
            <w:shd w:fill="F8FAFC"/>
            <w:tcMar>
              <w:top w:w="90" w:type="dxa"/>
              <w:bottom w:w="90" w:type="dxa"/>
              <w:left w:w="130" w:type="dxa"/>
              <w:right w:w="130" w:type="dxa"/>
            </w:tcMar>
          </w:tcPr>
          <w:p>
            <w:pPr>
              <w:jc w:val="center"/>
            </w:pPr>
            <w:r>
              <w:rPr>
                <w:rFonts w:ascii="Calibri" w:hAnsi="Calibri"/>
                <w:color w:val="0F172A"/>
                <w:sz w:val="19"/>
              </w:rPr>
              <w:t>Registered credentials</w:t>
            </w:r>
          </w:p>
        </w:tc>
        <w:tc>
          <w:tcPr>
            <w:tcW w:type="dxa" w:w="2016"/>
            <w:shd w:fill="F8FAFC"/>
            <w:tcMar>
              <w:top w:w="90" w:type="dxa"/>
              <w:bottom w:w="90" w:type="dxa"/>
              <w:left w:w="130" w:type="dxa"/>
              <w:right w:w="130" w:type="dxa"/>
            </w:tcMar>
          </w:tcPr>
          <w:p>
            <w:r>
              <w:rPr>
                <w:rFonts w:ascii="Calibri" w:hAnsi="Calibri"/>
                <w:color w:val="0F172A"/>
                <w:sz w:val="19"/>
              </w:rPr>
              <w:t>JWT bearer token issued with verified role claims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UC-07</w:t>
            </w:r>
          </w:p>
        </w:tc>
        <w:tc>
          <w:tcPr>
            <w:tcW w:type="dxa" w:w="1728"/>
            <w:shd w:fill="FFFFFF"/>
            <w:tcMar>
              <w:top w:w="90" w:type="dxa"/>
              <w:bottom w:w="90" w:type="dxa"/>
              <w:left w:w="130" w:type="dxa"/>
              <w:right w:w="130" w:type="dxa"/>
            </w:tcMar>
          </w:tcPr>
          <w:p>
            <w:r>
              <w:rPr>
                <w:rFonts w:ascii="Calibri" w:hAnsi="Calibri"/>
                <w:color w:val="0F172A"/>
                <w:sz w:val="19"/>
              </w:rPr>
              <w:t>Staff / Admin</w:t>
            </w:r>
          </w:p>
        </w:tc>
        <w:tc>
          <w:tcPr>
            <w:tcW w:type="dxa" w:w="2592"/>
            <w:shd w:fill="FFFFFF"/>
            <w:tcMar>
              <w:top w:w="90" w:type="dxa"/>
              <w:bottom w:w="90" w:type="dxa"/>
              <w:left w:w="130" w:type="dxa"/>
              <w:right w:w="130" w:type="dxa"/>
            </w:tcMar>
          </w:tcPr>
          <w:p>
            <w:r>
              <w:rPr>
                <w:rFonts w:ascii="Calibri" w:hAnsi="Calibri"/>
                <w:color w:val="0F172A"/>
                <w:sz w:val="19"/>
              </w:rPr>
              <w:t>Assign Technician to Ticket</w:t>
            </w:r>
          </w:p>
        </w:tc>
        <w:tc>
          <w:tcPr>
            <w:tcW w:type="dxa" w:w="1872"/>
            <w:shd w:fill="FFFFFF"/>
            <w:tcMar>
              <w:top w:w="90" w:type="dxa"/>
              <w:bottom w:w="90" w:type="dxa"/>
              <w:left w:w="130" w:type="dxa"/>
              <w:right w:w="130" w:type="dxa"/>
            </w:tcMar>
          </w:tcPr>
          <w:p>
            <w:pPr>
              <w:jc w:val="center"/>
            </w:pPr>
            <w:r>
              <w:rPr>
                <w:rFonts w:ascii="Calibri" w:hAnsi="Calibri"/>
                <w:color w:val="0F172A"/>
                <w:sz w:val="19"/>
              </w:rPr>
              <w:t>Ticket in 'Pending' state</w:t>
            </w:r>
          </w:p>
        </w:tc>
        <w:tc>
          <w:tcPr>
            <w:tcW w:type="dxa" w:w="2016"/>
            <w:shd w:fill="FFFFFF"/>
            <w:tcMar>
              <w:top w:w="90" w:type="dxa"/>
              <w:bottom w:w="90" w:type="dxa"/>
              <w:left w:w="130" w:type="dxa"/>
              <w:right w:w="130" w:type="dxa"/>
            </w:tcMar>
          </w:tcPr>
          <w:p>
            <w:r>
              <w:rPr>
                <w:rFonts w:ascii="Calibri" w:hAnsi="Calibri"/>
                <w:color w:val="0F172A"/>
                <w:sz w:val="19"/>
              </w:rPr>
              <w:t>Status becomes 'Assigned', technician active load incremented</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UC-08</w:t>
            </w:r>
          </w:p>
        </w:tc>
        <w:tc>
          <w:tcPr>
            <w:tcW w:type="dxa" w:w="1728"/>
            <w:shd w:fill="F8FAFC"/>
            <w:tcMar>
              <w:top w:w="90" w:type="dxa"/>
              <w:bottom w:w="90" w:type="dxa"/>
              <w:left w:w="130" w:type="dxa"/>
              <w:right w:w="130" w:type="dxa"/>
            </w:tcMar>
          </w:tcPr>
          <w:p>
            <w:r>
              <w:rPr>
                <w:rFonts w:ascii="Calibri" w:hAnsi="Calibri"/>
                <w:color w:val="0F172A"/>
                <w:sz w:val="19"/>
              </w:rPr>
              <w:t>Technician</w:t>
            </w:r>
          </w:p>
        </w:tc>
        <w:tc>
          <w:tcPr>
            <w:tcW w:type="dxa" w:w="2592"/>
            <w:shd w:fill="F8FAFC"/>
            <w:tcMar>
              <w:top w:w="90" w:type="dxa"/>
              <w:bottom w:w="90" w:type="dxa"/>
              <w:left w:w="130" w:type="dxa"/>
              <w:right w:w="130" w:type="dxa"/>
            </w:tcMar>
          </w:tcPr>
          <w:p>
            <w:r>
              <w:rPr>
                <w:rFonts w:ascii="Calibri" w:hAnsi="Calibri"/>
                <w:color w:val="0F172A"/>
                <w:sz w:val="19"/>
              </w:rPr>
              <w:t>Inspect &amp; Update Assigned Jobs</w:t>
            </w:r>
          </w:p>
        </w:tc>
        <w:tc>
          <w:tcPr>
            <w:tcW w:type="dxa" w:w="1872"/>
            <w:shd w:fill="F8FAFC"/>
            <w:tcMar>
              <w:top w:w="90" w:type="dxa"/>
              <w:bottom w:w="90" w:type="dxa"/>
              <w:left w:w="130" w:type="dxa"/>
              <w:right w:w="130" w:type="dxa"/>
            </w:tcMar>
          </w:tcPr>
          <w:p>
            <w:pPr>
              <w:jc w:val="center"/>
            </w:pPr>
            <w:r>
              <w:rPr>
                <w:rFonts w:ascii="Calibri" w:hAnsi="Calibri"/>
                <w:color w:val="0F172A"/>
                <w:sz w:val="19"/>
              </w:rPr>
              <w:t>Authenticated Technician</w:t>
            </w:r>
          </w:p>
        </w:tc>
        <w:tc>
          <w:tcPr>
            <w:tcW w:type="dxa" w:w="2016"/>
            <w:shd w:fill="F8FAFC"/>
            <w:tcMar>
              <w:top w:w="90" w:type="dxa"/>
              <w:bottom w:w="90" w:type="dxa"/>
              <w:left w:w="130" w:type="dxa"/>
              <w:right w:w="130" w:type="dxa"/>
            </w:tcMar>
          </w:tcPr>
          <w:p>
            <w:r>
              <w:rPr>
                <w:rFonts w:ascii="Calibri" w:hAnsi="Calibri"/>
                <w:color w:val="0F172A"/>
                <w:sz w:val="19"/>
              </w:rPr>
              <w:t>Status changed to 'In Progress' / 'Completed', diagnostic notes saved</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UC-09</w:t>
            </w:r>
          </w:p>
        </w:tc>
        <w:tc>
          <w:tcPr>
            <w:tcW w:type="dxa" w:w="1728"/>
            <w:shd w:fill="FFFFFF"/>
            <w:tcMar>
              <w:top w:w="90" w:type="dxa"/>
              <w:bottom w:w="90" w:type="dxa"/>
              <w:left w:w="130" w:type="dxa"/>
              <w:right w:w="130" w:type="dxa"/>
            </w:tcMar>
          </w:tcPr>
          <w:p>
            <w:r>
              <w:rPr>
                <w:rFonts w:ascii="Calibri" w:hAnsi="Calibri"/>
                <w:color w:val="0F172A"/>
                <w:sz w:val="19"/>
              </w:rPr>
              <w:t>Admin</w:t>
            </w:r>
          </w:p>
        </w:tc>
        <w:tc>
          <w:tcPr>
            <w:tcW w:type="dxa" w:w="2592"/>
            <w:shd w:fill="FFFFFF"/>
            <w:tcMar>
              <w:top w:w="90" w:type="dxa"/>
              <w:bottom w:w="90" w:type="dxa"/>
              <w:left w:w="130" w:type="dxa"/>
              <w:right w:w="130" w:type="dxa"/>
            </w:tcMar>
          </w:tcPr>
          <w:p>
            <w:r>
              <w:rPr>
                <w:rFonts w:ascii="Calibri" w:hAnsi="Calibri"/>
                <w:color w:val="0F172A"/>
                <w:sz w:val="19"/>
              </w:rPr>
              <w:t>Activate Customer AMC Contract</w:t>
            </w:r>
          </w:p>
        </w:tc>
        <w:tc>
          <w:tcPr>
            <w:tcW w:type="dxa" w:w="1872"/>
            <w:shd w:fill="FFFFFF"/>
            <w:tcMar>
              <w:top w:w="90" w:type="dxa"/>
              <w:bottom w:w="90" w:type="dxa"/>
              <w:left w:w="130" w:type="dxa"/>
              <w:right w:w="130" w:type="dxa"/>
            </w:tcMar>
          </w:tcPr>
          <w:p>
            <w:pPr>
              <w:jc w:val="center"/>
            </w:pPr>
            <w:r>
              <w:rPr>
                <w:rFonts w:ascii="Calibri" w:hAnsi="Calibri"/>
                <w:color w:val="0F172A"/>
                <w:sz w:val="19"/>
              </w:rPr>
              <w:t>Subscription in 'Pending'</w:t>
            </w:r>
          </w:p>
        </w:tc>
        <w:tc>
          <w:tcPr>
            <w:tcW w:type="dxa" w:w="2016"/>
            <w:shd w:fill="FFFFFF"/>
            <w:tcMar>
              <w:top w:w="90" w:type="dxa"/>
              <w:bottom w:w="90" w:type="dxa"/>
              <w:left w:w="130" w:type="dxa"/>
              <w:right w:w="130" w:type="dxa"/>
            </w:tcMar>
          </w:tcPr>
          <w:p>
            <w:r>
              <w:rPr>
                <w:rFonts w:ascii="Calibri" w:hAnsi="Calibri"/>
                <w:color w:val="0F172A"/>
                <w:sz w:val="19"/>
              </w:rPr>
              <w:t>Contract marked 'Active' with 365-day validity and visit quota</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UC-10</w:t>
            </w:r>
          </w:p>
        </w:tc>
        <w:tc>
          <w:tcPr>
            <w:tcW w:type="dxa" w:w="1728"/>
            <w:shd w:fill="F8FAFC"/>
            <w:tcMar>
              <w:top w:w="90" w:type="dxa"/>
              <w:bottom w:w="90" w:type="dxa"/>
              <w:left w:w="130" w:type="dxa"/>
              <w:right w:w="130" w:type="dxa"/>
            </w:tcMar>
          </w:tcPr>
          <w:p>
            <w:r>
              <w:rPr>
                <w:rFonts w:ascii="Calibri" w:hAnsi="Calibri"/>
                <w:color w:val="0F172A"/>
                <w:sz w:val="19"/>
              </w:rPr>
              <w:t>Admin</w:t>
            </w:r>
          </w:p>
        </w:tc>
        <w:tc>
          <w:tcPr>
            <w:tcW w:type="dxa" w:w="2592"/>
            <w:shd w:fill="F8FAFC"/>
            <w:tcMar>
              <w:top w:w="90" w:type="dxa"/>
              <w:bottom w:w="90" w:type="dxa"/>
              <w:left w:w="130" w:type="dxa"/>
              <w:right w:w="130" w:type="dxa"/>
            </w:tcMar>
          </w:tcPr>
          <w:p>
            <w:r>
              <w:rPr>
                <w:rFonts w:ascii="Calibri" w:hAnsi="Calibri"/>
                <w:color w:val="0F172A"/>
                <w:sz w:val="19"/>
              </w:rPr>
              <w:t>View Executive BI Analytics</w:t>
            </w:r>
          </w:p>
        </w:tc>
        <w:tc>
          <w:tcPr>
            <w:tcW w:type="dxa" w:w="1872"/>
            <w:shd w:fill="F8FAFC"/>
            <w:tcMar>
              <w:top w:w="90" w:type="dxa"/>
              <w:bottom w:w="90" w:type="dxa"/>
              <w:left w:w="130" w:type="dxa"/>
              <w:right w:w="130" w:type="dxa"/>
            </w:tcMar>
          </w:tcPr>
          <w:p>
            <w:pPr>
              <w:jc w:val="center"/>
            </w:pPr>
            <w:r>
              <w:rPr>
                <w:rFonts w:ascii="Calibri" w:hAnsi="Calibri"/>
                <w:color w:val="0F172A"/>
                <w:sz w:val="19"/>
              </w:rPr>
              <w:t>Authenticated Admin</w:t>
            </w:r>
          </w:p>
        </w:tc>
        <w:tc>
          <w:tcPr>
            <w:tcW w:type="dxa" w:w="2016"/>
            <w:shd w:fill="F8FAFC"/>
            <w:tcMar>
              <w:top w:w="90" w:type="dxa"/>
              <w:bottom w:w="90" w:type="dxa"/>
              <w:left w:w="130" w:type="dxa"/>
              <w:right w:w="130" w:type="dxa"/>
            </w:tcMar>
          </w:tcPr>
          <w:p>
            <w:r>
              <w:rPr>
                <w:rFonts w:ascii="Calibri" w:hAnsi="Calibri"/>
                <w:color w:val="0F172A"/>
                <w:sz w:val="19"/>
              </w:rPr>
              <w:t>Live Chart.js graphs populated with revenue, workload &amp; trends</w:t>
            </w:r>
          </w:p>
        </w:tc>
      </w:tr>
    </w:tbl>
    <w:p>
      <w:r>
        <w:br w:type="page"/>
      </w:r>
    </w:p>
    <w:p>
      <w:pPr>
        <w:spacing w:before="360" w:after="160"/>
      </w:pPr>
      <w:r>
        <w:rPr>
          <w:rFonts w:ascii="Arial" w:hAnsi="Arial"/>
          <w:b/>
          <w:color w:val="1E3A8A"/>
          <w:sz w:val="32"/>
        </w:rPr>
        <w:t>4. CLASS DIAGRAM &amp; OBJECT DIAGRAM</w:t>
      </w:r>
    </w:p>
    <w:p>
      <w:pPr>
        <w:spacing w:before="280" w:after="120"/>
      </w:pPr>
      <w:r>
        <w:rPr>
          <w:rFonts w:ascii="Arial" w:hAnsi="Arial"/>
          <w:b/>
          <w:color w:val="2563EB"/>
          <w:sz w:val="26"/>
        </w:rPr>
        <w:t>4.1 Domain Class Diagram</w:t>
      </w:r>
    </w:p>
    <w:p>
      <w:pPr>
        <w:spacing w:after="120" w:line="276" w:lineRule="auto"/>
      </w:pPr>
      <w:r>
        <w:rPr>
          <w:rFonts w:ascii="Calibri" w:hAnsi="Calibri"/>
          <w:b/>
          <w:color w:val="0F172A"/>
          <w:sz w:val="22"/>
        </w:rPr>
        <w:t xml:space="preserve">Structural Modeling: </w:t>
      </w:r>
      <w:r>
        <w:rPr>
          <w:rFonts w:ascii="Calibri" w:hAnsi="Calibri"/>
          <w:color w:val="0F172A"/>
          <w:sz w:val="22"/>
        </w:rPr>
        <w:t>The class diagram captures the static structural design of the domain model, depicting the primary entities, their encapsulated properties, public operations, and structural associations.</w:t>
      </w:r>
    </w:p>
    <w:p>
      <w:pPr>
        <w:pStyle w:val="ListBullet"/>
        <w:spacing w:after="80" w:line="276" w:lineRule="auto"/>
      </w:pPr>
      <w:r>
        <w:rPr>
          <w:rFonts w:ascii="Calibri" w:hAnsi="Calibri"/>
          <w:b/>
          <w:color w:val="0F172A"/>
          <w:sz w:val="22"/>
        </w:rPr>
        <w:t>User:</w:t>
      </w:r>
      <w:r>
        <w:rPr>
          <w:rFonts w:ascii="Calibri" w:hAnsi="Calibri"/>
          <w:color w:val="0F172A"/>
          <w:sz w:val="22"/>
        </w:rPr>
        <w:t xml:space="preserve"> Represents actors possessing access credentials (`id`, `name`, `email`, `role`, `phone`, `password_hash`). Encapsulates authentication and token generation operations.</w:t>
      </w:r>
    </w:p>
    <w:p>
      <w:pPr>
        <w:pStyle w:val="ListBullet"/>
        <w:spacing w:after="80" w:line="276" w:lineRule="auto"/>
      </w:pPr>
      <w:r>
        <w:rPr>
          <w:rFonts w:ascii="Calibri" w:hAnsi="Calibri"/>
          <w:b/>
          <w:color w:val="0F172A"/>
          <w:sz w:val="22"/>
        </w:rPr>
        <w:t>ServiceRequest:</w:t>
      </w:r>
      <w:r>
        <w:rPr>
          <w:rFonts w:ascii="Calibri" w:hAnsi="Calibri"/>
          <w:color w:val="0F172A"/>
          <w:sz w:val="22"/>
        </w:rPr>
        <w:t xml:space="preserve"> Central entity tracking HVAC jobs (`request_id`, `name`, `phone`, `address`, `service_type`, `status`, `technician_id`, `completion_notes`, `created_at`, `completed_at`). Associated 0..* to User (Technician).</w:t>
      </w:r>
    </w:p>
    <w:p>
      <w:pPr>
        <w:pStyle w:val="ListBullet"/>
        <w:spacing w:after="80" w:line="276" w:lineRule="auto"/>
      </w:pPr>
      <w:r>
        <w:rPr>
          <w:rFonts w:ascii="Calibri" w:hAnsi="Calibri"/>
          <w:b/>
          <w:color w:val="0F172A"/>
          <w:sz w:val="22"/>
        </w:rPr>
        <w:t>AMCPlan:</w:t>
      </w:r>
      <w:r>
        <w:rPr>
          <w:rFonts w:ascii="Calibri" w:hAnsi="Calibri"/>
          <w:color w:val="0F172A"/>
          <w:sz w:val="22"/>
        </w:rPr>
        <w:t xml:space="preserve"> Defines the master maintenance packages (`id`, `name`, `price`, `services_per_year`, `description`).</w:t>
      </w:r>
    </w:p>
    <w:p>
      <w:pPr>
        <w:pStyle w:val="ListBullet"/>
        <w:spacing w:after="80" w:line="276" w:lineRule="auto"/>
      </w:pPr>
      <w:r>
        <w:rPr>
          <w:rFonts w:ascii="Calibri" w:hAnsi="Calibri"/>
          <w:b/>
          <w:color w:val="0F172A"/>
          <w:sz w:val="22"/>
        </w:rPr>
        <w:t>AMCSubscription:</w:t>
      </w:r>
      <w:r>
        <w:rPr>
          <w:rFonts w:ascii="Calibri" w:hAnsi="Calibri"/>
          <w:color w:val="0F172A"/>
          <w:sz w:val="22"/>
        </w:rPr>
        <w:t xml:space="preserve"> Represents active customer service contracts (`id`, `customer_name`, `phone`, `plan_name`, `status`, `remaining_services`, `start_date`, `end_date`). Associated 0..* to Customer phone numbers.</w:t>
      </w:r>
    </w:p>
    <w:p>
      <w:pPr>
        <w:pStyle w:val="ListBullet"/>
        <w:spacing w:after="80" w:line="276" w:lineRule="auto"/>
      </w:pPr>
      <w:r>
        <w:rPr>
          <w:rFonts w:ascii="Calibri" w:hAnsi="Calibri"/>
          <w:b/>
          <w:color w:val="0F172A"/>
          <w:sz w:val="22"/>
        </w:rPr>
        <w:t>Product:</w:t>
      </w:r>
      <w:r>
        <w:rPr>
          <w:rFonts w:ascii="Calibri" w:hAnsi="Calibri"/>
          <w:color w:val="0F172A"/>
          <w:sz w:val="22"/>
        </w:rPr>
        <w:t xml:space="preserve"> Represents equipment in the inventory catalog (`id`, `name`, `category`, `price`, `stock`, `brand`, `condition`, `specs`).</w:t>
      </w:r>
    </w:p>
    <w:p>
      <w:pPr>
        <w:spacing w:before="160" w:after="80"/>
        <w:jc w:val="center"/>
      </w:pPr>
      <w:r>
        <w:drawing>
          <wp:inline xmlns:a="http://schemas.openxmlformats.org/drawingml/2006/main" xmlns:pic="http://schemas.openxmlformats.org/drawingml/2006/picture">
            <wp:extent cx="5303520" cy="3428538"/>
            <wp:docPr id="7" name="Picture 7"/>
            <wp:cNvGraphicFramePr>
              <a:graphicFrameLocks noChangeAspect="1"/>
            </wp:cNvGraphicFramePr>
            <a:graphic>
              <a:graphicData uri="http://schemas.openxmlformats.org/drawingml/2006/picture">
                <pic:pic>
                  <pic:nvPicPr>
                    <pic:cNvPr id="0" name="img7_class_diagram.png"/>
                    <pic:cNvPicPr/>
                  </pic:nvPicPr>
                  <pic:blipFill>
                    <a:blip r:embed="rId15"/>
                    <a:stretch>
                      <a:fillRect/>
                    </a:stretch>
                  </pic:blipFill>
                  <pic:spPr>
                    <a:xfrm>
                      <a:off x="0" y="0"/>
                      <a:ext cx="5303520" cy="3428538"/>
                    </a:xfrm>
                    <a:prstGeom prst="rect"/>
                  </pic:spPr>
                </pic:pic>
              </a:graphicData>
            </a:graphic>
          </wp:inline>
        </w:drawing>
      </w:r>
    </w:p>
    <w:p>
      <w:pPr>
        <w:spacing w:after="240"/>
        <w:jc w:val="center"/>
      </w:pPr>
      <w:r>
        <w:rPr>
          <w:rFonts w:ascii="Calibri" w:hAnsi="Calibri"/>
          <w:i/>
          <w:color w:val="475569"/>
          <w:sz w:val="19"/>
        </w:rPr>
        <w:t>Figure: Domain Class Diagram</w:t>
      </w:r>
    </w:p>
    <w:p>
      <w:pPr>
        <w:spacing w:before="280" w:after="120"/>
      </w:pPr>
      <w:r>
        <w:rPr>
          <w:rFonts w:ascii="Arial" w:hAnsi="Arial"/>
          <w:b/>
          <w:color w:val="2563EB"/>
          <w:sz w:val="26"/>
        </w:rPr>
        <w:t>4.2 Object Diagram (Runtime Instance Snapshot)</w:t>
      </w:r>
    </w:p>
    <w:p>
      <w:pPr>
        <w:spacing w:after="120" w:line="276" w:lineRule="auto"/>
      </w:pPr>
      <w:r>
        <w:rPr>
          <w:rFonts w:ascii="Calibri" w:hAnsi="Calibri"/>
          <w:b/>
          <w:color w:val="0F172A"/>
          <w:sz w:val="22"/>
        </w:rPr>
        <w:t xml:space="preserve">Runtime Snapshot: </w:t>
      </w:r>
      <w:r>
        <w:rPr>
          <w:rFonts w:ascii="Calibri" w:hAnsi="Calibri"/>
          <w:color w:val="0F172A"/>
          <w:sz w:val="22"/>
        </w:rPr>
        <w:t>The object diagram models a concrete runtime state of the system during an active operational day, illustrating instantiated objects, assigned attribute values, and runtime object link bindings.</w:t>
      </w:r>
    </w:p>
    <w:p>
      <w:pPr>
        <w:spacing w:before="160" w:after="80"/>
        <w:jc w:val="center"/>
      </w:pPr>
      <w:r>
        <w:drawing>
          <wp:inline xmlns:a="http://schemas.openxmlformats.org/drawingml/2006/main" xmlns:pic="http://schemas.openxmlformats.org/drawingml/2006/picture">
            <wp:extent cx="5303520" cy="2892829"/>
            <wp:docPr id="8" name="Picture 8"/>
            <wp:cNvGraphicFramePr>
              <a:graphicFrameLocks noChangeAspect="1"/>
            </wp:cNvGraphicFramePr>
            <a:graphic>
              <a:graphicData uri="http://schemas.openxmlformats.org/drawingml/2006/picture">
                <pic:pic>
                  <pic:nvPicPr>
                    <pic:cNvPr id="0" name="img8_object_diagram.png"/>
                    <pic:cNvPicPr/>
                  </pic:nvPicPr>
                  <pic:blipFill>
                    <a:blip r:embed="rId16"/>
                    <a:stretch>
                      <a:fillRect/>
                    </a:stretch>
                  </pic:blipFill>
                  <pic:spPr>
                    <a:xfrm>
                      <a:off x="0" y="0"/>
                      <a:ext cx="5303520" cy="2892829"/>
                    </a:xfrm>
                    <a:prstGeom prst="rect"/>
                  </pic:spPr>
                </pic:pic>
              </a:graphicData>
            </a:graphic>
          </wp:inline>
        </w:drawing>
      </w:r>
    </w:p>
    <w:p>
      <w:pPr>
        <w:spacing w:after="240"/>
        <w:jc w:val="center"/>
      </w:pPr>
      <w:r>
        <w:rPr>
          <w:rFonts w:ascii="Calibri" w:hAnsi="Calibri"/>
          <w:i/>
          <w:color w:val="475569"/>
          <w:sz w:val="19"/>
        </w:rPr>
        <w:t>Figure: System Object Diagram (Runtime State Snapshot)</w:t>
      </w:r>
    </w:p>
    <w:p>
      <w:r>
        <w:br w:type="page"/>
      </w:r>
    </w:p>
    <w:p>
      <w:pPr>
        <w:spacing w:before="360" w:after="160"/>
      </w:pPr>
      <w:r>
        <w:rPr>
          <w:rFonts w:ascii="Arial" w:hAnsi="Arial"/>
          <w:b/>
          <w:color w:val="1E3A8A"/>
          <w:sz w:val="32"/>
        </w:rPr>
        <w:t>5. STATE CHART &amp; ACTIVITY DIAGRAMS</w:t>
      </w:r>
    </w:p>
    <w:p>
      <w:pPr>
        <w:spacing w:before="280" w:after="120"/>
      </w:pPr>
      <w:r>
        <w:rPr>
          <w:rFonts w:ascii="Arial" w:hAnsi="Arial"/>
          <w:b/>
          <w:color w:val="2563EB"/>
          <w:sz w:val="26"/>
        </w:rPr>
        <w:t>5.1 Service Request Lifecycle State Chart</w:t>
      </w:r>
    </w:p>
    <w:p>
      <w:pPr>
        <w:spacing w:after="120" w:line="276" w:lineRule="auto"/>
      </w:pPr>
      <w:r>
        <w:rPr>
          <w:rFonts w:ascii="Calibri" w:hAnsi="Calibri"/>
          <w:b/>
          <w:color w:val="0F172A"/>
          <w:sz w:val="22"/>
        </w:rPr>
        <w:t xml:space="preserve">State Transition Semantics: </w:t>
      </w:r>
      <w:r>
        <w:rPr>
          <w:rFonts w:ascii="Calibri" w:hAnsi="Calibri"/>
          <w:color w:val="0F172A"/>
          <w:sz w:val="22"/>
        </w:rPr>
        <w:t>A service ticket progresses through a deterministic finite state machine (FSM). The lifecycle begins in the 'Pending' state upon customer submission, transitions to 'Assigned' when a dispatcher allocates a field engineer, advances to 'In Progress' when the technician arrives on site, and terminates in 'Completed' once the customer verifies repair completion. Alternatively, a ticket may be 'Cancelled'.</w:t>
      </w:r>
    </w:p>
    <w:p>
      <w:pPr>
        <w:spacing w:before="160" w:after="80"/>
        <w:jc w:val="center"/>
      </w:pPr>
      <w:r>
        <w:drawing>
          <wp:inline xmlns:a="http://schemas.openxmlformats.org/drawingml/2006/main" xmlns:pic="http://schemas.openxmlformats.org/drawingml/2006/picture">
            <wp:extent cx="5303520" cy="2624975"/>
            <wp:docPr id="9" name="Picture 9"/>
            <wp:cNvGraphicFramePr>
              <a:graphicFrameLocks noChangeAspect="1"/>
            </wp:cNvGraphicFramePr>
            <a:graphic>
              <a:graphicData uri="http://schemas.openxmlformats.org/drawingml/2006/picture">
                <pic:pic>
                  <pic:nvPicPr>
                    <pic:cNvPr id="0" name="img9_state_chart.png"/>
                    <pic:cNvPicPr/>
                  </pic:nvPicPr>
                  <pic:blipFill>
                    <a:blip r:embed="rId17"/>
                    <a:stretch>
                      <a:fillRect/>
                    </a:stretch>
                  </pic:blipFill>
                  <pic:spPr>
                    <a:xfrm>
                      <a:off x="0" y="0"/>
                      <a:ext cx="5303520" cy="2624975"/>
                    </a:xfrm>
                    <a:prstGeom prst="rect"/>
                  </pic:spPr>
                </pic:pic>
              </a:graphicData>
            </a:graphic>
          </wp:inline>
        </w:drawing>
      </w:r>
    </w:p>
    <w:p>
      <w:pPr>
        <w:spacing w:after="240"/>
        <w:jc w:val="center"/>
      </w:pPr>
      <w:r>
        <w:rPr>
          <w:rFonts w:ascii="Calibri" w:hAnsi="Calibri"/>
          <w:i/>
          <w:color w:val="475569"/>
          <w:sz w:val="19"/>
        </w:rPr>
        <w:t>Figure: Service Request Lifecycle State Machine</w:t>
      </w:r>
    </w:p>
    <w:p>
      <w:pPr>
        <w:spacing w:before="280" w:after="120"/>
      </w:pPr>
      <w:r>
        <w:rPr>
          <w:rFonts w:ascii="Arial" w:hAnsi="Arial"/>
          <w:b/>
          <w:color w:val="2563EB"/>
          <w:sz w:val="26"/>
        </w:rPr>
        <w:t>5.2 User Authentication Activity Diagram</w:t>
      </w:r>
    </w:p>
    <w:p>
      <w:pPr>
        <w:spacing w:after="120" w:line="276" w:lineRule="auto"/>
      </w:pPr>
      <w:r>
        <w:rPr>
          <w:rFonts w:ascii="Calibri" w:hAnsi="Calibri"/>
          <w:b/>
          <w:color w:val="0F172A"/>
          <w:sz w:val="22"/>
        </w:rPr>
        <w:t xml:space="preserve">Auth Workflow: </w:t>
      </w:r>
      <w:r>
        <w:rPr>
          <w:rFonts w:ascii="Calibri" w:hAnsi="Calibri"/>
          <w:color w:val="0F172A"/>
          <w:sz w:val="22"/>
        </w:rPr>
        <w:t>The authentication activity diagram details the decision logic executed during user login, incorporating email retrieval, bcrypt hash comparison, JWT generation with embedded role claims, and defensive error handling.</w:t>
      </w:r>
    </w:p>
    <w:p>
      <w:pPr>
        <w:spacing w:before="160" w:after="80"/>
        <w:jc w:val="center"/>
      </w:pPr>
      <w:r>
        <w:drawing>
          <wp:inline xmlns:a="http://schemas.openxmlformats.org/drawingml/2006/main" xmlns:pic="http://schemas.openxmlformats.org/drawingml/2006/picture">
            <wp:extent cx="5303520" cy="3160684"/>
            <wp:docPr id="10" name="Picture 10"/>
            <wp:cNvGraphicFramePr>
              <a:graphicFrameLocks noChangeAspect="1"/>
            </wp:cNvGraphicFramePr>
            <a:graphic>
              <a:graphicData uri="http://schemas.openxmlformats.org/drawingml/2006/picture">
                <pic:pic>
                  <pic:nvPicPr>
                    <pic:cNvPr id="0" name="img10_auth_activity.png"/>
                    <pic:cNvPicPr/>
                  </pic:nvPicPr>
                  <pic:blipFill>
                    <a:blip r:embed="rId18"/>
                    <a:stretch>
                      <a:fillRect/>
                    </a:stretch>
                  </pic:blipFill>
                  <pic:spPr>
                    <a:xfrm>
                      <a:off x="0" y="0"/>
                      <a:ext cx="5303520" cy="3160684"/>
                    </a:xfrm>
                    <a:prstGeom prst="rect"/>
                  </pic:spPr>
                </pic:pic>
              </a:graphicData>
            </a:graphic>
          </wp:inline>
        </w:drawing>
      </w:r>
    </w:p>
    <w:p>
      <w:pPr>
        <w:spacing w:after="240"/>
        <w:jc w:val="center"/>
      </w:pPr>
      <w:r>
        <w:rPr>
          <w:rFonts w:ascii="Calibri" w:hAnsi="Calibri"/>
          <w:i/>
          <w:color w:val="475569"/>
          <w:sz w:val="19"/>
        </w:rPr>
        <w:t>Figure: Authentication &amp; RBAC Activity Diagram</w:t>
      </w:r>
    </w:p>
    <w:p>
      <w:pPr>
        <w:spacing w:before="280" w:after="120"/>
      </w:pPr>
      <w:r>
        <w:rPr>
          <w:rFonts w:ascii="Arial" w:hAnsi="Arial"/>
          <w:b/>
          <w:color w:val="2563EB"/>
          <w:sz w:val="26"/>
        </w:rPr>
        <w:t>5.3 Service Booking &amp; AMC Auto-Deduction Activity Diagram</w:t>
      </w:r>
    </w:p>
    <w:p>
      <w:pPr>
        <w:spacing w:after="120" w:line="276" w:lineRule="auto"/>
      </w:pPr>
      <w:r>
        <w:rPr>
          <w:rFonts w:ascii="Calibri" w:hAnsi="Calibri"/>
          <w:b/>
          <w:color w:val="0F172A"/>
          <w:sz w:val="22"/>
        </w:rPr>
        <w:t xml:space="preserve">Intake Processing: </w:t>
      </w:r>
      <w:r>
        <w:rPr>
          <w:rFonts w:ascii="Calibri" w:hAnsi="Calibri"/>
          <w:color w:val="0F172A"/>
          <w:sz w:val="22"/>
        </w:rPr>
        <w:t>This activity diagram specifies the automated business logic executed upon customer booking submission, demonstrating how the backend queries customer phone numbers against active AMC subscriptions, atomically decrements the remaining visit quota, and generates a formatted ticket with SendGrid email confirmation.</w:t>
      </w:r>
    </w:p>
    <w:p>
      <w:pPr>
        <w:spacing w:before="160" w:after="80"/>
        <w:jc w:val="center"/>
      </w:pPr>
      <w:r>
        <w:drawing>
          <wp:inline xmlns:a="http://schemas.openxmlformats.org/drawingml/2006/main" xmlns:pic="http://schemas.openxmlformats.org/drawingml/2006/picture">
            <wp:extent cx="5303520" cy="3160684"/>
            <wp:docPr id="11" name="Picture 11"/>
            <wp:cNvGraphicFramePr>
              <a:graphicFrameLocks noChangeAspect="1"/>
            </wp:cNvGraphicFramePr>
            <a:graphic>
              <a:graphicData uri="http://schemas.openxmlformats.org/drawingml/2006/picture">
                <pic:pic>
                  <pic:nvPicPr>
                    <pic:cNvPr id="0" name="img11_booking_activity.png"/>
                    <pic:cNvPicPr/>
                  </pic:nvPicPr>
                  <pic:blipFill>
                    <a:blip r:embed="rId19"/>
                    <a:stretch>
                      <a:fillRect/>
                    </a:stretch>
                  </pic:blipFill>
                  <pic:spPr>
                    <a:xfrm>
                      <a:off x="0" y="0"/>
                      <a:ext cx="5303520" cy="3160684"/>
                    </a:xfrm>
                    <a:prstGeom prst="rect"/>
                  </pic:spPr>
                </pic:pic>
              </a:graphicData>
            </a:graphic>
          </wp:inline>
        </w:drawing>
      </w:r>
    </w:p>
    <w:p>
      <w:pPr>
        <w:spacing w:after="240"/>
        <w:jc w:val="center"/>
      </w:pPr>
      <w:r>
        <w:rPr>
          <w:rFonts w:ascii="Calibri" w:hAnsi="Calibri"/>
          <w:i/>
          <w:color w:val="475569"/>
          <w:sz w:val="19"/>
        </w:rPr>
        <w:t>Figure: Booking &amp; AMC Auto-Deduction Activity Diagram</w:t>
      </w:r>
    </w:p>
    <w:p>
      <w:r>
        <w:br w:type="page"/>
      </w:r>
    </w:p>
    <w:p>
      <w:pPr>
        <w:spacing w:before="360" w:after="160"/>
      </w:pPr>
      <w:r>
        <w:rPr>
          <w:rFonts w:ascii="Arial" w:hAnsi="Arial"/>
          <w:b/>
          <w:color w:val="1E3A8A"/>
          <w:sz w:val="32"/>
        </w:rPr>
        <w:t>6. SEQUENCE DIAGRAM &amp; COLLABORATION DIAGRAM</w:t>
      </w:r>
    </w:p>
    <w:p>
      <w:pPr>
        <w:spacing w:before="280" w:after="120"/>
      </w:pPr>
      <w:r>
        <w:rPr>
          <w:rFonts w:ascii="Arial" w:hAnsi="Arial"/>
          <w:b/>
          <w:color w:val="2563EB"/>
          <w:sz w:val="26"/>
        </w:rPr>
        <w:t>6.1 Service Request Booking Sequence Diagram</w:t>
      </w:r>
    </w:p>
    <w:p>
      <w:pPr>
        <w:spacing w:after="120" w:line="276" w:lineRule="auto"/>
      </w:pPr>
      <w:r>
        <w:rPr>
          <w:rFonts w:ascii="Calibri" w:hAnsi="Calibri"/>
          <w:b/>
          <w:color w:val="0F172A"/>
          <w:sz w:val="22"/>
        </w:rPr>
        <w:t xml:space="preserve">Interaction Chronology: </w:t>
      </w:r>
      <w:r>
        <w:rPr>
          <w:rFonts w:ascii="Calibri" w:hAnsi="Calibri"/>
          <w:color w:val="0F172A"/>
          <w:sz w:val="22"/>
        </w:rPr>
        <w:t>The sequence diagram depicts the chronological message exchange across system lifelines during a customer booking transaction, highlighting asynchronous database writes and external SendGrid API invocations.</w:t>
      </w:r>
    </w:p>
    <w:p>
      <w:pPr>
        <w:spacing w:before="160" w:after="80"/>
        <w:jc w:val="center"/>
      </w:pPr>
      <w:r>
        <w:drawing>
          <wp:inline xmlns:a="http://schemas.openxmlformats.org/drawingml/2006/main" xmlns:pic="http://schemas.openxmlformats.org/drawingml/2006/picture">
            <wp:extent cx="5303520" cy="3160684"/>
            <wp:docPr id="12" name="Picture 12"/>
            <wp:cNvGraphicFramePr>
              <a:graphicFrameLocks noChangeAspect="1"/>
            </wp:cNvGraphicFramePr>
            <a:graphic>
              <a:graphicData uri="http://schemas.openxmlformats.org/drawingml/2006/picture">
                <pic:pic>
                  <pic:nvPicPr>
                    <pic:cNvPr id="0" name="img12_booking_sequence.png"/>
                    <pic:cNvPicPr/>
                  </pic:nvPicPr>
                  <pic:blipFill>
                    <a:blip r:embed="rId20"/>
                    <a:stretch>
                      <a:fillRect/>
                    </a:stretch>
                  </pic:blipFill>
                  <pic:spPr>
                    <a:xfrm>
                      <a:off x="0" y="0"/>
                      <a:ext cx="5303520" cy="3160684"/>
                    </a:xfrm>
                    <a:prstGeom prst="rect"/>
                  </pic:spPr>
                </pic:pic>
              </a:graphicData>
            </a:graphic>
          </wp:inline>
        </w:drawing>
      </w:r>
    </w:p>
    <w:p>
      <w:pPr>
        <w:spacing w:after="240"/>
        <w:jc w:val="center"/>
      </w:pPr>
      <w:r>
        <w:rPr>
          <w:rFonts w:ascii="Calibri" w:hAnsi="Calibri"/>
          <w:i/>
          <w:color w:val="475569"/>
          <w:sz w:val="19"/>
        </w:rPr>
        <w:t>Figure: Service Booking &amp; Confirmation Sequence Diagram</w:t>
      </w:r>
    </w:p>
    <w:p>
      <w:pPr>
        <w:spacing w:before="280" w:after="120"/>
      </w:pPr>
      <w:r>
        <w:rPr>
          <w:rFonts w:ascii="Arial" w:hAnsi="Arial"/>
          <w:b/>
          <w:color w:val="2563EB"/>
          <w:sz w:val="26"/>
        </w:rPr>
        <w:t>6.2 Technician Dispatch &amp; Job Execution Sequence Diagram</w:t>
      </w:r>
    </w:p>
    <w:p>
      <w:pPr>
        <w:spacing w:after="120" w:line="276" w:lineRule="auto"/>
      </w:pPr>
      <w:r>
        <w:rPr>
          <w:rFonts w:ascii="Calibri" w:hAnsi="Calibri"/>
          <w:b/>
          <w:color w:val="0F172A"/>
          <w:sz w:val="22"/>
        </w:rPr>
        <w:t xml:space="preserve">Field Workflow Interaction: </w:t>
      </w:r>
      <w:r>
        <w:rPr>
          <w:rFonts w:ascii="Calibri" w:hAnsi="Calibri"/>
          <w:color w:val="0F172A"/>
          <w:sz w:val="22"/>
        </w:rPr>
        <w:t>This sequence models the dispatcher-to-technician workflow, detailing how technician allocation updates the central database, populates the technician's mobile job board, and triggers live SSE updates on the customer tracking UI.</w:t>
      </w:r>
    </w:p>
    <w:p>
      <w:pPr>
        <w:spacing w:before="160" w:after="80"/>
        <w:jc w:val="center"/>
      </w:pPr>
      <w:r>
        <w:drawing>
          <wp:inline xmlns:a="http://schemas.openxmlformats.org/drawingml/2006/main" xmlns:pic="http://schemas.openxmlformats.org/drawingml/2006/picture">
            <wp:extent cx="5303520" cy="3160684"/>
            <wp:docPr id="13" name="Picture 13"/>
            <wp:cNvGraphicFramePr>
              <a:graphicFrameLocks noChangeAspect="1"/>
            </wp:cNvGraphicFramePr>
            <a:graphic>
              <a:graphicData uri="http://schemas.openxmlformats.org/drawingml/2006/picture">
                <pic:pic>
                  <pic:nvPicPr>
                    <pic:cNvPr id="0" name="img13_dispatch_sequence.png"/>
                    <pic:cNvPicPr/>
                  </pic:nvPicPr>
                  <pic:blipFill>
                    <a:blip r:embed="rId21"/>
                    <a:stretch>
                      <a:fillRect/>
                    </a:stretch>
                  </pic:blipFill>
                  <pic:spPr>
                    <a:xfrm>
                      <a:off x="0" y="0"/>
                      <a:ext cx="5303520" cy="3160684"/>
                    </a:xfrm>
                    <a:prstGeom prst="rect"/>
                  </pic:spPr>
                </pic:pic>
              </a:graphicData>
            </a:graphic>
          </wp:inline>
        </w:drawing>
      </w:r>
    </w:p>
    <w:p>
      <w:pPr>
        <w:spacing w:after="240"/>
        <w:jc w:val="center"/>
      </w:pPr>
      <w:r>
        <w:rPr>
          <w:rFonts w:ascii="Calibri" w:hAnsi="Calibri"/>
          <w:i/>
          <w:color w:val="475569"/>
          <w:sz w:val="19"/>
        </w:rPr>
        <w:t>Figure: Technician Dispatch &amp; Job Execution Sequence Diagram</w:t>
      </w:r>
    </w:p>
    <w:p>
      <w:pPr>
        <w:spacing w:before="280" w:after="120"/>
      </w:pPr>
      <w:r>
        <w:rPr>
          <w:rFonts w:ascii="Arial" w:hAnsi="Arial"/>
          <w:b/>
          <w:color w:val="2563EB"/>
          <w:sz w:val="26"/>
        </w:rPr>
        <w:t>6.3 AMC Auto-Deduction Collaboration Diagram</w:t>
      </w:r>
    </w:p>
    <w:p>
      <w:pPr>
        <w:spacing w:after="120" w:line="276" w:lineRule="auto"/>
      </w:pPr>
      <w:r>
        <w:rPr>
          <w:rFonts w:ascii="Calibri" w:hAnsi="Calibri"/>
          <w:b/>
          <w:color w:val="0F172A"/>
          <w:sz w:val="22"/>
        </w:rPr>
        <w:t xml:space="preserve">Object Collaboration: </w:t>
      </w:r>
      <w:r>
        <w:rPr>
          <w:rFonts w:ascii="Calibri" w:hAnsi="Calibri"/>
          <w:color w:val="0F172A"/>
          <w:sz w:val="22"/>
        </w:rPr>
        <w:t>The collaboration diagram emphasizes the structural relationships and numbered message ordering between objects participating in automated AMC validation and visit deduction.</w:t>
      </w:r>
    </w:p>
    <w:p>
      <w:pPr>
        <w:spacing w:before="160" w:after="80"/>
        <w:jc w:val="center"/>
      </w:pPr>
      <w:r>
        <w:drawing>
          <wp:inline xmlns:a="http://schemas.openxmlformats.org/drawingml/2006/main" xmlns:pic="http://schemas.openxmlformats.org/drawingml/2006/picture">
            <wp:extent cx="5303520" cy="2892829"/>
            <wp:docPr id="14" name="Picture 14"/>
            <wp:cNvGraphicFramePr>
              <a:graphicFrameLocks noChangeAspect="1"/>
            </wp:cNvGraphicFramePr>
            <a:graphic>
              <a:graphicData uri="http://schemas.openxmlformats.org/drawingml/2006/picture">
                <pic:pic>
                  <pic:nvPicPr>
                    <pic:cNvPr id="0" name="img14_amc_collaboration.png"/>
                    <pic:cNvPicPr/>
                  </pic:nvPicPr>
                  <pic:blipFill>
                    <a:blip r:embed="rId22"/>
                    <a:stretch>
                      <a:fillRect/>
                    </a:stretch>
                  </pic:blipFill>
                  <pic:spPr>
                    <a:xfrm>
                      <a:off x="0" y="0"/>
                      <a:ext cx="5303520" cy="2892829"/>
                    </a:xfrm>
                    <a:prstGeom prst="rect"/>
                  </pic:spPr>
                </pic:pic>
              </a:graphicData>
            </a:graphic>
          </wp:inline>
        </w:drawing>
      </w:r>
    </w:p>
    <w:p>
      <w:pPr>
        <w:spacing w:after="240"/>
        <w:jc w:val="center"/>
      </w:pPr>
      <w:r>
        <w:rPr>
          <w:rFonts w:ascii="Calibri" w:hAnsi="Calibri"/>
          <w:i/>
          <w:color w:val="475569"/>
          <w:sz w:val="19"/>
        </w:rPr>
        <w:t>Figure: AMC Auto-Deduction Collaboration Diagram</w:t>
      </w:r>
    </w:p>
    <w:p>
      <w:r>
        <w:br w:type="page"/>
      </w:r>
    </w:p>
    <w:p>
      <w:pPr>
        <w:spacing w:before="360" w:after="160"/>
      </w:pPr>
      <w:r>
        <w:rPr>
          <w:rFonts w:ascii="Arial" w:hAnsi="Arial"/>
          <w:b/>
          <w:color w:val="1E3A8A"/>
          <w:sz w:val="32"/>
        </w:rPr>
        <w:t>7. COMPONENT &amp; DEPLOYMENT DIAGRAMS</w:t>
      </w:r>
    </w:p>
    <w:p>
      <w:pPr>
        <w:spacing w:before="280" w:after="120"/>
      </w:pPr>
      <w:r>
        <w:rPr>
          <w:rFonts w:ascii="Arial" w:hAnsi="Arial"/>
          <w:b/>
          <w:color w:val="2563EB"/>
          <w:sz w:val="26"/>
        </w:rPr>
        <w:t>7.1 System Component Diagram</w:t>
      </w:r>
    </w:p>
    <w:p>
      <w:pPr>
        <w:spacing w:after="120" w:line="276" w:lineRule="auto"/>
      </w:pPr>
      <w:r>
        <w:rPr>
          <w:rFonts w:ascii="Calibri" w:hAnsi="Calibri"/>
          <w:b/>
          <w:color w:val="0F172A"/>
          <w:sz w:val="22"/>
        </w:rPr>
        <w:t xml:space="preserve">Subsystem Topology: </w:t>
      </w:r>
      <w:r>
        <w:rPr>
          <w:rFonts w:ascii="Calibri" w:hAnsi="Calibri"/>
          <w:color w:val="0F172A"/>
          <w:sz w:val="22"/>
        </w:rPr>
        <w:t>The component diagram models the structural organization of high-level software subsystems across the Client Presentation Tier, Application Service Tier, and Cloud Persistence Layer.</w:t>
      </w:r>
    </w:p>
    <w:p>
      <w:pPr>
        <w:spacing w:before="160" w:after="80"/>
        <w:jc w:val="center"/>
      </w:pPr>
      <w:r>
        <w:drawing>
          <wp:inline xmlns:a="http://schemas.openxmlformats.org/drawingml/2006/main" xmlns:pic="http://schemas.openxmlformats.org/drawingml/2006/picture">
            <wp:extent cx="5303520" cy="3160684"/>
            <wp:docPr id="15" name="Picture 15"/>
            <wp:cNvGraphicFramePr>
              <a:graphicFrameLocks noChangeAspect="1"/>
            </wp:cNvGraphicFramePr>
            <a:graphic>
              <a:graphicData uri="http://schemas.openxmlformats.org/drawingml/2006/picture">
                <pic:pic>
                  <pic:nvPicPr>
                    <pic:cNvPr id="0" name="img15_component_diagram.png"/>
                    <pic:cNvPicPr/>
                  </pic:nvPicPr>
                  <pic:blipFill>
                    <a:blip r:embed="rId23"/>
                    <a:stretch>
                      <a:fillRect/>
                    </a:stretch>
                  </pic:blipFill>
                  <pic:spPr>
                    <a:xfrm>
                      <a:off x="0" y="0"/>
                      <a:ext cx="5303520" cy="3160684"/>
                    </a:xfrm>
                    <a:prstGeom prst="rect"/>
                  </pic:spPr>
                </pic:pic>
              </a:graphicData>
            </a:graphic>
          </wp:inline>
        </w:drawing>
      </w:r>
    </w:p>
    <w:p>
      <w:pPr>
        <w:spacing w:after="240"/>
        <w:jc w:val="center"/>
      </w:pPr>
      <w:r>
        <w:rPr>
          <w:rFonts w:ascii="Calibri" w:hAnsi="Calibri"/>
          <w:i/>
          <w:color w:val="475569"/>
          <w:sz w:val="19"/>
        </w:rPr>
        <w:t>Figure: System Component Diagram</w:t>
      </w:r>
    </w:p>
    <w:p>
      <w:pPr>
        <w:spacing w:before="280" w:after="120"/>
      </w:pPr>
      <w:r>
        <w:rPr>
          <w:rFonts w:ascii="Arial" w:hAnsi="Arial"/>
          <w:b/>
          <w:color w:val="2563EB"/>
          <w:sz w:val="26"/>
        </w:rPr>
        <w:t>7.2 Deployment Diagram</w:t>
      </w:r>
    </w:p>
    <w:p>
      <w:pPr>
        <w:spacing w:after="120" w:line="276" w:lineRule="auto"/>
      </w:pPr>
      <w:r>
        <w:rPr>
          <w:rFonts w:ascii="Calibri" w:hAnsi="Calibri"/>
          <w:b/>
          <w:color w:val="0F172A"/>
          <w:sz w:val="22"/>
        </w:rPr>
        <w:t xml:space="preserve">Physical Deployment: </w:t>
      </w:r>
      <w:r>
        <w:rPr>
          <w:rFonts w:ascii="Calibri" w:hAnsi="Calibri"/>
          <w:color w:val="0F172A"/>
          <w:sz w:val="22"/>
        </w:rPr>
        <w:t>The deployment diagram specifies the physical runtime environment, showing node allocations, communication protocols (HTTPS, TLS, gRPC), and external cloud SaaS boundaries.</w:t>
      </w:r>
    </w:p>
    <w:p>
      <w:pPr>
        <w:spacing w:before="160" w:after="80"/>
        <w:jc w:val="center"/>
      </w:pPr>
      <w:r>
        <w:drawing>
          <wp:inline xmlns:a="http://schemas.openxmlformats.org/drawingml/2006/main" xmlns:pic="http://schemas.openxmlformats.org/drawingml/2006/picture">
            <wp:extent cx="5303520" cy="2892829"/>
            <wp:docPr id="16" name="Picture 16"/>
            <wp:cNvGraphicFramePr>
              <a:graphicFrameLocks noChangeAspect="1"/>
            </wp:cNvGraphicFramePr>
            <a:graphic>
              <a:graphicData uri="http://schemas.openxmlformats.org/drawingml/2006/picture">
                <pic:pic>
                  <pic:nvPicPr>
                    <pic:cNvPr id="0" name="img16_deployment_diagram.png"/>
                    <pic:cNvPicPr/>
                  </pic:nvPicPr>
                  <pic:blipFill>
                    <a:blip r:embed="rId24"/>
                    <a:stretch>
                      <a:fillRect/>
                    </a:stretch>
                  </pic:blipFill>
                  <pic:spPr>
                    <a:xfrm>
                      <a:off x="0" y="0"/>
                      <a:ext cx="5303520" cy="2892829"/>
                    </a:xfrm>
                    <a:prstGeom prst="rect"/>
                  </pic:spPr>
                </pic:pic>
              </a:graphicData>
            </a:graphic>
          </wp:inline>
        </w:drawing>
      </w:r>
    </w:p>
    <w:p>
      <w:pPr>
        <w:spacing w:after="240"/>
        <w:jc w:val="center"/>
      </w:pPr>
      <w:r>
        <w:rPr>
          <w:rFonts w:ascii="Calibri" w:hAnsi="Calibri"/>
          <w:i/>
          <w:color w:val="475569"/>
          <w:sz w:val="19"/>
        </w:rPr>
        <w:t>Figure: System Deployment Diagram</w:t>
      </w:r>
    </w:p>
    <w:p>
      <w:pPr>
        <w:spacing w:before="280" w:after="120"/>
      </w:pPr>
      <w:r>
        <w:rPr>
          <w:rFonts w:ascii="Arial" w:hAnsi="Arial"/>
          <w:b/>
          <w:color w:val="2563EB"/>
          <w:sz w:val="26"/>
        </w:rPr>
        <w:t>7.3 Dual-Mode Hybrid Architecture</w:t>
      </w:r>
    </w:p>
    <w:p>
      <w:pPr>
        <w:spacing w:after="120" w:line="276" w:lineRule="auto"/>
      </w:pPr>
      <w:r>
        <w:rPr>
          <w:rFonts w:ascii="Calibri" w:hAnsi="Calibri"/>
          <w:b/>
          <w:color w:val="0F172A"/>
          <w:sz w:val="22"/>
        </w:rPr>
        <w:t xml:space="preserve">Dual-Mode Resilience: </w:t>
      </w:r>
      <w:r>
        <w:rPr>
          <w:rFonts w:ascii="Calibri" w:hAnsi="Calibri"/>
          <w:color w:val="0F172A"/>
          <w:sz w:val="22"/>
        </w:rPr>
        <w:t>A key architectural achievement of Extreme Sales &amp; Services is its resilient dual-mode data persistence engine. If Google Firebase service credentials are present in the environment, the system connects directly to Cloud Firestore. If absent, the server gracefully initializes an internal synchronized in-memory database with pre-seeded datasets, guaranteeing full feature availability without requiring cloud connectivity during academic evaluation or local development.</w:t>
      </w:r>
    </w:p>
    <w:p>
      <w:pPr>
        <w:spacing w:before="160" w:after="80"/>
        <w:jc w:val="center"/>
      </w:pPr>
      <w:r>
        <w:drawing>
          <wp:inline xmlns:a="http://schemas.openxmlformats.org/drawingml/2006/main" xmlns:pic="http://schemas.openxmlformats.org/drawingml/2006/picture">
            <wp:extent cx="5303520" cy="2892829"/>
            <wp:docPr id="17" name="Picture 17"/>
            <wp:cNvGraphicFramePr>
              <a:graphicFrameLocks noChangeAspect="1"/>
            </wp:cNvGraphicFramePr>
            <a:graphic>
              <a:graphicData uri="http://schemas.openxmlformats.org/drawingml/2006/picture">
                <pic:pic>
                  <pic:nvPicPr>
                    <pic:cNvPr id="0" name="img17_infrastructure_diagram.png"/>
                    <pic:cNvPicPr/>
                  </pic:nvPicPr>
                  <pic:blipFill>
                    <a:blip r:embed="rId25"/>
                    <a:stretch>
                      <a:fillRect/>
                    </a:stretch>
                  </pic:blipFill>
                  <pic:spPr>
                    <a:xfrm>
                      <a:off x="0" y="0"/>
                      <a:ext cx="5303520" cy="2892829"/>
                    </a:xfrm>
                    <a:prstGeom prst="rect"/>
                  </pic:spPr>
                </pic:pic>
              </a:graphicData>
            </a:graphic>
          </wp:inline>
        </w:drawing>
      </w:r>
    </w:p>
    <w:p>
      <w:pPr>
        <w:spacing w:after="240"/>
        <w:jc w:val="center"/>
      </w:pPr>
      <w:r>
        <w:rPr>
          <w:rFonts w:ascii="Calibri" w:hAnsi="Calibri"/>
          <w:i/>
          <w:color w:val="475569"/>
          <w:sz w:val="19"/>
        </w:rPr>
        <w:t>Figure: Dual-Mode Hybrid Persistence Architecture</w:t>
      </w:r>
    </w:p>
    <w:p>
      <w:pPr>
        <w:spacing w:before="280" w:after="120"/>
      </w:pPr>
      <w:r>
        <w:rPr>
          <w:rFonts w:ascii="Arial" w:hAnsi="Arial"/>
          <w:b/>
          <w:color w:val="2563EB"/>
          <w:sz w:val="26"/>
        </w:rPr>
        <w:t>7.4 Advanced Algorithmic Subsystems &amp; Computational Engines</w:t>
      </w:r>
    </w:p>
    <w:p>
      <w:pPr>
        <w:spacing w:after="120" w:line="276" w:lineRule="auto"/>
      </w:pPr>
      <w:r>
        <w:rPr>
          <w:rFonts w:ascii="Calibri" w:hAnsi="Calibri"/>
          <w:b/>
          <w:color w:val="0F172A"/>
          <w:sz w:val="22"/>
        </w:rPr>
        <w:t xml:space="preserve">Algorithmic Foundations: </w:t>
      </w:r>
      <w:r>
        <w:rPr>
          <w:rFonts w:ascii="Calibri" w:hAnsi="Calibri"/>
          <w:color w:val="0F172A"/>
          <w:sz w:val="22"/>
        </w:rPr>
        <w:t>To transition Extreme Sales &amp; Services from a transactional CRUD application into an enterprise HVAC precision platform, three specialized algorithmic computational engines were engineered and integrated into the application service tier:</w:t>
      </w:r>
    </w:p>
    <w:p>
      <w:pPr>
        <w:spacing w:before="200" w:after="80"/>
      </w:pPr>
      <w:r>
        <w:rPr>
          <w:rFonts w:ascii="Arial" w:hAnsi="Arial"/>
          <w:b/>
          <w:color w:val="0F172A"/>
          <w:sz w:val="22"/>
        </w:rPr>
        <w:t>7.4.1 FMEA Failure Mode &amp; Effects Analysis Predictive Diagnostics Engine</w:t>
      </w:r>
    </w:p>
    <w:p>
      <w:pPr>
        <w:spacing w:after="120" w:line="276" w:lineRule="auto"/>
      </w:pPr>
      <w:r>
        <w:rPr>
          <w:rFonts w:ascii="Calibri" w:hAnsi="Calibri"/>
          <w:b/>
          <w:color w:val="0F172A"/>
          <w:sz w:val="22"/>
        </w:rPr>
        <w:t xml:space="preserve">Mathematical Formulation: </w:t>
      </w:r>
      <w:r>
        <w:rPr>
          <w:rFonts w:ascii="Calibri" w:hAnsi="Calibri"/>
          <w:color w:val="0F172A"/>
          <w:sz w:val="22"/>
        </w:rPr>
        <w:t>Implemented in server/services/diagnosticsEngine.js, this subsystem performs multi-symptom token parsing and quantitative risk scoring. For any incoming problem description, the engine evaluates Failure Mode and Effects Analysis (FMEA):</w:t>
        <w:br/>
        <w:t>• Risk Priority Number (RPN) = Severity (S) × Occurrence (O) × Detection (D), bounded between 1 and 1000.</w:t>
        <w:br/>
        <w:t>• Dynamic Occurrence Scaling: Base occurrence is dynamically elevated based on equipment age (age/3) and Mumbai seasonal heat waves (tempMultiplier &gt; 1.2).</w:t>
        <w:br/>
        <w:t>• Weibull-Inspired Equipment Health Degradation: HealthIndex = 100 - (Age^1.32 × 4.4) + BrandBonus, modeling non-linear wear and thermodynamic COP efficiency loss.</w:t>
        <w:br/>
        <w:t>• Protocol Triage: RPN &gt;= 320 or Severity &gt;= 8 triggers CRITICAL_HAZARD (&lt;60 min target dispatch and mains power isolation advisory); RPN &gt;= 140 triggers MEDIUM_DEGRADATION (4-hour window).</w:t>
      </w:r>
    </w:p>
    <w:p>
      <w:pPr>
        <w:spacing w:before="200" w:after="80"/>
      </w:pPr>
      <w:r>
        <w:rPr>
          <w:rFonts w:ascii="Arial" w:hAnsi="Arial"/>
          <w:b/>
          <w:color w:val="0F172A"/>
          <w:sz w:val="22"/>
        </w:rPr>
        <w:t>7.4.2 Multi-Objective Weighted Greedy Dispatch Model (MOW-GDM)</w:t>
      </w:r>
    </w:p>
    <w:p>
      <w:pPr>
        <w:spacing w:after="120" w:line="276" w:lineRule="auto"/>
      </w:pPr>
      <w:r>
        <w:rPr>
          <w:rFonts w:ascii="Calibri" w:hAnsi="Calibri"/>
          <w:b/>
          <w:color w:val="0F172A"/>
          <w:sz w:val="22"/>
        </w:rPr>
        <w:t xml:space="preserve">Dispatch Intelligence: </w:t>
      </w:r>
      <w:r>
        <w:rPr>
          <w:rFonts w:ascii="Calibri" w:hAnsi="Calibri"/>
          <w:color w:val="0F172A"/>
          <w:sz w:val="22"/>
        </w:rPr>
        <w:t>Implemented in server/services/dispatchEngine.js, this engine optimizes field workforce deployment across the Mumbai Metropolitan Region (MMR):</w:t>
        <w:br/>
        <w:t>• Geodesic Haversine Distance with 1.25x Urban Street Grid Tortuosity Factor to reflect actual road travel distances.</w:t>
        <w:br/>
        <w:t>• Multi-Objective Composite Scoring: CompositeScore = (w_dist × DistScore) + (w_workload × WorkloadScore) + (w_rating × RatingScore) + (w_skill × SkillScore).</w:t>
        <w:br/>
        <w:t>• Emergency Hazard Proximity Boost: For critical safety tickets (electrical burning, MCB tripping), proximity weight w_dist is automatically boosted from 0.35 to 0.55, prioritizing immediate responder arrival.</w:t>
      </w:r>
    </w:p>
    <w:p>
      <w:pPr>
        <w:spacing w:before="200" w:after="80"/>
      </w:pPr>
      <w:r>
        <w:rPr>
          <w:rFonts w:ascii="Arial" w:hAnsi="Arial"/>
          <w:b/>
          <w:color w:val="0F172A"/>
          <w:sz w:val="22"/>
        </w:rPr>
        <w:t>7.4.3 Dynamic HVAC Pricing &amp; Thermodynamic AMC Lifecycle ROI Engine</w:t>
      </w:r>
    </w:p>
    <w:p>
      <w:pPr>
        <w:spacing w:after="120" w:line="276" w:lineRule="auto"/>
      </w:pPr>
      <w:r>
        <w:rPr>
          <w:rFonts w:ascii="Calibri" w:hAnsi="Calibri"/>
          <w:b/>
          <w:color w:val="0F172A"/>
          <w:sz w:val="22"/>
        </w:rPr>
        <w:t xml:space="preserve">Economic &amp; Thermodynamic Modeling: </w:t>
      </w:r>
      <w:r>
        <w:rPr>
          <w:rFonts w:ascii="Calibri" w:hAnsi="Calibri"/>
          <w:color w:val="0F172A"/>
          <w:sz w:val="22"/>
        </w:rPr>
        <w:t>Implemented in server/services/pricingEngine.js, this engine produces instant, multi-attribute quotations with penny-level precision matching between frontend and backend:</w:t>
        <w:br/>
        <w:t>• Factors in unit types (Split 1.0x, Window 0.85x, Cassette 1.45x), tonnage multipliers (1.0T: 0.9x, 1.5T: 1.0x, 2.0T: 1.25x), and high-rise exterior bracket rigging safety surcharges (Floor &gt; 4: ₹200, Floor &gt; 10: ₹350).</w:t>
        <w:br/>
        <w:t>• Thermodynamic Energy ROI Model: Models Mumbai grid tariff (₹9.50/kWh) and unserviced coil heat exchange loss (0.22 kWh/operating hour). Over 260 cooling days, the model proves that routine AMC saves up to ₹10,104/year while preventing 751 kg of CO2 grid emissions for typical residential setups.</w:t>
      </w:r>
    </w:p>
    <w:p>
      <w:pPr>
        <w:spacing w:before="200" w:after="80"/>
      </w:pPr>
      <w:r>
        <w:rPr>
          <w:rFonts w:ascii="Arial" w:hAnsi="Arial"/>
          <w:b/>
          <w:color w:val="0F172A"/>
          <w:sz w:val="22"/>
        </w:rPr>
        <w:t>7.4.4 High-Performance Multi-Tier In-Memory Cache Subsystem (fastCache)</w:t>
      </w:r>
    </w:p>
    <w:p>
      <w:pPr>
        <w:spacing w:after="120" w:line="276" w:lineRule="auto"/>
      </w:pPr>
      <w:r>
        <w:rPr>
          <w:rFonts w:ascii="Calibri" w:hAnsi="Calibri"/>
          <w:b/>
          <w:color w:val="0F172A"/>
          <w:sz w:val="22"/>
        </w:rPr>
        <w:t xml:space="preserve">Cache Acceleration: </w:t>
      </w:r>
      <w:r>
        <w:rPr>
          <w:rFonts w:ascii="Calibri" w:hAnsi="Calibri"/>
          <w:color w:val="0F172A"/>
          <w:sz w:val="22"/>
        </w:rPr>
        <w:t>A custom Least-Recently-Used (LRU) in-memory cache layer accelerates read-heavy public endpoints (/api/products, /api/amc-plans, /api/admin/analytics). Featuring granular Time-To-Live (TTL) expiry and tag-based invalidation, cached responses are delivered in under 1 millisecond (&lt;1ms), reducing Firestore cloud read consumption by up to 85% during peak traffic surges.</w:t>
      </w:r>
    </w:p>
    <w:p>
      <w:pPr>
        <w:spacing w:before="280" w:after="120"/>
      </w:pPr>
      <w:r>
        <w:rPr>
          <w:rFonts w:ascii="Arial" w:hAnsi="Arial"/>
          <w:b/>
          <w:color w:val="2563EB"/>
          <w:sz w:val="26"/>
        </w:rPr>
        <w:t>7.5 Mineral Architecture Modern UI/UX Design System</w:t>
      </w:r>
    </w:p>
    <w:p>
      <w:pPr>
        <w:spacing w:after="120" w:line="276" w:lineRule="auto"/>
      </w:pPr>
      <w:r>
        <w:rPr>
          <w:rFonts w:ascii="Calibri" w:hAnsi="Calibri"/>
          <w:b/>
          <w:color w:val="0F172A"/>
          <w:sz w:val="22"/>
        </w:rPr>
        <w:t xml:space="preserve">Aesthetic &amp; Accessibility Standards: </w:t>
      </w:r>
      <w:r>
        <w:rPr>
          <w:rFonts w:ascii="Calibri" w:hAnsi="Calibri"/>
          <w:color w:val="0F172A"/>
          <w:sz w:val="22"/>
        </w:rPr>
        <w:t>The client interface tier incorporates the custom Mineral Architecture design system, establishing a modern, premium user experience:</w:t>
        <w:br/>
        <w:t>• Curated Color Palette: Canvas (#1A1412), Surface (#27211D), Copper Primary (#A05B3A), Amber Muted (#E4C99A), and Soft Off-White (#F2EDE3).</w:t>
        <w:br/>
        <w:t>• High-Contrast Dark &amp; Light Mode: Full WCAG AAA compliant contrast ratios (exceeding 7:1) across all cards, modals, tables, and form inputs.</w:t>
        <w:br/>
        <w:t>• GSAP 3.12.5 Micro-Animations: Seamless entrance staggers, modal reveals, and smooth number easing without Cumulative Layout Shift (CLS = 0).</w:t>
        <w:br/>
        <w:t>• Milestone State Deduplication: Status tracking interface employs strict state caching to eliminate periodic DOM re-creation and visual flickering during background telemetry intervals.</w:t>
      </w:r>
    </w:p>
    <w:p>
      <w:r>
        <w:br w:type="page"/>
      </w:r>
    </w:p>
    <w:p>
      <w:pPr>
        <w:spacing w:before="360" w:after="160"/>
      </w:pPr>
      <w:r>
        <w:rPr>
          <w:rFonts w:ascii="Arial" w:hAnsi="Arial"/>
          <w:b/>
          <w:color w:val="1E3A8A"/>
          <w:sz w:val="32"/>
        </w:rPr>
        <w:t>8. FUNCTION POINT (FP) ANALYSIS &amp; EFFORT ESTIMATION</w:t>
      </w:r>
    </w:p>
    <w:p>
      <w:pPr>
        <w:spacing w:before="280" w:after="120"/>
      </w:pPr>
      <w:r>
        <w:rPr>
          <w:rFonts w:ascii="Arial" w:hAnsi="Arial"/>
          <w:b/>
          <w:color w:val="2563EB"/>
          <w:sz w:val="26"/>
        </w:rPr>
        <w:t>8.1 Overview</w:t>
      </w:r>
    </w:p>
    <w:p>
      <w:pPr>
        <w:spacing w:after="120" w:line="276" w:lineRule="auto"/>
      </w:pPr>
      <w:r>
        <w:rPr>
          <w:rFonts w:ascii="Calibri" w:hAnsi="Calibri"/>
          <w:b/>
          <w:color w:val="0F172A"/>
          <w:sz w:val="22"/>
        </w:rPr>
        <w:t xml:space="preserve">Measurement Framework: </w:t>
      </w:r>
      <w:r>
        <w:rPr>
          <w:rFonts w:ascii="Calibri" w:hAnsi="Calibri"/>
          <w:color w:val="0F172A"/>
          <w:sz w:val="22"/>
        </w:rPr>
        <w:t>Function Point Analysis (IFPUG standard) provides an objective, technology-agnostic metric for sizing software based on user-visible logical capabilities. Extreme Sales &amp; Services has been evaluated across all five standardized components: External Inputs (EI), External Outputs (EO), External Inquiries (EQ), Internal Logical Files (ILF), and External Interface Files (EIF).</w:t>
      </w:r>
    </w:p>
    <w:p>
      <w:pPr>
        <w:spacing w:before="280" w:after="120"/>
      </w:pPr>
      <w:r>
        <w:rPr>
          <w:rFonts w:ascii="Arial" w:hAnsi="Arial"/>
          <w:b/>
          <w:color w:val="2563EB"/>
          <w:sz w:val="26"/>
        </w:rPr>
        <w:t>8.2 Function Point Calculation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2160"/>
            <w:shd w:fill="1E3A8A"/>
            <w:tcMar>
              <w:top w:w="120" w:type="dxa"/>
              <w:bottom w:w="120" w:type="dxa"/>
              <w:left w:w="150" w:type="dxa"/>
              <w:right w:w="150" w:type="dxa"/>
            </w:tcMar>
          </w:tcPr>
          <w:p>
            <w:pPr>
              <w:jc w:val="center"/>
            </w:pPr>
            <w:r>
              <w:rPr>
                <w:rFonts w:ascii="Arial" w:hAnsi="Arial"/>
                <w:b/>
                <w:color w:val="FFFFFF"/>
                <w:sz w:val="19"/>
              </w:rPr>
              <w:t>Function Type</w:t>
            </w:r>
          </w:p>
        </w:tc>
        <w:tc>
          <w:tcPr>
            <w:tcW w:type="dxa" w:w="3600"/>
            <w:shd w:fill="1E3A8A"/>
            <w:tcMar>
              <w:top w:w="120" w:type="dxa"/>
              <w:bottom w:w="120" w:type="dxa"/>
              <w:left w:w="150" w:type="dxa"/>
              <w:right w:w="150" w:type="dxa"/>
            </w:tcMar>
          </w:tcPr>
          <w:p>
            <w:pPr>
              <w:jc w:val="center"/>
            </w:pPr>
            <w:r>
              <w:rPr>
                <w:rFonts w:ascii="Arial" w:hAnsi="Arial"/>
                <w:b/>
                <w:color w:val="FFFFFF"/>
                <w:sz w:val="19"/>
              </w:rPr>
              <w:t>Description / Subsystem Components</w:t>
            </w:r>
          </w:p>
        </w:tc>
        <w:tc>
          <w:tcPr>
            <w:tcW w:type="dxa" w:w="1008"/>
            <w:shd w:fill="1E3A8A"/>
            <w:tcMar>
              <w:top w:w="120" w:type="dxa"/>
              <w:bottom w:w="120" w:type="dxa"/>
              <w:left w:w="150" w:type="dxa"/>
              <w:right w:w="150" w:type="dxa"/>
            </w:tcMar>
          </w:tcPr>
          <w:p>
            <w:pPr>
              <w:jc w:val="center"/>
            </w:pPr>
            <w:r>
              <w:rPr>
                <w:rFonts w:ascii="Arial" w:hAnsi="Arial"/>
                <w:b/>
                <w:color w:val="FFFFFF"/>
                <w:sz w:val="19"/>
              </w:rPr>
              <w:t>Count</w:t>
            </w:r>
          </w:p>
        </w:tc>
        <w:tc>
          <w:tcPr>
            <w:tcW w:type="dxa" w:w="1440"/>
            <w:shd w:fill="1E3A8A"/>
            <w:tcMar>
              <w:top w:w="120" w:type="dxa"/>
              <w:bottom w:w="120" w:type="dxa"/>
              <w:left w:w="150" w:type="dxa"/>
              <w:right w:w="150" w:type="dxa"/>
            </w:tcMar>
          </w:tcPr>
          <w:p>
            <w:pPr>
              <w:jc w:val="center"/>
            </w:pPr>
            <w:r>
              <w:rPr>
                <w:rFonts w:ascii="Arial" w:hAnsi="Arial"/>
                <w:b/>
                <w:color w:val="FFFFFF"/>
                <w:sz w:val="19"/>
              </w:rPr>
              <w:t>Weight</w:t>
            </w:r>
          </w:p>
        </w:tc>
        <w:tc>
          <w:tcPr>
            <w:tcW w:type="dxa" w:w="1152"/>
            <w:shd w:fill="1E3A8A"/>
            <w:tcMar>
              <w:top w:w="120" w:type="dxa"/>
              <w:bottom w:w="120" w:type="dxa"/>
              <w:left w:w="150" w:type="dxa"/>
              <w:right w:w="150" w:type="dxa"/>
            </w:tcMar>
          </w:tcPr>
          <w:p>
            <w:pPr>
              <w:jc w:val="center"/>
            </w:pPr>
            <w:r>
              <w:rPr>
                <w:rFonts w:ascii="Arial" w:hAnsi="Arial"/>
                <w:b/>
                <w:color w:val="FFFFFF"/>
                <w:sz w:val="19"/>
              </w:rPr>
              <w:t>Total FP</w:t>
            </w:r>
          </w:p>
        </w:tc>
      </w:tr>
      <w:tr>
        <w:tc>
          <w:tcPr>
            <w:tcW w:type="dxa" w:w="2160"/>
            <w:shd w:fill="FFFFFF"/>
            <w:tcMar>
              <w:top w:w="90" w:type="dxa"/>
              <w:bottom w:w="90" w:type="dxa"/>
              <w:left w:w="130" w:type="dxa"/>
              <w:right w:w="130" w:type="dxa"/>
            </w:tcMar>
          </w:tcPr>
          <w:p>
            <w:pPr>
              <w:jc w:val="center"/>
            </w:pPr>
            <w:r>
              <w:rPr>
                <w:rFonts w:ascii="Calibri" w:hAnsi="Calibri"/>
                <w:color w:val="0F172A"/>
                <w:sz w:val="19"/>
              </w:rPr>
              <w:t>External Inputs (EI)</w:t>
            </w:r>
          </w:p>
        </w:tc>
        <w:tc>
          <w:tcPr>
            <w:tcW w:type="dxa" w:w="3600"/>
            <w:shd w:fill="FFFFFF"/>
            <w:tcMar>
              <w:top w:w="90" w:type="dxa"/>
              <w:bottom w:w="90" w:type="dxa"/>
              <w:left w:w="130" w:type="dxa"/>
              <w:right w:w="130" w:type="dxa"/>
            </w:tcMar>
          </w:tcPr>
          <w:p>
            <w:r>
              <w:rPr>
                <w:rFonts w:ascii="Calibri" w:hAnsi="Calibri"/>
                <w:color w:val="0F172A"/>
                <w:sz w:val="19"/>
              </w:rPr>
              <w:t>Service Booking Form, User Login, Technician Assignment, Job Status Update, AMC Purchase Form, Product Create/Edit, Feedback Submission</w:t>
            </w:r>
          </w:p>
        </w:tc>
        <w:tc>
          <w:tcPr>
            <w:tcW w:type="dxa" w:w="1008"/>
            <w:shd w:fill="FFFFFF"/>
            <w:tcMar>
              <w:top w:w="90" w:type="dxa"/>
              <w:bottom w:w="90" w:type="dxa"/>
              <w:left w:w="130" w:type="dxa"/>
              <w:right w:w="130" w:type="dxa"/>
            </w:tcMar>
          </w:tcPr>
          <w:p>
            <w:pPr>
              <w:jc w:val="center"/>
            </w:pPr>
            <w:r>
              <w:rPr>
                <w:rFonts w:ascii="Calibri" w:hAnsi="Calibri"/>
                <w:color w:val="0F172A"/>
                <w:sz w:val="19"/>
              </w:rPr>
              <w:t>7</w:t>
            </w:r>
          </w:p>
        </w:tc>
        <w:tc>
          <w:tcPr>
            <w:tcW w:type="dxa" w:w="1440"/>
            <w:shd w:fill="FFFFFF"/>
            <w:tcMar>
              <w:top w:w="90" w:type="dxa"/>
              <w:bottom w:w="90" w:type="dxa"/>
              <w:left w:w="130" w:type="dxa"/>
              <w:right w:w="130" w:type="dxa"/>
            </w:tcMar>
          </w:tcPr>
          <w:p>
            <w:pPr>
              <w:jc w:val="center"/>
            </w:pPr>
            <w:r>
              <w:rPr>
                <w:rFonts w:ascii="Calibri" w:hAnsi="Calibri"/>
                <w:color w:val="0F172A"/>
                <w:sz w:val="19"/>
              </w:rPr>
              <w:t>×4 (Avg)</w:t>
            </w:r>
          </w:p>
        </w:tc>
        <w:tc>
          <w:tcPr>
            <w:tcW w:type="dxa" w:w="1152"/>
            <w:shd w:fill="FFFFFF"/>
            <w:tcMar>
              <w:top w:w="90" w:type="dxa"/>
              <w:bottom w:w="90" w:type="dxa"/>
              <w:left w:w="130" w:type="dxa"/>
              <w:right w:w="130" w:type="dxa"/>
            </w:tcMar>
          </w:tcPr>
          <w:p>
            <w:r>
              <w:rPr>
                <w:rFonts w:ascii="Calibri" w:hAnsi="Calibri"/>
                <w:color w:val="0F172A"/>
                <w:sz w:val="19"/>
              </w:rPr>
              <w:t>28</w:t>
            </w:r>
          </w:p>
        </w:tc>
      </w:tr>
      <w:tr>
        <w:tc>
          <w:tcPr>
            <w:tcW w:type="dxa" w:w="2160"/>
            <w:shd w:fill="F8FAFC"/>
            <w:tcMar>
              <w:top w:w="90" w:type="dxa"/>
              <w:bottom w:w="90" w:type="dxa"/>
              <w:left w:w="130" w:type="dxa"/>
              <w:right w:w="130" w:type="dxa"/>
            </w:tcMar>
          </w:tcPr>
          <w:p>
            <w:pPr>
              <w:jc w:val="center"/>
            </w:pPr>
            <w:r>
              <w:rPr>
                <w:rFonts w:ascii="Calibri" w:hAnsi="Calibri"/>
                <w:color w:val="0F172A"/>
                <w:sz w:val="19"/>
              </w:rPr>
              <w:t>External Outputs (EO)</w:t>
            </w:r>
          </w:p>
        </w:tc>
        <w:tc>
          <w:tcPr>
            <w:tcW w:type="dxa" w:w="3600"/>
            <w:shd w:fill="F8FAFC"/>
            <w:tcMar>
              <w:top w:w="90" w:type="dxa"/>
              <w:bottom w:w="90" w:type="dxa"/>
              <w:left w:w="130" w:type="dxa"/>
              <w:right w:w="130" w:type="dxa"/>
            </w:tcMar>
          </w:tcPr>
          <w:p>
            <w:r>
              <w:rPr>
                <w:rFonts w:ascii="Calibri" w:hAnsi="Calibri"/>
                <w:color w:val="0F172A"/>
                <w:sz w:val="19"/>
              </w:rPr>
              <w:t>SendGrid Booking Email, Status Update Email, AMC Activation Receipt, Executive Revenue Analytics, Live SSE Status Push</w:t>
            </w:r>
          </w:p>
        </w:tc>
        <w:tc>
          <w:tcPr>
            <w:tcW w:type="dxa" w:w="1008"/>
            <w:shd w:fill="F8FAFC"/>
            <w:tcMar>
              <w:top w:w="90" w:type="dxa"/>
              <w:bottom w:w="90" w:type="dxa"/>
              <w:left w:w="130" w:type="dxa"/>
              <w:right w:w="130" w:type="dxa"/>
            </w:tcMar>
          </w:tcPr>
          <w:p>
            <w:pPr>
              <w:jc w:val="center"/>
            </w:pPr>
            <w:r>
              <w:rPr>
                <w:rFonts w:ascii="Calibri" w:hAnsi="Calibri"/>
                <w:color w:val="0F172A"/>
                <w:sz w:val="19"/>
              </w:rPr>
              <w:t>5</w:t>
            </w:r>
          </w:p>
        </w:tc>
        <w:tc>
          <w:tcPr>
            <w:tcW w:type="dxa" w:w="1440"/>
            <w:shd w:fill="F8FAFC"/>
            <w:tcMar>
              <w:top w:w="90" w:type="dxa"/>
              <w:bottom w:w="90" w:type="dxa"/>
              <w:left w:w="130" w:type="dxa"/>
              <w:right w:w="130" w:type="dxa"/>
            </w:tcMar>
          </w:tcPr>
          <w:p>
            <w:pPr>
              <w:jc w:val="center"/>
            </w:pPr>
            <w:r>
              <w:rPr>
                <w:rFonts w:ascii="Calibri" w:hAnsi="Calibri"/>
                <w:color w:val="0F172A"/>
                <w:sz w:val="19"/>
              </w:rPr>
              <w:t>×5 (Avg)</w:t>
            </w:r>
          </w:p>
        </w:tc>
        <w:tc>
          <w:tcPr>
            <w:tcW w:type="dxa" w:w="1152"/>
            <w:shd w:fill="F8FAFC"/>
            <w:tcMar>
              <w:top w:w="90" w:type="dxa"/>
              <w:bottom w:w="90" w:type="dxa"/>
              <w:left w:w="130" w:type="dxa"/>
              <w:right w:w="130" w:type="dxa"/>
            </w:tcMar>
          </w:tcPr>
          <w:p>
            <w:r>
              <w:rPr>
                <w:rFonts w:ascii="Calibri" w:hAnsi="Calibri"/>
                <w:color w:val="0F172A"/>
                <w:sz w:val="19"/>
              </w:rPr>
              <w:t>25</w:t>
            </w:r>
          </w:p>
        </w:tc>
      </w:tr>
      <w:tr>
        <w:tc>
          <w:tcPr>
            <w:tcW w:type="dxa" w:w="2160"/>
            <w:shd w:fill="FFFFFF"/>
            <w:tcMar>
              <w:top w:w="90" w:type="dxa"/>
              <w:bottom w:w="90" w:type="dxa"/>
              <w:left w:w="130" w:type="dxa"/>
              <w:right w:w="130" w:type="dxa"/>
            </w:tcMar>
          </w:tcPr>
          <w:p>
            <w:pPr>
              <w:jc w:val="center"/>
            </w:pPr>
            <w:r>
              <w:rPr>
                <w:rFonts w:ascii="Calibri" w:hAnsi="Calibri"/>
                <w:color w:val="0F172A"/>
                <w:sz w:val="19"/>
              </w:rPr>
              <w:t>External Inquiries (EQ)</w:t>
            </w:r>
          </w:p>
        </w:tc>
        <w:tc>
          <w:tcPr>
            <w:tcW w:type="dxa" w:w="3600"/>
            <w:shd w:fill="FFFFFF"/>
            <w:tcMar>
              <w:top w:w="90" w:type="dxa"/>
              <w:bottom w:w="90" w:type="dxa"/>
              <w:left w:w="130" w:type="dxa"/>
              <w:right w:w="130" w:type="dxa"/>
            </w:tcMar>
          </w:tcPr>
          <w:p>
            <w:r>
              <w:rPr>
                <w:rFonts w:ascii="Calibri" w:hAnsi="Calibri"/>
                <w:color w:val="0F172A"/>
                <w:sz w:val="19"/>
              </w:rPr>
              <w:t>Live Ticket Status Lookup, Technician Job Board Fetch, Product Catalog Query, Customer AMC Ledger Search, Public Feedback Feed</w:t>
            </w:r>
          </w:p>
        </w:tc>
        <w:tc>
          <w:tcPr>
            <w:tcW w:type="dxa" w:w="1008"/>
            <w:shd w:fill="FFFFFF"/>
            <w:tcMar>
              <w:top w:w="90" w:type="dxa"/>
              <w:bottom w:w="90" w:type="dxa"/>
              <w:left w:w="130" w:type="dxa"/>
              <w:right w:w="130" w:type="dxa"/>
            </w:tcMar>
          </w:tcPr>
          <w:p>
            <w:pPr>
              <w:jc w:val="center"/>
            </w:pPr>
            <w:r>
              <w:rPr>
                <w:rFonts w:ascii="Calibri" w:hAnsi="Calibri"/>
                <w:color w:val="0F172A"/>
                <w:sz w:val="19"/>
              </w:rPr>
              <w:t>5</w:t>
            </w:r>
          </w:p>
        </w:tc>
        <w:tc>
          <w:tcPr>
            <w:tcW w:type="dxa" w:w="1440"/>
            <w:shd w:fill="FFFFFF"/>
            <w:tcMar>
              <w:top w:w="90" w:type="dxa"/>
              <w:bottom w:w="90" w:type="dxa"/>
              <w:left w:w="130" w:type="dxa"/>
              <w:right w:w="130" w:type="dxa"/>
            </w:tcMar>
          </w:tcPr>
          <w:p>
            <w:pPr>
              <w:jc w:val="center"/>
            </w:pPr>
            <w:r>
              <w:rPr>
                <w:rFonts w:ascii="Calibri" w:hAnsi="Calibri"/>
                <w:color w:val="0F172A"/>
                <w:sz w:val="19"/>
              </w:rPr>
              <w:t>×4 (Avg)</w:t>
            </w:r>
          </w:p>
        </w:tc>
        <w:tc>
          <w:tcPr>
            <w:tcW w:type="dxa" w:w="1152"/>
            <w:shd w:fill="FFFFFF"/>
            <w:tcMar>
              <w:top w:w="90" w:type="dxa"/>
              <w:bottom w:w="90" w:type="dxa"/>
              <w:left w:w="130" w:type="dxa"/>
              <w:right w:w="130" w:type="dxa"/>
            </w:tcMar>
          </w:tcPr>
          <w:p>
            <w:r>
              <w:rPr>
                <w:rFonts w:ascii="Calibri" w:hAnsi="Calibri"/>
                <w:color w:val="0F172A"/>
                <w:sz w:val="19"/>
              </w:rPr>
              <w:t>20</w:t>
            </w:r>
          </w:p>
        </w:tc>
      </w:tr>
      <w:tr>
        <w:tc>
          <w:tcPr>
            <w:tcW w:type="dxa" w:w="2160"/>
            <w:shd w:fill="F8FAFC"/>
            <w:tcMar>
              <w:top w:w="90" w:type="dxa"/>
              <w:bottom w:w="90" w:type="dxa"/>
              <w:left w:w="130" w:type="dxa"/>
              <w:right w:w="130" w:type="dxa"/>
            </w:tcMar>
          </w:tcPr>
          <w:p>
            <w:r>
              <w:rPr>
                <w:rFonts w:ascii="Calibri" w:hAnsi="Calibri"/>
                <w:color w:val="0F172A"/>
                <w:sz w:val="19"/>
              </w:rPr>
              <w:t>Internal Logical Files (ILF)</w:t>
            </w:r>
          </w:p>
        </w:tc>
        <w:tc>
          <w:tcPr>
            <w:tcW w:type="dxa" w:w="3600"/>
            <w:shd w:fill="F8FAFC"/>
            <w:tcMar>
              <w:top w:w="90" w:type="dxa"/>
              <w:bottom w:w="90" w:type="dxa"/>
              <w:left w:w="130" w:type="dxa"/>
              <w:right w:w="130" w:type="dxa"/>
            </w:tcMar>
          </w:tcPr>
          <w:p>
            <w:r>
              <w:rPr>
                <w:rFonts w:ascii="Calibri" w:hAnsi="Calibri"/>
                <w:color w:val="0F172A"/>
                <w:sz w:val="19"/>
              </w:rPr>
              <w:t>service_requests, users, customer_amc, amc_plans, products, customer_feedback</w:t>
            </w:r>
          </w:p>
        </w:tc>
        <w:tc>
          <w:tcPr>
            <w:tcW w:type="dxa" w:w="1008"/>
            <w:shd w:fill="F8FAFC"/>
            <w:tcMar>
              <w:top w:w="90" w:type="dxa"/>
              <w:bottom w:w="90" w:type="dxa"/>
              <w:left w:w="130" w:type="dxa"/>
              <w:right w:w="130" w:type="dxa"/>
            </w:tcMar>
          </w:tcPr>
          <w:p>
            <w:pPr>
              <w:jc w:val="center"/>
            </w:pPr>
            <w:r>
              <w:rPr>
                <w:rFonts w:ascii="Calibri" w:hAnsi="Calibri"/>
                <w:color w:val="0F172A"/>
                <w:sz w:val="19"/>
              </w:rPr>
              <w:t>6</w:t>
            </w:r>
          </w:p>
        </w:tc>
        <w:tc>
          <w:tcPr>
            <w:tcW w:type="dxa" w:w="1440"/>
            <w:shd w:fill="F8FAFC"/>
            <w:tcMar>
              <w:top w:w="90" w:type="dxa"/>
              <w:bottom w:w="90" w:type="dxa"/>
              <w:left w:w="130" w:type="dxa"/>
              <w:right w:w="130" w:type="dxa"/>
            </w:tcMar>
          </w:tcPr>
          <w:p>
            <w:pPr>
              <w:jc w:val="center"/>
            </w:pPr>
            <w:r>
              <w:rPr>
                <w:rFonts w:ascii="Calibri" w:hAnsi="Calibri"/>
                <w:color w:val="0F172A"/>
                <w:sz w:val="19"/>
              </w:rPr>
              <w:t>×10 (Avg)</w:t>
            </w:r>
          </w:p>
        </w:tc>
        <w:tc>
          <w:tcPr>
            <w:tcW w:type="dxa" w:w="1152"/>
            <w:shd w:fill="F8FAFC"/>
            <w:tcMar>
              <w:top w:w="90" w:type="dxa"/>
              <w:bottom w:w="90" w:type="dxa"/>
              <w:left w:w="130" w:type="dxa"/>
              <w:right w:w="130" w:type="dxa"/>
            </w:tcMar>
          </w:tcPr>
          <w:p>
            <w:r>
              <w:rPr>
                <w:rFonts w:ascii="Calibri" w:hAnsi="Calibri"/>
                <w:color w:val="0F172A"/>
                <w:sz w:val="19"/>
              </w:rPr>
              <w:t>60</w:t>
            </w:r>
          </w:p>
        </w:tc>
      </w:tr>
      <w:tr>
        <w:tc>
          <w:tcPr>
            <w:tcW w:type="dxa" w:w="2160"/>
            <w:shd w:fill="FFFFFF"/>
            <w:tcMar>
              <w:top w:w="90" w:type="dxa"/>
              <w:bottom w:w="90" w:type="dxa"/>
              <w:left w:w="130" w:type="dxa"/>
              <w:right w:w="130" w:type="dxa"/>
            </w:tcMar>
          </w:tcPr>
          <w:p>
            <w:r>
              <w:rPr>
                <w:rFonts w:ascii="Calibri" w:hAnsi="Calibri"/>
                <w:color w:val="0F172A"/>
                <w:sz w:val="19"/>
              </w:rPr>
              <w:t>External Interface Files (EIF)</w:t>
            </w:r>
          </w:p>
        </w:tc>
        <w:tc>
          <w:tcPr>
            <w:tcW w:type="dxa" w:w="3600"/>
            <w:shd w:fill="FFFFFF"/>
            <w:tcMar>
              <w:top w:w="90" w:type="dxa"/>
              <w:bottom w:w="90" w:type="dxa"/>
              <w:left w:w="130" w:type="dxa"/>
              <w:right w:w="130" w:type="dxa"/>
            </w:tcMar>
          </w:tcPr>
          <w:p>
            <w:r>
              <w:rPr>
                <w:rFonts w:ascii="Calibri" w:hAnsi="Calibri"/>
                <w:color w:val="0F172A"/>
                <w:sz w:val="19"/>
              </w:rPr>
              <w:t>SendGrid Transactional REST API, Google Firebase Cloud Firestore</w:t>
            </w:r>
          </w:p>
        </w:tc>
        <w:tc>
          <w:tcPr>
            <w:tcW w:type="dxa" w:w="1008"/>
            <w:shd w:fill="FFFFFF"/>
            <w:tcMar>
              <w:top w:w="90" w:type="dxa"/>
              <w:bottom w:w="90" w:type="dxa"/>
              <w:left w:w="130" w:type="dxa"/>
              <w:right w:w="130" w:type="dxa"/>
            </w:tcMar>
          </w:tcPr>
          <w:p>
            <w:pPr>
              <w:jc w:val="center"/>
            </w:pPr>
            <w:r>
              <w:rPr>
                <w:rFonts w:ascii="Calibri" w:hAnsi="Calibri"/>
                <w:color w:val="0F172A"/>
                <w:sz w:val="19"/>
              </w:rPr>
              <w:t>2</w:t>
            </w:r>
          </w:p>
        </w:tc>
        <w:tc>
          <w:tcPr>
            <w:tcW w:type="dxa" w:w="1440"/>
            <w:shd w:fill="FFFFFF"/>
            <w:tcMar>
              <w:top w:w="90" w:type="dxa"/>
              <w:bottom w:w="90" w:type="dxa"/>
              <w:left w:w="130" w:type="dxa"/>
              <w:right w:w="130" w:type="dxa"/>
            </w:tcMar>
          </w:tcPr>
          <w:p>
            <w:pPr>
              <w:jc w:val="center"/>
            </w:pPr>
            <w:r>
              <w:rPr>
                <w:rFonts w:ascii="Calibri" w:hAnsi="Calibri"/>
                <w:color w:val="0F172A"/>
                <w:sz w:val="19"/>
              </w:rPr>
              <w:t>×7 (Avg)</w:t>
            </w:r>
          </w:p>
        </w:tc>
        <w:tc>
          <w:tcPr>
            <w:tcW w:type="dxa" w:w="1152"/>
            <w:shd w:fill="FFFFFF"/>
            <w:tcMar>
              <w:top w:w="90" w:type="dxa"/>
              <w:bottom w:w="90" w:type="dxa"/>
              <w:left w:w="130" w:type="dxa"/>
              <w:right w:w="130" w:type="dxa"/>
            </w:tcMar>
          </w:tcPr>
          <w:p>
            <w:r>
              <w:rPr>
                <w:rFonts w:ascii="Calibri" w:hAnsi="Calibri"/>
                <w:color w:val="0F172A"/>
                <w:sz w:val="19"/>
              </w:rPr>
              <w:t>14</w:t>
            </w:r>
          </w:p>
        </w:tc>
      </w:tr>
    </w:tbl>
    <w:p>
      <w:pPr>
        <w:spacing w:after="120" w:line="276" w:lineRule="auto"/>
      </w:pPr>
      <w:r>
        <w:rPr>
          <w:rFonts w:ascii="Calibri" w:hAnsi="Calibri"/>
          <w:b/>
          <w:color w:val="0F172A"/>
          <w:sz w:val="22"/>
        </w:rPr>
        <w:t xml:space="preserve">Total Calculated FP: </w:t>
      </w:r>
      <w:r>
        <w:rPr>
          <w:rFonts w:ascii="Calibri" w:hAnsi="Calibri"/>
          <w:color w:val="0F172A"/>
          <w:sz w:val="22"/>
        </w:rPr>
        <w:t>147 Function Points (Unadjusted Function Points - UFP)</w:t>
      </w:r>
    </w:p>
    <w:p>
      <w:pPr>
        <w:spacing w:before="280" w:after="120"/>
      </w:pPr>
      <w:r>
        <w:rPr>
          <w:rFonts w:ascii="Arial" w:hAnsi="Arial"/>
          <w:b/>
          <w:color w:val="2563EB"/>
          <w:sz w:val="26"/>
        </w:rPr>
        <w:t>8.3 Value Adjustment Factor (VAF) &amp; Adjusted Function Points</w:t>
      </w:r>
    </w:p>
    <w:p>
      <w:pPr>
        <w:spacing w:after="120" w:line="276" w:lineRule="auto"/>
      </w:pPr>
      <w:r>
        <w:rPr>
          <w:rFonts w:ascii="Calibri" w:hAnsi="Calibri"/>
          <w:b/>
          <w:color w:val="0F172A"/>
          <w:sz w:val="22"/>
        </w:rPr>
        <w:t xml:space="preserve">VAF Computation: </w:t>
      </w:r>
      <w:r>
        <w:rPr>
          <w:rFonts w:ascii="Calibri" w:hAnsi="Calibri"/>
          <w:color w:val="0F172A"/>
          <w:sz w:val="22"/>
        </w:rPr>
        <w:t>The Value Adjustment Factor is calculated based on 14 General System Characteristics (GSCs) rated on a scale from 0 (No Influence) to 5 (Essential Influence). For this enterprise platform: Data Communications (4), Distributed Data (4), Performance (4), Heavily Used Configuration (3), Transaction Rate (4), Online Data Entry (5), End-User Efficiency (5), Online Update (5), Complex Processing (3), Reusability (4), Installation Ease (5), Operational Ease (4), Multiple Sites (3), Facilitate Change (4). Sum of Degrees of Influence (TDI) = 57.</w:t>
        <w:br/>
        <w:t>VAF = 0.65 + (0.01 × 57) = 1.22</w:t>
        <w:br/>
        <w:t>Adjusted Function Points (AFP) = UFP × VAF = 147 × 1.22 = 179.34 AFP ≈ 179 AFP</w:t>
      </w:r>
    </w:p>
    <w:p>
      <w:pPr>
        <w:spacing w:before="280" w:after="120"/>
      </w:pPr>
      <w:r>
        <w:rPr>
          <w:rFonts w:ascii="Arial" w:hAnsi="Arial"/>
          <w:b/>
          <w:color w:val="2563EB"/>
          <w:sz w:val="26"/>
        </w:rPr>
        <w:t>8.4 Effort Estimation</w:t>
      </w:r>
    </w:p>
    <w:p>
      <w:pPr>
        <w:spacing w:after="120" w:line="276" w:lineRule="auto"/>
      </w:pPr>
      <w:r>
        <w:rPr>
          <w:rFonts w:ascii="Calibri" w:hAnsi="Calibri"/>
          <w:b/>
          <w:color w:val="0F172A"/>
          <w:sz w:val="22"/>
        </w:rPr>
        <w:t xml:space="preserve">Person-Hour Metrics: </w:t>
      </w:r>
      <w:r>
        <w:rPr>
          <w:rFonts w:ascii="Calibri" w:hAnsi="Calibri"/>
          <w:color w:val="0F172A"/>
          <w:sz w:val="22"/>
        </w:rPr>
        <w:t>Applying empirical academic and industry benchmarks for modern full-stack web applications:</w:t>
        <w:br/>
        <w:t>• Productivity Benchmark: 1 Function Point ≈ 7 to 9 person-hours</w:t>
        <w:br/>
        <w:t>• Total Estimated Effort: 179 FP × 8 person-hours (average) = 1,432 person-hours</w:t>
        <w:br/>
        <w:t>• Effort Range: 1,350 to 1,500 person-hours</w:t>
      </w:r>
    </w:p>
    <w:p>
      <w:pPr>
        <w:spacing w:before="280" w:after="120"/>
      </w:pPr>
      <w:r>
        <w:rPr>
          <w:rFonts w:ascii="Arial" w:hAnsi="Arial"/>
          <w:b/>
          <w:color w:val="2563EB"/>
          <w:sz w:val="26"/>
        </w:rPr>
        <w:t>8.5 Project Duration &amp; Resource Allocation</w:t>
      </w:r>
    </w:p>
    <w:p>
      <w:pPr>
        <w:spacing w:after="120" w:line="276" w:lineRule="auto"/>
      </w:pPr>
      <w:r>
        <w:rPr>
          <w:rFonts w:ascii="Calibri" w:hAnsi="Calibri"/>
          <w:b/>
          <w:color w:val="0F172A"/>
          <w:sz w:val="22"/>
        </w:rPr>
        <w:t xml:space="preserve">Timeline Sizing: </w:t>
      </w:r>
      <w:r>
        <w:rPr>
          <w:rFonts w:ascii="Calibri" w:hAnsi="Calibri"/>
          <w:color w:val="0F172A"/>
          <w:sz w:val="22"/>
        </w:rPr>
        <w:t>Based on a collegiate/enterprise project team structure operating over an academic semester:</w:t>
        <w:br/>
        <w:t>• Core Engineering Team: 3 Full-Time Equivalent (FTE) Developers</w:t>
        <w:br/>
        <w:t>• Weekly Capacity per Developer: 25 to 30 productive engineering hours</w:t>
        <w:br/>
        <w:t>• Total Weekly Team Capacity: ~90 person-hours/week</w:t>
        <w:br/>
        <w:t>• Estimated Schedule Duration: 1,432 hours ÷ 90 hours/week ≈ 15.9 Weeks ≈ 16 Weeks</w:t>
        <w:br/>
        <w:t>This categorizes Extreme Sales &amp; Services as a Substantial, Production-Grade Enterprise Web Application.</w:t>
      </w:r>
    </w:p>
    <w:p>
      <w:r>
        <w:br w:type="page"/>
      </w:r>
    </w:p>
    <w:p>
      <w:pPr>
        <w:spacing w:before="360" w:after="160"/>
      </w:pPr>
      <w:r>
        <w:rPr>
          <w:rFonts w:ascii="Arial" w:hAnsi="Arial"/>
          <w:b/>
          <w:color w:val="1E3A8A"/>
          <w:sz w:val="32"/>
        </w:rPr>
        <w:t>9. PROJECT SCHEDULING (GANTT CHART &amp; PERT/CPM)</w:t>
      </w:r>
    </w:p>
    <w:p>
      <w:pPr>
        <w:spacing w:before="280" w:after="120"/>
      </w:pPr>
      <w:r>
        <w:rPr>
          <w:rFonts w:ascii="Arial" w:hAnsi="Arial"/>
          <w:b/>
          <w:color w:val="2563EB"/>
          <w:sz w:val="26"/>
        </w:rPr>
        <w:t>9.1 Gantt Chart Overview</w:t>
      </w:r>
    </w:p>
    <w:p>
      <w:pPr>
        <w:spacing w:after="120" w:line="276" w:lineRule="auto"/>
      </w:pPr>
      <w:r>
        <w:rPr>
          <w:rFonts w:ascii="Calibri" w:hAnsi="Calibri"/>
          <w:b/>
          <w:color w:val="0F172A"/>
          <w:sz w:val="22"/>
        </w:rPr>
        <w:t xml:space="preserve">Schedule Breakdown: </w:t>
      </w:r>
      <w:r>
        <w:rPr>
          <w:rFonts w:ascii="Calibri" w:hAnsi="Calibri"/>
          <w:color w:val="0F172A"/>
          <w:sz w:val="22"/>
        </w:rPr>
        <w:t>The project was executed following a structured 16-week Software Development Life Cycle (SDLC), incorporating iterative milestone reviews, prototype testing, and formal design phases.</w:t>
      </w:r>
    </w:p>
    <w:tbl>
      <w:tblPr>
        <w:tblW w:type="auto" w:w="0"/>
        <w:jc w:val="center"/>
        <w:tblLook w:firstColumn="1" w:firstRow="1" w:lastColumn="0" w:lastRow="0" w:noHBand="0" w:noVBand="1" w:val="04A0"/>
      </w:tblPr>
      <w:tblGrid>
        <w:gridCol w:w="2340"/>
        <w:gridCol w:w="2340"/>
        <w:gridCol w:w="2340"/>
        <w:gridCol w:w="2340"/>
      </w:tblGrid>
      <w:tr>
        <w:tc>
          <w:tcPr>
            <w:tcW w:type="dxa" w:w="1440"/>
            <w:shd w:fill="1E3A8A"/>
            <w:tcMar>
              <w:top w:w="120" w:type="dxa"/>
              <w:bottom w:w="120" w:type="dxa"/>
              <w:left w:w="150" w:type="dxa"/>
              <w:right w:w="150" w:type="dxa"/>
            </w:tcMar>
          </w:tcPr>
          <w:p>
            <w:pPr>
              <w:jc w:val="center"/>
            </w:pPr>
            <w:r>
              <w:rPr>
                <w:rFonts w:ascii="Arial" w:hAnsi="Arial"/>
                <w:b/>
                <w:color w:val="FFFFFF"/>
                <w:sz w:val="19"/>
              </w:rPr>
              <w:t>Phase ID</w:t>
            </w:r>
          </w:p>
        </w:tc>
        <w:tc>
          <w:tcPr>
            <w:tcW w:type="dxa" w:w="4608"/>
            <w:shd w:fill="1E3A8A"/>
            <w:tcMar>
              <w:top w:w="120" w:type="dxa"/>
              <w:bottom w:w="120" w:type="dxa"/>
              <w:left w:w="150" w:type="dxa"/>
              <w:right w:w="150" w:type="dxa"/>
            </w:tcMar>
          </w:tcPr>
          <w:p>
            <w:pPr>
              <w:jc w:val="center"/>
            </w:pPr>
            <w:r>
              <w:rPr>
                <w:rFonts w:ascii="Arial" w:hAnsi="Arial"/>
                <w:b/>
                <w:color w:val="FFFFFF"/>
                <w:sz w:val="19"/>
              </w:rPr>
              <w:t>Project Phase / Deliverables</w:t>
            </w:r>
          </w:p>
        </w:tc>
        <w:tc>
          <w:tcPr>
            <w:tcW w:type="dxa" w:w="1872"/>
            <w:shd w:fill="1E3A8A"/>
            <w:tcMar>
              <w:top w:w="120" w:type="dxa"/>
              <w:bottom w:w="120" w:type="dxa"/>
              <w:left w:w="150" w:type="dxa"/>
              <w:right w:w="150" w:type="dxa"/>
            </w:tcMar>
          </w:tcPr>
          <w:p>
            <w:pPr>
              <w:jc w:val="center"/>
            </w:pPr>
            <w:r>
              <w:rPr>
                <w:rFonts w:ascii="Arial" w:hAnsi="Arial"/>
                <w:b/>
                <w:color w:val="FFFFFF"/>
                <w:sz w:val="19"/>
              </w:rPr>
              <w:t>Timeline</w:t>
            </w:r>
          </w:p>
        </w:tc>
        <w:tc>
          <w:tcPr>
            <w:tcW w:type="dxa" w:w="2160"/>
            <w:shd w:fill="1E3A8A"/>
            <w:tcMar>
              <w:top w:w="120" w:type="dxa"/>
              <w:bottom w:w="120" w:type="dxa"/>
              <w:left w:w="150" w:type="dxa"/>
              <w:right w:w="150" w:type="dxa"/>
            </w:tcMar>
          </w:tcPr>
          <w:p>
            <w:pPr>
              <w:jc w:val="center"/>
            </w:pPr>
            <w:r>
              <w:rPr>
                <w:rFonts w:ascii="Arial" w:hAnsi="Arial"/>
                <w:b/>
                <w:color w:val="FFFFFF"/>
                <w:sz w:val="19"/>
              </w:rPr>
              <w:t>Effort Breakdown</w:t>
            </w:r>
          </w:p>
        </w:tc>
      </w:tr>
      <w:tr>
        <w:tc>
          <w:tcPr>
            <w:tcW w:type="dxa" w:w="1440"/>
            <w:shd w:fill="FFFFFF"/>
            <w:tcMar>
              <w:top w:w="90" w:type="dxa"/>
              <w:bottom w:w="90" w:type="dxa"/>
              <w:left w:w="130" w:type="dxa"/>
              <w:right w:w="130" w:type="dxa"/>
            </w:tcMar>
          </w:tcPr>
          <w:p>
            <w:pPr>
              <w:jc w:val="center"/>
            </w:pPr>
            <w:r>
              <w:rPr>
                <w:rFonts w:ascii="Calibri" w:hAnsi="Calibri"/>
                <w:color w:val="0F172A"/>
                <w:sz w:val="19"/>
              </w:rPr>
              <w:t>PH-01</w:t>
            </w:r>
          </w:p>
        </w:tc>
        <w:tc>
          <w:tcPr>
            <w:tcW w:type="dxa" w:w="4608"/>
            <w:shd w:fill="FFFFFF"/>
            <w:tcMar>
              <w:top w:w="90" w:type="dxa"/>
              <w:bottom w:w="90" w:type="dxa"/>
              <w:left w:w="130" w:type="dxa"/>
              <w:right w:w="130" w:type="dxa"/>
            </w:tcMar>
          </w:tcPr>
          <w:p>
            <w:r>
              <w:rPr>
                <w:rFonts w:ascii="Calibri" w:hAnsi="Calibri"/>
                <w:color w:val="0F172A"/>
                <w:sz w:val="19"/>
              </w:rPr>
              <w:t>Requirements Engineering, Feasibility Study &amp; SRS Documentation</w:t>
            </w:r>
          </w:p>
        </w:tc>
        <w:tc>
          <w:tcPr>
            <w:tcW w:type="dxa" w:w="1872"/>
            <w:shd w:fill="FFFFFF"/>
            <w:tcMar>
              <w:top w:w="90" w:type="dxa"/>
              <w:bottom w:w="90" w:type="dxa"/>
              <w:left w:w="130" w:type="dxa"/>
              <w:right w:w="130" w:type="dxa"/>
            </w:tcMar>
          </w:tcPr>
          <w:p>
            <w:pPr>
              <w:jc w:val="center"/>
            </w:pPr>
            <w:r>
              <w:rPr>
                <w:rFonts w:ascii="Calibri" w:hAnsi="Calibri"/>
                <w:color w:val="0F172A"/>
                <w:sz w:val="19"/>
              </w:rPr>
              <w:t>Weeks 1 – 2</w:t>
            </w:r>
          </w:p>
        </w:tc>
        <w:tc>
          <w:tcPr>
            <w:tcW w:type="dxa" w:w="2160"/>
            <w:shd w:fill="FFFFFF"/>
            <w:tcMar>
              <w:top w:w="90" w:type="dxa"/>
              <w:bottom w:w="90" w:type="dxa"/>
              <w:left w:w="130" w:type="dxa"/>
              <w:right w:w="130" w:type="dxa"/>
            </w:tcMar>
          </w:tcPr>
          <w:p>
            <w:pPr>
              <w:jc w:val="center"/>
            </w:pPr>
            <w:r>
              <w:rPr>
                <w:rFonts w:ascii="Calibri" w:hAnsi="Calibri"/>
                <w:color w:val="0F172A"/>
                <w:sz w:val="19"/>
              </w:rPr>
              <w:t>12% of total effort</w:t>
            </w:r>
          </w:p>
        </w:tc>
      </w:tr>
      <w:tr>
        <w:tc>
          <w:tcPr>
            <w:tcW w:type="dxa" w:w="1440"/>
            <w:shd w:fill="F8FAFC"/>
            <w:tcMar>
              <w:top w:w="90" w:type="dxa"/>
              <w:bottom w:w="90" w:type="dxa"/>
              <w:left w:w="130" w:type="dxa"/>
              <w:right w:w="130" w:type="dxa"/>
            </w:tcMar>
          </w:tcPr>
          <w:p>
            <w:pPr>
              <w:jc w:val="center"/>
            </w:pPr>
            <w:r>
              <w:rPr>
                <w:rFonts w:ascii="Calibri" w:hAnsi="Calibri"/>
                <w:color w:val="0F172A"/>
                <w:sz w:val="19"/>
              </w:rPr>
              <w:t>PH-02</w:t>
            </w:r>
          </w:p>
        </w:tc>
        <w:tc>
          <w:tcPr>
            <w:tcW w:type="dxa" w:w="4608"/>
            <w:shd w:fill="F8FAFC"/>
            <w:tcMar>
              <w:top w:w="90" w:type="dxa"/>
              <w:bottom w:w="90" w:type="dxa"/>
              <w:left w:w="130" w:type="dxa"/>
              <w:right w:w="130" w:type="dxa"/>
            </w:tcMar>
          </w:tcPr>
          <w:p>
            <w:r>
              <w:rPr>
                <w:rFonts w:ascii="Calibri" w:hAnsi="Calibri"/>
                <w:color w:val="0F172A"/>
                <w:sz w:val="19"/>
              </w:rPr>
              <w:t>System Architecture, UML Diagramming (DFD, Class, State, Sequence)</w:t>
            </w:r>
          </w:p>
        </w:tc>
        <w:tc>
          <w:tcPr>
            <w:tcW w:type="dxa" w:w="1872"/>
            <w:shd w:fill="F8FAFC"/>
            <w:tcMar>
              <w:top w:w="90" w:type="dxa"/>
              <w:bottom w:w="90" w:type="dxa"/>
              <w:left w:w="130" w:type="dxa"/>
              <w:right w:w="130" w:type="dxa"/>
            </w:tcMar>
          </w:tcPr>
          <w:p>
            <w:pPr>
              <w:jc w:val="center"/>
            </w:pPr>
            <w:r>
              <w:rPr>
                <w:rFonts w:ascii="Calibri" w:hAnsi="Calibri"/>
                <w:color w:val="0F172A"/>
                <w:sz w:val="19"/>
              </w:rPr>
              <w:t>Weeks 3 – 5</w:t>
            </w:r>
          </w:p>
        </w:tc>
        <w:tc>
          <w:tcPr>
            <w:tcW w:type="dxa" w:w="2160"/>
            <w:shd w:fill="F8FAFC"/>
            <w:tcMar>
              <w:top w:w="90" w:type="dxa"/>
              <w:bottom w:w="90" w:type="dxa"/>
              <w:left w:w="130" w:type="dxa"/>
              <w:right w:w="130" w:type="dxa"/>
            </w:tcMar>
          </w:tcPr>
          <w:p>
            <w:pPr>
              <w:jc w:val="center"/>
            </w:pPr>
            <w:r>
              <w:rPr>
                <w:rFonts w:ascii="Calibri" w:hAnsi="Calibri"/>
                <w:color w:val="0F172A"/>
                <w:sz w:val="19"/>
              </w:rPr>
              <w:t>18% of total effort</w:t>
            </w:r>
          </w:p>
        </w:tc>
      </w:tr>
      <w:tr>
        <w:tc>
          <w:tcPr>
            <w:tcW w:type="dxa" w:w="1440"/>
            <w:shd w:fill="FFFFFF"/>
            <w:tcMar>
              <w:top w:w="90" w:type="dxa"/>
              <w:bottom w:w="90" w:type="dxa"/>
              <w:left w:w="130" w:type="dxa"/>
              <w:right w:w="130" w:type="dxa"/>
            </w:tcMar>
          </w:tcPr>
          <w:p>
            <w:pPr>
              <w:jc w:val="center"/>
            </w:pPr>
            <w:r>
              <w:rPr>
                <w:rFonts w:ascii="Calibri" w:hAnsi="Calibri"/>
                <w:color w:val="0F172A"/>
                <w:sz w:val="19"/>
              </w:rPr>
              <w:t>PH-03</w:t>
            </w:r>
          </w:p>
        </w:tc>
        <w:tc>
          <w:tcPr>
            <w:tcW w:type="dxa" w:w="4608"/>
            <w:shd w:fill="FFFFFF"/>
            <w:tcMar>
              <w:top w:w="90" w:type="dxa"/>
              <w:bottom w:w="90" w:type="dxa"/>
              <w:left w:w="130" w:type="dxa"/>
              <w:right w:w="130" w:type="dxa"/>
            </w:tcMar>
          </w:tcPr>
          <w:p>
            <w:r>
              <w:rPr>
                <w:rFonts w:ascii="Calibri" w:hAnsi="Calibri"/>
                <w:color w:val="0F172A"/>
                <w:sz w:val="19"/>
              </w:rPr>
              <w:t>Frontend Client Development (Portals, Glassmorphism CSS, Tracking UI)</w:t>
            </w:r>
          </w:p>
        </w:tc>
        <w:tc>
          <w:tcPr>
            <w:tcW w:type="dxa" w:w="1872"/>
            <w:shd w:fill="FFFFFF"/>
            <w:tcMar>
              <w:top w:w="90" w:type="dxa"/>
              <w:bottom w:w="90" w:type="dxa"/>
              <w:left w:w="130" w:type="dxa"/>
              <w:right w:w="130" w:type="dxa"/>
            </w:tcMar>
          </w:tcPr>
          <w:p>
            <w:pPr>
              <w:jc w:val="center"/>
            </w:pPr>
            <w:r>
              <w:rPr>
                <w:rFonts w:ascii="Calibri" w:hAnsi="Calibri"/>
                <w:color w:val="0F172A"/>
                <w:sz w:val="19"/>
              </w:rPr>
              <w:t>Weeks 5 – 8</w:t>
            </w:r>
          </w:p>
        </w:tc>
        <w:tc>
          <w:tcPr>
            <w:tcW w:type="dxa" w:w="2160"/>
            <w:shd w:fill="FFFFFF"/>
            <w:tcMar>
              <w:top w:w="90" w:type="dxa"/>
              <w:bottom w:w="90" w:type="dxa"/>
              <w:left w:w="130" w:type="dxa"/>
              <w:right w:w="130" w:type="dxa"/>
            </w:tcMar>
          </w:tcPr>
          <w:p>
            <w:pPr>
              <w:jc w:val="center"/>
            </w:pPr>
            <w:r>
              <w:rPr>
                <w:rFonts w:ascii="Calibri" w:hAnsi="Calibri"/>
                <w:color w:val="0F172A"/>
                <w:sz w:val="19"/>
              </w:rPr>
              <w:t>25% of total effort</w:t>
            </w:r>
          </w:p>
        </w:tc>
      </w:tr>
      <w:tr>
        <w:tc>
          <w:tcPr>
            <w:tcW w:type="dxa" w:w="1440"/>
            <w:shd w:fill="F8FAFC"/>
            <w:tcMar>
              <w:top w:w="90" w:type="dxa"/>
              <w:bottom w:w="90" w:type="dxa"/>
              <w:left w:w="130" w:type="dxa"/>
              <w:right w:w="130" w:type="dxa"/>
            </w:tcMar>
          </w:tcPr>
          <w:p>
            <w:pPr>
              <w:jc w:val="center"/>
            </w:pPr>
            <w:r>
              <w:rPr>
                <w:rFonts w:ascii="Calibri" w:hAnsi="Calibri"/>
                <w:color w:val="0F172A"/>
                <w:sz w:val="19"/>
              </w:rPr>
              <w:t>PH-04</w:t>
            </w:r>
          </w:p>
        </w:tc>
        <w:tc>
          <w:tcPr>
            <w:tcW w:type="dxa" w:w="4608"/>
            <w:shd w:fill="F8FAFC"/>
            <w:tcMar>
              <w:top w:w="90" w:type="dxa"/>
              <w:bottom w:w="90" w:type="dxa"/>
              <w:left w:w="130" w:type="dxa"/>
              <w:right w:w="130" w:type="dxa"/>
            </w:tcMar>
          </w:tcPr>
          <w:p>
            <w:r>
              <w:rPr>
                <w:rFonts w:ascii="Calibri" w:hAnsi="Calibri"/>
                <w:color w:val="0F172A"/>
                <w:sz w:val="19"/>
              </w:rPr>
              <w:t>Backend Engineering (Express 5 REST API, Dual-Mode DB, JWT Auth)</w:t>
            </w:r>
          </w:p>
        </w:tc>
        <w:tc>
          <w:tcPr>
            <w:tcW w:type="dxa" w:w="1872"/>
            <w:shd w:fill="F8FAFC"/>
            <w:tcMar>
              <w:top w:w="90" w:type="dxa"/>
              <w:bottom w:w="90" w:type="dxa"/>
              <w:left w:w="130" w:type="dxa"/>
              <w:right w:w="130" w:type="dxa"/>
            </w:tcMar>
          </w:tcPr>
          <w:p>
            <w:pPr>
              <w:jc w:val="center"/>
            </w:pPr>
            <w:r>
              <w:rPr>
                <w:rFonts w:ascii="Calibri" w:hAnsi="Calibri"/>
                <w:color w:val="0F172A"/>
                <w:sz w:val="19"/>
              </w:rPr>
              <w:t>Weeks 6 – 10</w:t>
            </w:r>
          </w:p>
        </w:tc>
        <w:tc>
          <w:tcPr>
            <w:tcW w:type="dxa" w:w="2160"/>
            <w:shd w:fill="F8FAFC"/>
            <w:tcMar>
              <w:top w:w="90" w:type="dxa"/>
              <w:bottom w:w="90" w:type="dxa"/>
              <w:left w:w="130" w:type="dxa"/>
              <w:right w:w="130" w:type="dxa"/>
            </w:tcMar>
          </w:tcPr>
          <w:p>
            <w:pPr>
              <w:jc w:val="center"/>
            </w:pPr>
            <w:r>
              <w:rPr>
                <w:rFonts w:ascii="Calibri" w:hAnsi="Calibri"/>
                <w:color w:val="0F172A"/>
                <w:sz w:val="19"/>
              </w:rPr>
              <w:t>25% of total effort</w:t>
            </w:r>
          </w:p>
        </w:tc>
      </w:tr>
      <w:tr>
        <w:tc>
          <w:tcPr>
            <w:tcW w:type="dxa" w:w="1440"/>
            <w:shd w:fill="FFFFFF"/>
            <w:tcMar>
              <w:top w:w="90" w:type="dxa"/>
              <w:bottom w:w="90" w:type="dxa"/>
              <w:left w:w="130" w:type="dxa"/>
              <w:right w:w="130" w:type="dxa"/>
            </w:tcMar>
          </w:tcPr>
          <w:p>
            <w:pPr>
              <w:jc w:val="center"/>
            </w:pPr>
            <w:r>
              <w:rPr>
                <w:rFonts w:ascii="Calibri" w:hAnsi="Calibri"/>
                <w:color w:val="0F172A"/>
                <w:sz w:val="19"/>
              </w:rPr>
              <w:t>PH-05</w:t>
            </w:r>
          </w:p>
        </w:tc>
        <w:tc>
          <w:tcPr>
            <w:tcW w:type="dxa" w:w="4608"/>
            <w:shd w:fill="FFFFFF"/>
            <w:tcMar>
              <w:top w:w="90" w:type="dxa"/>
              <w:bottom w:w="90" w:type="dxa"/>
              <w:left w:w="130" w:type="dxa"/>
              <w:right w:w="130" w:type="dxa"/>
            </w:tcMar>
          </w:tcPr>
          <w:p>
            <w:r>
              <w:rPr>
                <w:rFonts w:ascii="Calibri" w:hAnsi="Calibri"/>
                <w:color w:val="0F172A"/>
                <w:sz w:val="19"/>
              </w:rPr>
              <w:t>AMC Business Logic, Email Notifications &amp; SSE Streaming</w:t>
            </w:r>
          </w:p>
        </w:tc>
        <w:tc>
          <w:tcPr>
            <w:tcW w:type="dxa" w:w="1872"/>
            <w:shd w:fill="FFFFFF"/>
            <w:tcMar>
              <w:top w:w="90" w:type="dxa"/>
              <w:bottom w:w="90" w:type="dxa"/>
              <w:left w:w="130" w:type="dxa"/>
              <w:right w:w="130" w:type="dxa"/>
            </w:tcMar>
          </w:tcPr>
          <w:p>
            <w:pPr>
              <w:jc w:val="center"/>
            </w:pPr>
            <w:r>
              <w:rPr>
                <w:rFonts w:ascii="Calibri" w:hAnsi="Calibri"/>
                <w:color w:val="0F172A"/>
                <w:sz w:val="19"/>
              </w:rPr>
              <w:t>Weeks 9 – 12</w:t>
            </w:r>
          </w:p>
        </w:tc>
        <w:tc>
          <w:tcPr>
            <w:tcW w:type="dxa" w:w="2160"/>
            <w:shd w:fill="FFFFFF"/>
            <w:tcMar>
              <w:top w:w="90" w:type="dxa"/>
              <w:bottom w:w="90" w:type="dxa"/>
              <w:left w:w="130" w:type="dxa"/>
              <w:right w:w="130" w:type="dxa"/>
            </w:tcMar>
          </w:tcPr>
          <w:p>
            <w:pPr>
              <w:jc w:val="center"/>
            </w:pPr>
            <w:r>
              <w:rPr>
                <w:rFonts w:ascii="Calibri" w:hAnsi="Calibri"/>
                <w:color w:val="0F172A"/>
                <w:sz w:val="19"/>
              </w:rPr>
              <w:t>10% of total effort</w:t>
            </w:r>
          </w:p>
        </w:tc>
      </w:tr>
      <w:tr>
        <w:tc>
          <w:tcPr>
            <w:tcW w:type="dxa" w:w="1440"/>
            <w:shd w:fill="F8FAFC"/>
            <w:tcMar>
              <w:top w:w="90" w:type="dxa"/>
              <w:bottom w:w="90" w:type="dxa"/>
              <w:left w:w="130" w:type="dxa"/>
              <w:right w:w="130" w:type="dxa"/>
            </w:tcMar>
          </w:tcPr>
          <w:p>
            <w:pPr>
              <w:jc w:val="center"/>
            </w:pPr>
            <w:r>
              <w:rPr>
                <w:rFonts w:ascii="Calibri" w:hAnsi="Calibri"/>
                <w:color w:val="0F172A"/>
                <w:sz w:val="19"/>
              </w:rPr>
              <w:t>PH-06</w:t>
            </w:r>
          </w:p>
        </w:tc>
        <w:tc>
          <w:tcPr>
            <w:tcW w:type="dxa" w:w="4608"/>
            <w:shd w:fill="F8FAFC"/>
            <w:tcMar>
              <w:top w:w="90" w:type="dxa"/>
              <w:bottom w:w="90" w:type="dxa"/>
              <w:left w:w="130" w:type="dxa"/>
              <w:right w:w="130" w:type="dxa"/>
            </w:tcMar>
          </w:tcPr>
          <w:p>
            <w:r>
              <w:rPr>
                <w:rFonts w:ascii="Calibri" w:hAnsi="Calibri"/>
                <w:color w:val="0F172A"/>
                <w:sz w:val="19"/>
              </w:rPr>
              <w:t>Comprehensive Verification (Unit, Integration, Security, Cross-Device)</w:t>
            </w:r>
          </w:p>
        </w:tc>
        <w:tc>
          <w:tcPr>
            <w:tcW w:type="dxa" w:w="1872"/>
            <w:shd w:fill="F8FAFC"/>
            <w:tcMar>
              <w:top w:w="90" w:type="dxa"/>
              <w:bottom w:w="90" w:type="dxa"/>
              <w:left w:w="130" w:type="dxa"/>
              <w:right w:w="130" w:type="dxa"/>
            </w:tcMar>
          </w:tcPr>
          <w:p>
            <w:pPr>
              <w:jc w:val="center"/>
            </w:pPr>
            <w:r>
              <w:rPr>
                <w:rFonts w:ascii="Calibri" w:hAnsi="Calibri"/>
                <w:color w:val="0F172A"/>
                <w:sz w:val="19"/>
              </w:rPr>
              <w:t>Weeks 12 – 14</w:t>
            </w:r>
          </w:p>
        </w:tc>
        <w:tc>
          <w:tcPr>
            <w:tcW w:type="dxa" w:w="2160"/>
            <w:shd w:fill="F8FAFC"/>
            <w:tcMar>
              <w:top w:w="90" w:type="dxa"/>
              <w:bottom w:w="90" w:type="dxa"/>
              <w:left w:w="130" w:type="dxa"/>
              <w:right w:w="130" w:type="dxa"/>
            </w:tcMar>
          </w:tcPr>
          <w:p>
            <w:pPr>
              <w:jc w:val="center"/>
            </w:pPr>
            <w:r>
              <w:rPr>
                <w:rFonts w:ascii="Calibri" w:hAnsi="Calibri"/>
                <w:color w:val="0F172A"/>
                <w:sz w:val="19"/>
              </w:rPr>
              <w:t>6% of total effort</w:t>
            </w:r>
          </w:p>
        </w:tc>
      </w:tr>
      <w:tr>
        <w:tc>
          <w:tcPr>
            <w:tcW w:type="dxa" w:w="1440"/>
            <w:shd w:fill="FFFFFF"/>
            <w:tcMar>
              <w:top w:w="90" w:type="dxa"/>
              <w:bottom w:w="90" w:type="dxa"/>
              <w:left w:w="130" w:type="dxa"/>
              <w:right w:w="130" w:type="dxa"/>
            </w:tcMar>
          </w:tcPr>
          <w:p>
            <w:pPr>
              <w:jc w:val="center"/>
            </w:pPr>
            <w:r>
              <w:rPr>
                <w:rFonts w:ascii="Calibri" w:hAnsi="Calibri"/>
                <w:color w:val="0F172A"/>
                <w:sz w:val="19"/>
              </w:rPr>
              <w:t>PH-07</w:t>
            </w:r>
          </w:p>
        </w:tc>
        <w:tc>
          <w:tcPr>
            <w:tcW w:type="dxa" w:w="4608"/>
            <w:shd w:fill="FFFFFF"/>
            <w:tcMar>
              <w:top w:w="90" w:type="dxa"/>
              <w:bottom w:w="90" w:type="dxa"/>
              <w:left w:w="130" w:type="dxa"/>
              <w:right w:w="130" w:type="dxa"/>
            </w:tcMar>
          </w:tcPr>
          <w:p>
            <w:r>
              <w:rPr>
                <w:rFonts w:ascii="Calibri" w:hAnsi="Calibri"/>
                <w:color w:val="0F172A"/>
                <w:sz w:val="19"/>
              </w:rPr>
              <w:t>Production Staging, Performance Optimization &amp; Final Academic Review</w:t>
            </w:r>
          </w:p>
        </w:tc>
        <w:tc>
          <w:tcPr>
            <w:tcW w:type="dxa" w:w="1872"/>
            <w:shd w:fill="FFFFFF"/>
            <w:tcMar>
              <w:top w:w="90" w:type="dxa"/>
              <w:bottom w:w="90" w:type="dxa"/>
              <w:left w:w="130" w:type="dxa"/>
              <w:right w:w="130" w:type="dxa"/>
            </w:tcMar>
          </w:tcPr>
          <w:p>
            <w:pPr>
              <w:jc w:val="center"/>
            </w:pPr>
            <w:r>
              <w:rPr>
                <w:rFonts w:ascii="Calibri" w:hAnsi="Calibri"/>
                <w:color w:val="0F172A"/>
                <w:sz w:val="19"/>
              </w:rPr>
              <w:t>Weeks 15 – 16</w:t>
            </w:r>
          </w:p>
        </w:tc>
        <w:tc>
          <w:tcPr>
            <w:tcW w:type="dxa" w:w="2160"/>
            <w:shd w:fill="FFFFFF"/>
            <w:tcMar>
              <w:top w:w="90" w:type="dxa"/>
              <w:bottom w:w="90" w:type="dxa"/>
              <w:left w:w="130" w:type="dxa"/>
              <w:right w:w="130" w:type="dxa"/>
            </w:tcMar>
          </w:tcPr>
          <w:p>
            <w:pPr>
              <w:jc w:val="center"/>
            </w:pPr>
            <w:r>
              <w:rPr>
                <w:rFonts w:ascii="Calibri" w:hAnsi="Calibri"/>
                <w:color w:val="0F172A"/>
                <w:sz w:val="19"/>
              </w:rPr>
              <w:t>4% of total effort</w:t>
            </w:r>
          </w:p>
        </w:tc>
      </w:tr>
    </w:tbl>
    <w:p>
      <w:pPr>
        <w:spacing w:before="160" w:after="80"/>
        <w:jc w:val="center"/>
      </w:pPr>
      <w:r>
        <w:drawing>
          <wp:inline xmlns:a="http://schemas.openxmlformats.org/drawingml/2006/main" xmlns:pic="http://schemas.openxmlformats.org/drawingml/2006/picture">
            <wp:extent cx="5303520" cy="2897467"/>
            <wp:docPr id="18" name="Picture 18"/>
            <wp:cNvGraphicFramePr>
              <a:graphicFrameLocks noChangeAspect="1"/>
            </wp:cNvGraphicFramePr>
            <a:graphic>
              <a:graphicData uri="http://schemas.openxmlformats.org/drawingml/2006/picture">
                <pic:pic>
                  <pic:nvPicPr>
                    <pic:cNvPr id="0" name="img18_gantt_chart.png"/>
                    <pic:cNvPicPr/>
                  </pic:nvPicPr>
                  <pic:blipFill>
                    <a:blip r:embed="rId26"/>
                    <a:stretch>
                      <a:fillRect/>
                    </a:stretch>
                  </pic:blipFill>
                  <pic:spPr>
                    <a:xfrm>
                      <a:off x="0" y="0"/>
                      <a:ext cx="5303520" cy="2897467"/>
                    </a:xfrm>
                    <a:prstGeom prst="rect"/>
                  </pic:spPr>
                </pic:pic>
              </a:graphicData>
            </a:graphic>
          </wp:inline>
        </w:drawing>
      </w:r>
    </w:p>
    <w:p>
      <w:pPr>
        <w:spacing w:after="240"/>
        <w:jc w:val="center"/>
      </w:pPr>
      <w:r>
        <w:rPr>
          <w:rFonts w:ascii="Calibri" w:hAnsi="Calibri"/>
          <w:i/>
          <w:color w:val="475569"/>
          <w:sz w:val="19"/>
        </w:rPr>
        <w:t>Figure: 16-Week Project Gantt Chart Schedule</w:t>
      </w:r>
    </w:p>
    <w:p>
      <w:pPr>
        <w:spacing w:before="280" w:after="120"/>
      </w:pPr>
      <w:r>
        <w:rPr>
          <w:rFonts w:ascii="Arial" w:hAnsi="Arial"/>
          <w:b/>
          <w:color w:val="2563EB"/>
          <w:sz w:val="26"/>
        </w:rPr>
        <w:t>9.2 PERT / CPM Analysis</w:t>
      </w:r>
    </w:p>
    <w:p>
      <w:pPr>
        <w:spacing w:after="120" w:line="276" w:lineRule="auto"/>
      </w:pPr>
      <w:r>
        <w:rPr>
          <w:rFonts w:ascii="Calibri" w:hAnsi="Calibri"/>
          <w:b/>
          <w:color w:val="0F172A"/>
          <w:sz w:val="22"/>
        </w:rPr>
        <w:t xml:space="preserve">Critical Path Analysis: </w:t>
      </w:r>
      <w:r>
        <w:rPr>
          <w:rFonts w:ascii="Calibri" w:hAnsi="Calibri"/>
          <w:color w:val="0F172A"/>
          <w:sz w:val="22"/>
        </w:rPr>
        <w:t>Program Evaluation and Review Technique (PERT) and Critical Path Method (CPM) were utilized to calculate expected task durations (te = (to + 4tm + tp)/6) and determine the critical path of the project.</w:t>
      </w:r>
    </w:p>
    <w:tbl>
      <w:tblPr>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152"/>
            <w:shd w:fill="1E3A8A"/>
            <w:tcMar>
              <w:top w:w="120" w:type="dxa"/>
              <w:bottom w:w="120" w:type="dxa"/>
              <w:left w:w="150" w:type="dxa"/>
              <w:right w:w="150" w:type="dxa"/>
            </w:tcMar>
          </w:tcPr>
          <w:p>
            <w:pPr>
              <w:jc w:val="center"/>
            </w:pPr>
            <w:r>
              <w:rPr>
                <w:rFonts w:ascii="Arial" w:hAnsi="Arial"/>
                <w:b/>
                <w:color w:val="FFFFFF"/>
                <w:sz w:val="19"/>
              </w:rPr>
              <w:t>Activity</w:t>
            </w:r>
          </w:p>
        </w:tc>
        <w:tc>
          <w:tcPr>
            <w:tcW w:type="dxa" w:w="3600"/>
            <w:shd w:fill="1E3A8A"/>
            <w:tcMar>
              <w:top w:w="120" w:type="dxa"/>
              <w:bottom w:w="120" w:type="dxa"/>
              <w:left w:w="150" w:type="dxa"/>
              <w:right w:w="150" w:type="dxa"/>
            </w:tcMar>
          </w:tcPr>
          <w:p>
            <w:pPr>
              <w:jc w:val="center"/>
            </w:pPr>
            <w:r>
              <w:rPr>
                <w:rFonts w:ascii="Arial" w:hAnsi="Arial"/>
                <w:b/>
                <w:color w:val="FFFFFF"/>
                <w:sz w:val="19"/>
              </w:rPr>
              <w:t>Description</w:t>
            </w:r>
          </w:p>
        </w:tc>
        <w:tc>
          <w:tcPr>
            <w:tcW w:type="dxa" w:w="720"/>
            <w:shd w:fill="1E3A8A"/>
            <w:tcMar>
              <w:top w:w="120" w:type="dxa"/>
              <w:bottom w:w="120" w:type="dxa"/>
              <w:left w:w="150" w:type="dxa"/>
              <w:right w:w="150" w:type="dxa"/>
            </w:tcMar>
          </w:tcPr>
          <w:p>
            <w:pPr>
              <w:jc w:val="center"/>
            </w:pPr>
            <w:r>
              <w:rPr>
                <w:rFonts w:ascii="Arial" w:hAnsi="Arial"/>
                <w:b/>
                <w:color w:val="FFFFFF"/>
                <w:sz w:val="19"/>
              </w:rPr>
              <w:t>to</w:t>
            </w:r>
          </w:p>
        </w:tc>
        <w:tc>
          <w:tcPr>
            <w:tcW w:type="dxa" w:w="720"/>
            <w:shd w:fill="1E3A8A"/>
            <w:tcMar>
              <w:top w:w="120" w:type="dxa"/>
              <w:bottom w:w="120" w:type="dxa"/>
              <w:left w:w="150" w:type="dxa"/>
              <w:right w:w="150" w:type="dxa"/>
            </w:tcMar>
          </w:tcPr>
          <w:p>
            <w:pPr>
              <w:jc w:val="center"/>
            </w:pPr>
            <w:r>
              <w:rPr>
                <w:rFonts w:ascii="Arial" w:hAnsi="Arial"/>
                <w:b/>
                <w:color w:val="FFFFFF"/>
                <w:sz w:val="19"/>
              </w:rPr>
              <w:t>tm</w:t>
            </w:r>
          </w:p>
        </w:tc>
        <w:tc>
          <w:tcPr>
            <w:tcW w:type="dxa" w:w="720"/>
            <w:shd w:fill="1E3A8A"/>
            <w:tcMar>
              <w:top w:w="120" w:type="dxa"/>
              <w:bottom w:w="120" w:type="dxa"/>
              <w:left w:w="150" w:type="dxa"/>
              <w:right w:w="150" w:type="dxa"/>
            </w:tcMar>
          </w:tcPr>
          <w:p>
            <w:pPr>
              <w:jc w:val="center"/>
            </w:pPr>
            <w:r>
              <w:rPr>
                <w:rFonts w:ascii="Arial" w:hAnsi="Arial"/>
                <w:b/>
                <w:color w:val="FFFFFF"/>
                <w:sz w:val="19"/>
              </w:rPr>
              <w:t>tp</w:t>
            </w:r>
          </w:p>
        </w:tc>
        <w:tc>
          <w:tcPr>
            <w:tcW w:type="dxa" w:w="1296"/>
            <w:shd w:fill="1E3A8A"/>
            <w:tcMar>
              <w:top w:w="120" w:type="dxa"/>
              <w:bottom w:w="120" w:type="dxa"/>
              <w:left w:w="150" w:type="dxa"/>
              <w:right w:w="150" w:type="dxa"/>
            </w:tcMar>
          </w:tcPr>
          <w:p>
            <w:pPr>
              <w:jc w:val="center"/>
            </w:pPr>
            <w:r>
              <w:rPr>
                <w:rFonts w:ascii="Arial" w:hAnsi="Arial"/>
                <w:b/>
                <w:color w:val="FFFFFF"/>
                <w:sz w:val="19"/>
              </w:rPr>
              <w:t>te (Wks)</w:t>
            </w:r>
          </w:p>
        </w:tc>
        <w:tc>
          <w:tcPr>
            <w:tcW w:type="dxa" w:w="1152"/>
            <w:shd w:fill="1E3A8A"/>
            <w:tcMar>
              <w:top w:w="120" w:type="dxa"/>
              <w:bottom w:w="120" w:type="dxa"/>
              <w:left w:w="150" w:type="dxa"/>
              <w:right w:w="150" w:type="dxa"/>
            </w:tcMar>
          </w:tcPr>
          <w:p>
            <w:pPr>
              <w:jc w:val="center"/>
            </w:pPr>
            <w:r>
              <w:rPr>
                <w:rFonts w:ascii="Arial" w:hAnsi="Arial"/>
                <w:b/>
                <w:color w:val="FFFFFF"/>
                <w:sz w:val="19"/>
              </w:rPr>
              <w:t>Slack</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A</w:t>
            </w:r>
          </w:p>
        </w:tc>
        <w:tc>
          <w:tcPr>
            <w:tcW w:type="dxa" w:w="3600"/>
            <w:shd w:fill="FFFFFF"/>
            <w:tcMar>
              <w:top w:w="90" w:type="dxa"/>
              <w:bottom w:w="90" w:type="dxa"/>
              <w:left w:w="130" w:type="dxa"/>
              <w:right w:w="130" w:type="dxa"/>
            </w:tcMar>
          </w:tcPr>
          <w:p>
            <w:r>
              <w:rPr>
                <w:rFonts w:ascii="Calibri" w:hAnsi="Calibri"/>
                <w:color w:val="0F172A"/>
                <w:sz w:val="19"/>
              </w:rPr>
              <w:t>Problem Statement &amp; Requirements Elicitation</w:t>
            </w:r>
          </w:p>
        </w:tc>
        <w:tc>
          <w:tcPr>
            <w:tcW w:type="dxa" w:w="720"/>
            <w:shd w:fill="FFFFFF"/>
            <w:tcMar>
              <w:top w:w="90" w:type="dxa"/>
              <w:bottom w:w="90" w:type="dxa"/>
              <w:left w:w="130" w:type="dxa"/>
              <w:right w:w="130" w:type="dxa"/>
            </w:tcMar>
          </w:tcPr>
          <w:p>
            <w:pPr>
              <w:jc w:val="center"/>
            </w:pPr>
            <w:r>
              <w:rPr>
                <w:rFonts w:ascii="Calibri" w:hAnsi="Calibri"/>
                <w:color w:val="0F172A"/>
                <w:sz w:val="19"/>
              </w:rPr>
              <w:t>1.5</w:t>
            </w:r>
          </w:p>
        </w:tc>
        <w:tc>
          <w:tcPr>
            <w:tcW w:type="dxa" w:w="720"/>
            <w:shd w:fill="FFFFFF"/>
            <w:tcMar>
              <w:top w:w="90" w:type="dxa"/>
              <w:bottom w:w="90" w:type="dxa"/>
              <w:left w:w="130" w:type="dxa"/>
              <w:right w:w="130" w:type="dxa"/>
            </w:tcMar>
          </w:tcPr>
          <w:p>
            <w:pPr>
              <w:jc w:val="center"/>
            </w:pPr>
            <w:r>
              <w:rPr>
                <w:rFonts w:ascii="Calibri" w:hAnsi="Calibri"/>
                <w:color w:val="0F172A"/>
                <w:sz w:val="19"/>
              </w:rPr>
              <w:t>2.0</w:t>
            </w:r>
          </w:p>
        </w:tc>
        <w:tc>
          <w:tcPr>
            <w:tcW w:type="dxa" w:w="720"/>
            <w:shd w:fill="FFFFFF"/>
            <w:tcMar>
              <w:top w:w="90" w:type="dxa"/>
              <w:bottom w:w="90" w:type="dxa"/>
              <w:left w:w="130" w:type="dxa"/>
              <w:right w:w="130" w:type="dxa"/>
            </w:tcMar>
          </w:tcPr>
          <w:p>
            <w:r>
              <w:rPr>
                <w:rFonts w:ascii="Calibri" w:hAnsi="Calibri"/>
                <w:color w:val="0F172A"/>
                <w:sz w:val="19"/>
              </w:rPr>
              <w:t>3.0</w:t>
            </w:r>
          </w:p>
        </w:tc>
        <w:tc>
          <w:tcPr>
            <w:tcW w:type="dxa" w:w="1296"/>
            <w:shd w:fill="FFFFFF"/>
            <w:tcMar>
              <w:top w:w="90" w:type="dxa"/>
              <w:bottom w:w="90" w:type="dxa"/>
              <w:left w:w="130" w:type="dxa"/>
              <w:right w:w="130" w:type="dxa"/>
            </w:tcMar>
          </w:tcPr>
          <w:p>
            <w:r>
              <w:rPr>
                <w:rFonts w:ascii="Calibri" w:hAnsi="Calibri"/>
                <w:color w:val="0F172A"/>
                <w:sz w:val="19"/>
              </w:rPr>
              <w:t>2.08</w:t>
            </w:r>
          </w:p>
        </w:tc>
        <w:tc>
          <w:tcPr>
            <w:tcW w:type="dxa" w:w="1152"/>
            <w:shd w:fill="FFFFFF"/>
            <w:tcMar>
              <w:top w:w="90" w:type="dxa"/>
              <w:bottom w:w="90" w:type="dxa"/>
              <w:left w:w="130" w:type="dxa"/>
              <w:right w:w="130" w:type="dxa"/>
            </w:tcMar>
          </w:tcPr>
          <w:p>
            <w:r>
              <w:rPr>
                <w:rFonts w:ascii="Calibri" w:hAnsi="Calibri"/>
                <w:color w:val="0F172A"/>
                <w:sz w:val="19"/>
              </w:rPr>
              <w:t>0.0 (Critical)</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B</w:t>
            </w:r>
          </w:p>
        </w:tc>
        <w:tc>
          <w:tcPr>
            <w:tcW w:type="dxa" w:w="3600"/>
            <w:shd w:fill="F8FAFC"/>
            <w:tcMar>
              <w:top w:w="90" w:type="dxa"/>
              <w:bottom w:w="90" w:type="dxa"/>
              <w:left w:w="130" w:type="dxa"/>
              <w:right w:w="130" w:type="dxa"/>
            </w:tcMar>
          </w:tcPr>
          <w:p>
            <w:r>
              <w:rPr>
                <w:rFonts w:ascii="Calibri" w:hAnsi="Calibri"/>
                <w:color w:val="0F172A"/>
                <w:sz w:val="19"/>
              </w:rPr>
              <w:t>System Architecture &amp; UML Design</w:t>
            </w:r>
          </w:p>
        </w:tc>
        <w:tc>
          <w:tcPr>
            <w:tcW w:type="dxa" w:w="720"/>
            <w:shd w:fill="F8FAFC"/>
            <w:tcMar>
              <w:top w:w="90" w:type="dxa"/>
              <w:bottom w:w="90" w:type="dxa"/>
              <w:left w:w="130" w:type="dxa"/>
              <w:right w:w="130" w:type="dxa"/>
            </w:tcMar>
          </w:tcPr>
          <w:p>
            <w:pPr>
              <w:jc w:val="center"/>
            </w:pPr>
            <w:r>
              <w:rPr>
                <w:rFonts w:ascii="Calibri" w:hAnsi="Calibri"/>
                <w:color w:val="0F172A"/>
                <w:sz w:val="19"/>
              </w:rPr>
              <w:t>2.0</w:t>
            </w:r>
          </w:p>
        </w:tc>
        <w:tc>
          <w:tcPr>
            <w:tcW w:type="dxa" w:w="720"/>
            <w:shd w:fill="F8FAFC"/>
            <w:tcMar>
              <w:top w:w="90" w:type="dxa"/>
              <w:bottom w:w="90" w:type="dxa"/>
              <w:left w:w="130" w:type="dxa"/>
              <w:right w:w="130" w:type="dxa"/>
            </w:tcMar>
          </w:tcPr>
          <w:p>
            <w:pPr>
              <w:jc w:val="center"/>
            </w:pPr>
            <w:r>
              <w:rPr>
                <w:rFonts w:ascii="Calibri" w:hAnsi="Calibri"/>
                <w:color w:val="0F172A"/>
                <w:sz w:val="19"/>
              </w:rPr>
              <w:t>3.0</w:t>
            </w:r>
          </w:p>
        </w:tc>
        <w:tc>
          <w:tcPr>
            <w:tcW w:type="dxa" w:w="720"/>
            <w:shd w:fill="F8FAFC"/>
            <w:tcMar>
              <w:top w:w="90" w:type="dxa"/>
              <w:bottom w:w="90" w:type="dxa"/>
              <w:left w:w="130" w:type="dxa"/>
              <w:right w:w="130" w:type="dxa"/>
            </w:tcMar>
          </w:tcPr>
          <w:p>
            <w:r>
              <w:rPr>
                <w:rFonts w:ascii="Calibri" w:hAnsi="Calibri"/>
                <w:color w:val="0F172A"/>
                <w:sz w:val="19"/>
              </w:rPr>
              <w:t>4.0</w:t>
            </w:r>
          </w:p>
        </w:tc>
        <w:tc>
          <w:tcPr>
            <w:tcW w:type="dxa" w:w="1296"/>
            <w:shd w:fill="F8FAFC"/>
            <w:tcMar>
              <w:top w:w="90" w:type="dxa"/>
              <w:bottom w:w="90" w:type="dxa"/>
              <w:left w:w="130" w:type="dxa"/>
              <w:right w:w="130" w:type="dxa"/>
            </w:tcMar>
          </w:tcPr>
          <w:p>
            <w:r>
              <w:rPr>
                <w:rFonts w:ascii="Calibri" w:hAnsi="Calibri"/>
                <w:color w:val="0F172A"/>
                <w:sz w:val="19"/>
              </w:rPr>
              <w:t>3.00</w:t>
            </w:r>
          </w:p>
        </w:tc>
        <w:tc>
          <w:tcPr>
            <w:tcW w:type="dxa" w:w="1152"/>
            <w:shd w:fill="F8FAFC"/>
            <w:tcMar>
              <w:top w:w="90" w:type="dxa"/>
              <w:bottom w:w="90" w:type="dxa"/>
              <w:left w:w="130" w:type="dxa"/>
              <w:right w:w="130" w:type="dxa"/>
            </w:tcMar>
          </w:tcPr>
          <w:p>
            <w:r>
              <w:rPr>
                <w:rFonts w:ascii="Calibri" w:hAnsi="Calibri"/>
                <w:color w:val="0F172A"/>
                <w:sz w:val="19"/>
              </w:rPr>
              <w:t>0.0 (Critical)</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C</w:t>
            </w:r>
          </w:p>
        </w:tc>
        <w:tc>
          <w:tcPr>
            <w:tcW w:type="dxa" w:w="3600"/>
            <w:shd w:fill="FFFFFF"/>
            <w:tcMar>
              <w:top w:w="90" w:type="dxa"/>
              <w:bottom w:w="90" w:type="dxa"/>
              <w:left w:w="130" w:type="dxa"/>
              <w:right w:w="130" w:type="dxa"/>
            </w:tcMar>
          </w:tcPr>
          <w:p>
            <w:r>
              <w:rPr>
                <w:rFonts w:ascii="Calibri" w:hAnsi="Calibri"/>
                <w:color w:val="0F172A"/>
                <w:sz w:val="19"/>
              </w:rPr>
              <w:t>Backend REST Engine &amp; Dual-Mode DB</w:t>
            </w:r>
          </w:p>
        </w:tc>
        <w:tc>
          <w:tcPr>
            <w:tcW w:type="dxa" w:w="720"/>
            <w:shd w:fill="FFFFFF"/>
            <w:tcMar>
              <w:top w:w="90" w:type="dxa"/>
              <w:bottom w:w="90" w:type="dxa"/>
              <w:left w:w="130" w:type="dxa"/>
              <w:right w:w="130" w:type="dxa"/>
            </w:tcMar>
          </w:tcPr>
          <w:p>
            <w:pPr>
              <w:jc w:val="center"/>
            </w:pPr>
            <w:r>
              <w:rPr>
                <w:rFonts w:ascii="Calibri" w:hAnsi="Calibri"/>
                <w:color w:val="0F172A"/>
                <w:sz w:val="19"/>
              </w:rPr>
              <w:t>3.0</w:t>
            </w:r>
          </w:p>
        </w:tc>
        <w:tc>
          <w:tcPr>
            <w:tcW w:type="dxa" w:w="720"/>
            <w:shd w:fill="FFFFFF"/>
            <w:tcMar>
              <w:top w:w="90" w:type="dxa"/>
              <w:bottom w:w="90" w:type="dxa"/>
              <w:left w:w="130" w:type="dxa"/>
              <w:right w:w="130" w:type="dxa"/>
            </w:tcMar>
          </w:tcPr>
          <w:p>
            <w:pPr>
              <w:jc w:val="center"/>
            </w:pPr>
            <w:r>
              <w:rPr>
                <w:rFonts w:ascii="Calibri" w:hAnsi="Calibri"/>
                <w:color w:val="0F172A"/>
                <w:sz w:val="19"/>
              </w:rPr>
              <w:t>4.0</w:t>
            </w:r>
          </w:p>
        </w:tc>
        <w:tc>
          <w:tcPr>
            <w:tcW w:type="dxa" w:w="720"/>
            <w:shd w:fill="FFFFFF"/>
            <w:tcMar>
              <w:top w:w="90" w:type="dxa"/>
              <w:bottom w:w="90" w:type="dxa"/>
              <w:left w:w="130" w:type="dxa"/>
              <w:right w:w="130" w:type="dxa"/>
            </w:tcMar>
          </w:tcPr>
          <w:p>
            <w:r>
              <w:rPr>
                <w:rFonts w:ascii="Calibri" w:hAnsi="Calibri"/>
                <w:color w:val="0F172A"/>
                <w:sz w:val="19"/>
              </w:rPr>
              <w:t>6.0</w:t>
            </w:r>
          </w:p>
        </w:tc>
        <w:tc>
          <w:tcPr>
            <w:tcW w:type="dxa" w:w="1296"/>
            <w:shd w:fill="FFFFFF"/>
            <w:tcMar>
              <w:top w:w="90" w:type="dxa"/>
              <w:bottom w:w="90" w:type="dxa"/>
              <w:left w:w="130" w:type="dxa"/>
              <w:right w:w="130" w:type="dxa"/>
            </w:tcMar>
          </w:tcPr>
          <w:p>
            <w:r>
              <w:rPr>
                <w:rFonts w:ascii="Calibri" w:hAnsi="Calibri"/>
                <w:color w:val="0F172A"/>
                <w:sz w:val="19"/>
              </w:rPr>
              <w:t>4.17</w:t>
            </w:r>
          </w:p>
        </w:tc>
        <w:tc>
          <w:tcPr>
            <w:tcW w:type="dxa" w:w="1152"/>
            <w:shd w:fill="FFFFFF"/>
            <w:tcMar>
              <w:top w:w="90" w:type="dxa"/>
              <w:bottom w:w="90" w:type="dxa"/>
              <w:left w:w="130" w:type="dxa"/>
              <w:right w:w="130" w:type="dxa"/>
            </w:tcMar>
          </w:tcPr>
          <w:p>
            <w:r>
              <w:rPr>
                <w:rFonts w:ascii="Calibri" w:hAnsi="Calibri"/>
                <w:color w:val="0F172A"/>
                <w:sz w:val="19"/>
              </w:rPr>
              <w:t>0.0 (Critical)</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D</w:t>
            </w:r>
          </w:p>
        </w:tc>
        <w:tc>
          <w:tcPr>
            <w:tcW w:type="dxa" w:w="3600"/>
            <w:shd w:fill="F8FAFC"/>
            <w:tcMar>
              <w:top w:w="90" w:type="dxa"/>
              <w:bottom w:w="90" w:type="dxa"/>
              <w:left w:w="130" w:type="dxa"/>
              <w:right w:w="130" w:type="dxa"/>
            </w:tcMar>
          </w:tcPr>
          <w:p>
            <w:r>
              <w:rPr>
                <w:rFonts w:ascii="Calibri" w:hAnsi="Calibri"/>
                <w:color w:val="0F172A"/>
                <w:sz w:val="19"/>
              </w:rPr>
              <w:t>Frontend User Interface &amp; Dashboards</w:t>
            </w:r>
          </w:p>
        </w:tc>
        <w:tc>
          <w:tcPr>
            <w:tcW w:type="dxa" w:w="720"/>
            <w:shd w:fill="F8FAFC"/>
            <w:tcMar>
              <w:top w:w="90" w:type="dxa"/>
              <w:bottom w:w="90" w:type="dxa"/>
              <w:left w:w="130" w:type="dxa"/>
              <w:right w:w="130" w:type="dxa"/>
            </w:tcMar>
          </w:tcPr>
          <w:p>
            <w:pPr>
              <w:jc w:val="center"/>
            </w:pPr>
            <w:r>
              <w:rPr>
                <w:rFonts w:ascii="Calibri" w:hAnsi="Calibri"/>
                <w:color w:val="0F172A"/>
                <w:sz w:val="19"/>
              </w:rPr>
              <w:t>3.0</w:t>
            </w:r>
          </w:p>
        </w:tc>
        <w:tc>
          <w:tcPr>
            <w:tcW w:type="dxa" w:w="720"/>
            <w:shd w:fill="F8FAFC"/>
            <w:tcMar>
              <w:top w:w="90" w:type="dxa"/>
              <w:bottom w:w="90" w:type="dxa"/>
              <w:left w:w="130" w:type="dxa"/>
              <w:right w:w="130" w:type="dxa"/>
            </w:tcMar>
          </w:tcPr>
          <w:p>
            <w:pPr>
              <w:jc w:val="center"/>
            </w:pPr>
            <w:r>
              <w:rPr>
                <w:rFonts w:ascii="Calibri" w:hAnsi="Calibri"/>
                <w:color w:val="0F172A"/>
                <w:sz w:val="19"/>
              </w:rPr>
              <w:t>4.0</w:t>
            </w:r>
          </w:p>
        </w:tc>
        <w:tc>
          <w:tcPr>
            <w:tcW w:type="dxa" w:w="720"/>
            <w:shd w:fill="F8FAFC"/>
            <w:tcMar>
              <w:top w:w="90" w:type="dxa"/>
              <w:bottom w:w="90" w:type="dxa"/>
              <w:left w:w="130" w:type="dxa"/>
              <w:right w:w="130" w:type="dxa"/>
            </w:tcMar>
          </w:tcPr>
          <w:p>
            <w:r>
              <w:rPr>
                <w:rFonts w:ascii="Calibri" w:hAnsi="Calibri"/>
                <w:color w:val="0F172A"/>
                <w:sz w:val="19"/>
              </w:rPr>
              <w:t>5.0</w:t>
            </w:r>
          </w:p>
        </w:tc>
        <w:tc>
          <w:tcPr>
            <w:tcW w:type="dxa" w:w="1296"/>
            <w:shd w:fill="F8FAFC"/>
            <w:tcMar>
              <w:top w:w="90" w:type="dxa"/>
              <w:bottom w:w="90" w:type="dxa"/>
              <w:left w:w="130" w:type="dxa"/>
              <w:right w:w="130" w:type="dxa"/>
            </w:tcMar>
          </w:tcPr>
          <w:p>
            <w:r>
              <w:rPr>
                <w:rFonts w:ascii="Calibri" w:hAnsi="Calibri"/>
                <w:color w:val="0F172A"/>
                <w:sz w:val="19"/>
              </w:rPr>
              <w:t>4.00</w:t>
            </w:r>
          </w:p>
        </w:tc>
        <w:tc>
          <w:tcPr>
            <w:tcW w:type="dxa" w:w="1152"/>
            <w:shd w:fill="F8FAFC"/>
            <w:tcMar>
              <w:top w:w="90" w:type="dxa"/>
              <w:bottom w:w="90" w:type="dxa"/>
              <w:left w:w="130" w:type="dxa"/>
              <w:right w:w="130" w:type="dxa"/>
            </w:tcMar>
          </w:tcPr>
          <w:p>
            <w:r>
              <w:rPr>
                <w:rFonts w:ascii="Calibri" w:hAnsi="Calibri"/>
                <w:color w:val="0F172A"/>
                <w:sz w:val="19"/>
              </w:rPr>
              <w:t>0.17 (Non-Critical)</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E</w:t>
            </w:r>
          </w:p>
        </w:tc>
        <w:tc>
          <w:tcPr>
            <w:tcW w:type="dxa" w:w="3600"/>
            <w:shd w:fill="FFFFFF"/>
            <w:tcMar>
              <w:top w:w="90" w:type="dxa"/>
              <w:bottom w:w="90" w:type="dxa"/>
              <w:left w:w="130" w:type="dxa"/>
              <w:right w:w="130" w:type="dxa"/>
            </w:tcMar>
          </w:tcPr>
          <w:p>
            <w:r>
              <w:rPr>
                <w:rFonts w:ascii="Calibri" w:hAnsi="Calibri"/>
                <w:color w:val="0F172A"/>
                <w:sz w:val="19"/>
              </w:rPr>
              <w:t>Comprehensive Testing &amp; Quality Assurance</w:t>
            </w:r>
          </w:p>
        </w:tc>
        <w:tc>
          <w:tcPr>
            <w:tcW w:type="dxa" w:w="720"/>
            <w:shd w:fill="FFFFFF"/>
            <w:tcMar>
              <w:top w:w="90" w:type="dxa"/>
              <w:bottom w:w="90" w:type="dxa"/>
              <w:left w:w="130" w:type="dxa"/>
              <w:right w:w="130" w:type="dxa"/>
            </w:tcMar>
          </w:tcPr>
          <w:p>
            <w:pPr>
              <w:jc w:val="center"/>
            </w:pPr>
            <w:r>
              <w:rPr>
                <w:rFonts w:ascii="Calibri" w:hAnsi="Calibri"/>
                <w:color w:val="0F172A"/>
                <w:sz w:val="19"/>
              </w:rPr>
              <w:t>2.0</w:t>
            </w:r>
          </w:p>
        </w:tc>
        <w:tc>
          <w:tcPr>
            <w:tcW w:type="dxa" w:w="720"/>
            <w:shd w:fill="FFFFFF"/>
            <w:tcMar>
              <w:top w:w="90" w:type="dxa"/>
              <w:bottom w:w="90" w:type="dxa"/>
              <w:left w:w="130" w:type="dxa"/>
              <w:right w:w="130" w:type="dxa"/>
            </w:tcMar>
          </w:tcPr>
          <w:p>
            <w:pPr>
              <w:jc w:val="center"/>
            </w:pPr>
            <w:r>
              <w:rPr>
                <w:rFonts w:ascii="Calibri" w:hAnsi="Calibri"/>
                <w:color w:val="0F172A"/>
                <w:sz w:val="19"/>
              </w:rPr>
              <w:t>3.0</w:t>
            </w:r>
          </w:p>
        </w:tc>
        <w:tc>
          <w:tcPr>
            <w:tcW w:type="dxa" w:w="720"/>
            <w:shd w:fill="FFFFFF"/>
            <w:tcMar>
              <w:top w:w="90" w:type="dxa"/>
              <w:bottom w:w="90" w:type="dxa"/>
              <w:left w:w="130" w:type="dxa"/>
              <w:right w:w="130" w:type="dxa"/>
            </w:tcMar>
          </w:tcPr>
          <w:p>
            <w:r>
              <w:rPr>
                <w:rFonts w:ascii="Calibri" w:hAnsi="Calibri"/>
                <w:color w:val="0F172A"/>
                <w:sz w:val="19"/>
              </w:rPr>
              <w:t>4.0</w:t>
            </w:r>
          </w:p>
        </w:tc>
        <w:tc>
          <w:tcPr>
            <w:tcW w:type="dxa" w:w="1296"/>
            <w:shd w:fill="FFFFFF"/>
            <w:tcMar>
              <w:top w:w="90" w:type="dxa"/>
              <w:bottom w:w="90" w:type="dxa"/>
              <w:left w:w="130" w:type="dxa"/>
              <w:right w:w="130" w:type="dxa"/>
            </w:tcMar>
          </w:tcPr>
          <w:p>
            <w:r>
              <w:rPr>
                <w:rFonts w:ascii="Calibri" w:hAnsi="Calibri"/>
                <w:color w:val="0F172A"/>
                <w:sz w:val="19"/>
              </w:rPr>
              <w:t>3.00</w:t>
            </w:r>
          </w:p>
        </w:tc>
        <w:tc>
          <w:tcPr>
            <w:tcW w:type="dxa" w:w="1152"/>
            <w:shd w:fill="FFFFFF"/>
            <w:tcMar>
              <w:top w:w="90" w:type="dxa"/>
              <w:bottom w:w="90" w:type="dxa"/>
              <w:left w:w="130" w:type="dxa"/>
              <w:right w:w="130" w:type="dxa"/>
            </w:tcMar>
          </w:tcPr>
          <w:p>
            <w:r>
              <w:rPr>
                <w:rFonts w:ascii="Calibri" w:hAnsi="Calibri"/>
                <w:color w:val="0F172A"/>
                <w:sz w:val="19"/>
              </w:rPr>
              <w:t>0.0 (Critical)</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F</w:t>
            </w:r>
          </w:p>
        </w:tc>
        <w:tc>
          <w:tcPr>
            <w:tcW w:type="dxa" w:w="3600"/>
            <w:shd w:fill="F8FAFC"/>
            <w:tcMar>
              <w:top w:w="90" w:type="dxa"/>
              <w:bottom w:w="90" w:type="dxa"/>
              <w:left w:w="130" w:type="dxa"/>
              <w:right w:w="130" w:type="dxa"/>
            </w:tcMar>
          </w:tcPr>
          <w:p>
            <w:r>
              <w:rPr>
                <w:rFonts w:ascii="Calibri" w:hAnsi="Calibri"/>
                <w:color w:val="0F172A"/>
                <w:sz w:val="19"/>
              </w:rPr>
              <w:t>Cloud Deployment &amp; Academic Documentation</w:t>
            </w:r>
          </w:p>
        </w:tc>
        <w:tc>
          <w:tcPr>
            <w:tcW w:type="dxa" w:w="720"/>
            <w:shd w:fill="F8FAFC"/>
            <w:tcMar>
              <w:top w:w="90" w:type="dxa"/>
              <w:bottom w:w="90" w:type="dxa"/>
              <w:left w:w="130" w:type="dxa"/>
              <w:right w:w="130" w:type="dxa"/>
            </w:tcMar>
          </w:tcPr>
          <w:p>
            <w:pPr>
              <w:jc w:val="center"/>
            </w:pPr>
            <w:r>
              <w:rPr>
                <w:rFonts w:ascii="Calibri" w:hAnsi="Calibri"/>
                <w:color w:val="0F172A"/>
                <w:sz w:val="19"/>
              </w:rPr>
              <w:t>1.5</w:t>
            </w:r>
          </w:p>
        </w:tc>
        <w:tc>
          <w:tcPr>
            <w:tcW w:type="dxa" w:w="720"/>
            <w:shd w:fill="F8FAFC"/>
            <w:tcMar>
              <w:top w:w="90" w:type="dxa"/>
              <w:bottom w:w="90" w:type="dxa"/>
              <w:left w:w="130" w:type="dxa"/>
              <w:right w:w="130" w:type="dxa"/>
            </w:tcMar>
          </w:tcPr>
          <w:p>
            <w:pPr>
              <w:jc w:val="center"/>
            </w:pPr>
            <w:r>
              <w:rPr>
                <w:rFonts w:ascii="Calibri" w:hAnsi="Calibri"/>
                <w:color w:val="0F172A"/>
                <w:sz w:val="19"/>
              </w:rPr>
              <w:t>2.0</w:t>
            </w:r>
          </w:p>
        </w:tc>
        <w:tc>
          <w:tcPr>
            <w:tcW w:type="dxa" w:w="720"/>
            <w:shd w:fill="F8FAFC"/>
            <w:tcMar>
              <w:top w:w="90" w:type="dxa"/>
              <w:bottom w:w="90" w:type="dxa"/>
              <w:left w:w="130" w:type="dxa"/>
              <w:right w:w="130" w:type="dxa"/>
            </w:tcMar>
          </w:tcPr>
          <w:p>
            <w:r>
              <w:rPr>
                <w:rFonts w:ascii="Calibri" w:hAnsi="Calibri"/>
                <w:color w:val="0F172A"/>
                <w:sz w:val="19"/>
              </w:rPr>
              <w:t>3.0</w:t>
            </w:r>
          </w:p>
        </w:tc>
        <w:tc>
          <w:tcPr>
            <w:tcW w:type="dxa" w:w="1296"/>
            <w:shd w:fill="F8FAFC"/>
            <w:tcMar>
              <w:top w:w="90" w:type="dxa"/>
              <w:bottom w:w="90" w:type="dxa"/>
              <w:left w:w="130" w:type="dxa"/>
              <w:right w:w="130" w:type="dxa"/>
            </w:tcMar>
          </w:tcPr>
          <w:p>
            <w:r>
              <w:rPr>
                <w:rFonts w:ascii="Calibri" w:hAnsi="Calibri"/>
                <w:color w:val="0F172A"/>
                <w:sz w:val="19"/>
              </w:rPr>
              <w:t>2.08</w:t>
            </w:r>
          </w:p>
        </w:tc>
        <w:tc>
          <w:tcPr>
            <w:tcW w:type="dxa" w:w="1152"/>
            <w:shd w:fill="F8FAFC"/>
            <w:tcMar>
              <w:top w:w="90" w:type="dxa"/>
              <w:bottom w:w="90" w:type="dxa"/>
              <w:left w:w="130" w:type="dxa"/>
              <w:right w:w="130" w:type="dxa"/>
            </w:tcMar>
          </w:tcPr>
          <w:p>
            <w:r>
              <w:rPr>
                <w:rFonts w:ascii="Calibri" w:hAnsi="Calibri"/>
                <w:color w:val="0F172A"/>
                <w:sz w:val="19"/>
              </w:rPr>
              <w:t>0.0 (Critical)</w:t>
            </w:r>
          </w:p>
        </w:tc>
      </w:tr>
    </w:tbl>
    <w:p>
      <w:pPr>
        <w:spacing w:after="120" w:line="276" w:lineRule="auto"/>
      </w:pPr>
      <w:r>
        <w:rPr>
          <w:rFonts w:ascii="Calibri" w:hAnsi="Calibri"/>
          <w:b/>
          <w:color w:val="0F172A"/>
          <w:sz w:val="22"/>
        </w:rPr>
        <w:t xml:space="preserve">Calculated Path: </w:t>
      </w:r>
      <w:r>
        <w:rPr>
          <w:rFonts w:ascii="Calibri" w:hAnsi="Calibri"/>
          <w:color w:val="0F172A"/>
          <w:sz w:val="22"/>
        </w:rPr>
        <w:t>Critical Path: Activity A → Activity B → Activity C → Activity E → Activity F (Total Duration = 16.33 Weeks ≈ 16 Weeks)</w:t>
      </w:r>
    </w:p>
    <w:p>
      <w:pPr>
        <w:spacing w:before="160" w:after="80"/>
        <w:jc w:val="center"/>
      </w:pPr>
      <w:r>
        <w:drawing>
          <wp:inline xmlns:a="http://schemas.openxmlformats.org/drawingml/2006/main" xmlns:pic="http://schemas.openxmlformats.org/drawingml/2006/picture">
            <wp:extent cx="5303520" cy="2624975"/>
            <wp:docPr id="19" name="Picture 19"/>
            <wp:cNvGraphicFramePr>
              <a:graphicFrameLocks noChangeAspect="1"/>
            </wp:cNvGraphicFramePr>
            <a:graphic>
              <a:graphicData uri="http://schemas.openxmlformats.org/drawingml/2006/picture">
                <pic:pic>
                  <pic:nvPicPr>
                    <pic:cNvPr id="0" name="img19_pert_chart.png"/>
                    <pic:cNvPicPr/>
                  </pic:nvPicPr>
                  <pic:blipFill>
                    <a:blip r:embed="rId27"/>
                    <a:stretch>
                      <a:fillRect/>
                    </a:stretch>
                  </pic:blipFill>
                  <pic:spPr>
                    <a:xfrm>
                      <a:off x="0" y="0"/>
                      <a:ext cx="5303520" cy="2624975"/>
                    </a:xfrm>
                    <a:prstGeom prst="rect"/>
                  </pic:spPr>
                </pic:pic>
              </a:graphicData>
            </a:graphic>
          </wp:inline>
        </w:drawing>
      </w:r>
    </w:p>
    <w:p>
      <w:pPr>
        <w:spacing w:after="240"/>
        <w:jc w:val="center"/>
      </w:pPr>
      <w:r>
        <w:rPr>
          <w:rFonts w:ascii="Calibri" w:hAnsi="Calibri"/>
          <w:i/>
          <w:color w:val="475569"/>
          <w:sz w:val="19"/>
        </w:rPr>
        <w:t>Figure: PERT Network &amp; Critical Path Method</w:t>
      </w:r>
    </w:p>
    <w:p>
      <w:r>
        <w:br w:type="page"/>
      </w:r>
    </w:p>
    <w:p>
      <w:pPr>
        <w:spacing w:before="360" w:after="160"/>
      </w:pPr>
      <w:r>
        <w:rPr>
          <w:rFonts w:ascii="Arial" w:hAnsi="Arial"/>
          <w:b/>
          <w:color w:val="1E3A8A"/>
          <w:sz w:val="32"/>
        </w:rPr>
        <w:t>10. TESTING STRATEGY &amp; COMPREHENSIVE TEST CASES</w:t>
      </w:r>
    </w:p>
    <w:p>
      <w:pPr>
        <w:spacing w:before="280" w:after="120"/>
      </w:pPr>
      <w:r>
        <w:rPr>
          <w:rFonts w:ascii="Arial" w:hAnsi="Arial"/>
          <w:b/>
          <w:color w:val="2563EB"/>
          <w:sz w:val="26"/>
        </w:rPr>
        <w:t>10.1 Testing Strategy</w:t>
      </w:r>
    </w:p>
    <w:p>
      <w:pPr>
        <w:spacing w:after="120" w:line="276" w:lineRule="auto"/>
      </w:pPr>
      <w:r>
        <w:rPr>
          <w:rFonts w:ascii="Calibri" w:hAnsi="Calibri"/>
          <w:b/>
          <w:color w:val="0F172A"/>
          <w:sz w:val="22"/>
        </w:rPr>
        <w:t xml:space="preserve">Verification Methodology: </w:t>
      </w:r>
      <w:r>
        <w:rPr>
          <w:rFonts w:ascii="Calibri" w:hAnsi="Calibri"/>
          <w:color w:val="0F172A"/>
          <w:sz w:val="22"/>
        </w:rPr>
        <w:t>A rigorous, multi-tiered testing strategy was adopted adhering to standard V-Model verification principles. Testing encompassed Unit Testing (White-Box code level verification), Integration Testing (Black-Box interface flow), Boundary Value Analysis, Security Vulnerability Testing, and Cross-Device Usability Testing.</w:t>
      </w:r>
    </w:p>
    <w:p>
      <w:pPr>
        <w:spacing w:before="280" w:after="120"/>
      </w:pPr>
      <w:r>
        <w:rPr>
          <w:rFonts w:ascii="Arial" w:hAnsi="Arial"/>
          <w:b/>
          <w:color w:val="2563EB"/>
          <w:sz w:val="26"/>
        </w:rPr>
        <w:t>10.2 Unit Test Cases (White-Box Testing)</w:t>
      </w:r>
    </w:p>
    <w:tbl>
      <w:tblPr>
        <w:tblW w:type="auto" w:w="0"/>
        <w:jc w:val="center"/>
        <w:tblLook w:firstColumn="1" w:firstRow="1" w:lastColumn="0" w:lastRow="0" w:noHBand="0" w:noVBand="1" w:val="04A0"/>
      </w:tblPr>
      <w:tblGrid>
        <w:gridCol w:w="2340"/>
        <w:gridCol w:w="2340"/>
        <w:gridCol w:w="2340"/>
        <w:gridCol w:w="2340"/>
      </w:tblGrid>
      <w:tr>
        <w:tc>
          <w:tcPr>
            <w:tcW w:type="dxa" w:w="1152"/>
            <w:shd w:fill="1E3A8A"/>
            <w:tcMar>
              <w:top w:w="120" w:type="dxa"/>
              <w:bottom w:w="120" w:type="dxa"/>
              <w:left w:w="150" w:type="dxa"/>
              <w:right w:w="150" w:type="dxa"/>
            </w:tcMar>
          </w:tcPr>
          <w:p>
            <w:pPr>
              <w:jc w:val="center"/>
            </w:pPr>
            <w:r>
              <w:rPr>
                <w:rFonts w:ascii="Arial" w:hAnsi="Arial"/>
                <w:b/>
                <w:color w:val="FFFFFF"/>
                <w:sz w:val="19"/>
              </w:rPr>
              <w:t>Test ID</w:t>
            </w:r>
          </w:p>
        </w:tc>
        <w:tc>
          <w:tcPr>
            <w:tcW w:type="dxa" w:w="3600"/>
            <w:shd w:fill="1E3A8A"/>
            <w:tcMar>
              <w:top w:w="120" w:type="dxa"/>
              <w:bottom w:w="120" w:type="dxa"/>
              <w:left w:w="150" w:type="dxa"/>
              <w:right w:w="150" w:type="dxa"/>
            </w:tcMar>
          </w:tcPr>
          <w:p>
            <w:pPr>
              <w:jc w:val="center"/>
            </w:pPr>
            <w:r>
              <w:rPr>
                <w:rFonts w:ascii="Arial" w:hAnsi="Arial"/>
                <w:b/>
                <w:color w:val="FFFFFF"/>
                <w:sz w:val="19"/>
              </w:rPr>
              <w:t>Target Component / Logic</w:t>
            </w:r>
          </w:p>
        </w:tc>
        <w:tc>
          <w:tcPr>
            <w:tcW w:type="dxa" w:w="3888"/>
            <w:shd w:fill="1E3A8A"/>
            <w:tcMar>
              <w:top w:w="120" w:type="dxa"/>
              <w:bottom w:w="120" w:type="dxa"/>
              <w:left w:w="150" w:type="dxa"/>
              <w:right w:w="150" w:type="dxa"/>
            </w:tcMar>
          </w:tcPr>
          <w:p>
            <w:pPr>
              <w:jc w:val="center"/>
            </w:pPr>
            <w:r>
              <w:rPr>
                <w:rFonts w:ascii="Arial" w:hAnsi="Arial"/>
                <w:b/>
                <w:color w:val="FFFFFF"/>
                <w:sz w:val="19"/>
              </w:rPr>
              <w:t>Expected Outcome</w:t>
            </w:r>
          </w:p>
        </w:tc>
        <w:tc>
          <w:tcPr>
            <w:tcW w:type="dxa" w:w="864"/>
            <w:shd w:fill="1E3A8A"/>
            <w:tcMar>
              <w:top w:w="120" w:type="dxa"/>
              <w:bottom w:w="120" w:type="dxa"/>
              <w:left w:w="150" w:type="dxa"/>
              <w:right w:w="150" w:type="dxa"/>
            </w:tcMar>
          </w:tcPr>
          <w:p>
            <w:pPr>
              <w:jc w:val="center"/>
            </w:pPr>
            <w:r>
              <w:rPr>
                <w:rFonts w:ascii="Arial" w:hAnsi="Arial"/>
                <w:b/>
                <w:color w:val="FFFFFF"/>
                <w:sz w:val="19"/>
              </w:rPr>
              <w:t>Status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UT-01</w:t>
            </w:r>
          </w:p>
        </w:tc>
        <w:tc>
          <w:tcPr>
            <w:tcW w:type="dxa" w:w="3600"/>
            <w:shd w:fill="FFFFFF"/>
            <w:tcMar>
              <w:top w:w="90" w:type="dxa"/>
              <w:bottom w:w="90" w:type="dxa"/>
              <w:left w:w="130" w:type="dxa"/>
              <w:right w:w="130" w:type="dxa"/>
            </w:tcMar>
          </w:tcPr>
          <w:p>
            <w:r>
              <w:rPr>
                <w:rFonts w:ascii="Calibri" w:hAnsi="Calibri"/>
                <w:color w:val="0F172A"/>
                <w:sz w:val="19"/>
              </w:rPr>
              <w:t>Bcrypt Password Hashing &amp; Salt Verification</w:t>
            </w:r>
          </w:p>
        </w:tc>
        <w:tc>
          <w:tcPr>
            <w:tcW w:type="dxa" w:w="3888"/>
            <w:shd w:fill="FFFFFF"/>
            <w:tcMar>
              <w:top w:w="90" w:type="dxa"/>
              <w:bottom w:w="90" w:type="dxa"/>
              <w:left w:w="130" w:type="dxa"/>
              <w:right w:w="130" w:type="dxa"/>
            </w:tcMar>
          </w:tcPr>
          <w:p>
            <w:r>
              <w:rPr>
                <w:rFonts w:ascii="Calibri" w:hAnsi="Calibri"/>
                <w:color w:val="0F172A"/>
                <w:sz w:val="19"/>
              </w:rPr>
              <w:t>Correct comparison of plain password against hashed string in DB</w:t>
            </w:r>
          </w:p>
        </w:tc>
        <w:tc>
          <w:tcPr>
            <w:tcW w:type="dxa" w:w="864"/>
            <w:shd w:fill="FFFFFF"/>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UT-02</w:t>
            </w:r>
          </w:p>
        </w:tc>
        <w:tc>
          <w:tcPr>
            <w:tcW w:type="dxa" w:w="3600"/>
            <w:shd w:fill="F8FAFC"/>
            <w:tcMar>
              <w:top w:w="90" w:type="dxa"/>
              <w:bottom w:w="90" w:type="dxa"/>
              <w:left w:w="130" w:type="dxa"/>
              <w:right w:w="130" w:type="dxa"/>
            </w:tcMar>
          </w:tcPr>
          <w:p>
            <w:r>
              <w:rPr>
                <w:rFonts w:ascii="Calibri" w:hAnsi="Calibri"/>
                <w:color w:val="0F172A"/>
                <w:sz w:val="19"/>
              </w:rPr>
              <w:t>JWT Token Signing &amp; Role Claim Payload</w:t>
            </w:r>
          </w:p>
        </w:tc>
        <w:tc>
          <w:tcPr>
            <w:tcW w:type="dxa" w:w="3888"/>
            <w:shd w:fill="F8FAFC"/>
            <w:tcMar>
              <w:top w:w="90" w:type="dxa"/>
              <w:bottom w:w="90" w:type="dxa"/>
              <w:left w:w="130" w:type="dxa"/>
              <w:right w:w="130" w:type="dxa"/>
            </w:tcMar>
          </w:tcPr>
          <w:p>
            <w:r>
              <w:rPr>
                <w:rFonts w:ascii="Calibri" w:hAnsi="Calibri"/>
                <w:color w:val="0F172A"/>
                <w:sz w:val="19"/>
              </w:rPr>
              <w:t>Generated token decodes with correct role and 24-hour expiration</w:t>
            </w:r>
          </w:p>
        </w:tc>
        <w:tc>
          <w:tcPr>
            <w:tcW w:type="dxa" w:w="864"/>
            <w:shd w:fill="F8FAFC"/>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UT-03</w:t>
            </w:r>
          </w:p>
        </w:tc>
        <w:tc>
          <w:tcPr>
            <w:tcW w:type="dxa" w:w="3600"/>
            <w:shd w:fill="FFFFFF"/>
            <w:tcMar>
              <w:top w:w="90" w:type="dxa"/>
              <w:bottom w:w="90" w:type="dxa"/>
              <w:left w:w="130" w:type="dxa"/>
              <w:right w:w="130" w:type="dxa"/>
            </w:tcMar>
          </w:tcPr>
          <w:p>
            <w:r>
              <w:rPr>
                <w:rFonts w:ascii="Calibri" w:hAnsi="Calibri"/>
                <w:color w:val="0F172A"/>
                <w:sz w:val="19"/>
              </w:rPr>
              <w:t>Auto-Generate Ticket ID (AC-XXXX)</w:t>
            </w:r>
          </w:p>
        </w:tc>
        <w:tc>
          <w:tcPr>
            <w:tcW w:type="dxa" w:w="3888"/>
            <w:shd w:fill="FFFFFF"/>
            <w:tcMar>
              <w:top w:w="90" w:type="dxa"/>
              <w:bottom w:w="90" w:type="dxa"/>
              <w:left w:w="130" w:type="dxa"/>
              <w:right w:w="130" w:type="dxa"/>
            </w:tcMar>
          </w:tcPr>
          <w:p>
            <w:r>
              <w:rPr>
                <w:rFonts w:ascii="Calibri" w:hAnsi="Calibri"/>
                <w:color w:val="0F172A"/>
                <w:sz w:val="19"/>
              </w:rPr>
              <w:t>Generates string prefixed with 'AC-' followed by 4-digit number</w:t>
            </w:r>
          </w:p>
        </w:tc>
        <w:tc>
          <w:tcPr>
            <w:tcW w:type="dxa" w:w="864"/>
            <w:shd w:fill="FFFFFF"/>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UT-04</w:t>
            </w:r>
          </w:p>
        </w:tc>
        <w:tc>
          <w:tcPr>
            <w:tcW w:type="dxa" w:w="3600"/>
            <w:shd w:fill="F8FAFC"/>
            <w:tcMar>
              <w:top w:w="90" w:type="dxa"/>
              <w:bottom w:w="90" w:type="dxa"/>
              <w:left w:w="130" w:type="dxa"/>
              <w:right w:w="130" w:type="dxa"/>
            </w:tcMar>
          </w:tcPr>
          <w:p>
            <w:r>
              <w:rPr>
                <w:rFonts w:ascii="Calibri" w:hAnsi="Calibri"/>
                <w:color w:val="0F172A"/>
                <w:sz w:val="19"/>
              </w:rPr>
              <w:t>AMC Auto-Deduction Math Logic</w:t>
            </w:r>
          </w:p>
        </w:tc>
        <w:tc>
          <w:tcPr>
            <w:tcW w:type="dxa" w:w="3888"/>
            <w:shd w:fill="F8FAFC"/>
            <w:tcMar>
              <w:top w:w="90" w:type="dxa"/>
              <w:bottom w:w="90" w:type="dxa"/>
              <w:left w:w="130" w:type="dxa"/>
              <w:right w:w="130" w:type="dxa"/>
            </w:tcMar>
          </w:tcPr>
          <w:p>
            <w:r>
              <w:rPr>
                <w:rFonts w:ascii="Calibri" w:hAnsi="Calibri"/>
                <w:color w:val="0F172A"/>
                <w:sz w:val="19"/>
              </w:rPr>
              <w:t>Active AMC contract decrement remaining_services by exactly 1</w:t>
            </w:r>
          </w:p>
        </w:tc>
        <w:tc>
          <w:tcPr>
            <w:tcW w:type="dxa" w:w="864"/>
            <w:shd w:fill="F8FAFC"/>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UT-05</w:t>
            </w:r>
          </w:p>
        </w:tc>
        <w:tc>
          <w:tcPr>
            <w:tcW w:type="dxa" w:w="3600"/>
            <w:shd w:fill="FFFFFF"/>
            <w:tcMar>
              <w:top w:w="90" w:type="dxa"/>
              <w:bottom w:w="90" w:type="dxa"/>
              <w:left w:w="130" w:type="dxa"/>
              <w:right w:w="130" w:type="dxa"/>
            </w:tcMar>
          </w:tcPr>
          <w:p>
            <w:r>
              <w:rPr>
                <w:rFonts w:ascii="Calibri" w:hAnsi="Calibri"/>
                <w:color w:val="0F172A"/>
                <w:sz w:val="19"/>
              </w:rPr>
              <w:t>Technician Active Job Counter Calculation</w:t>
            </w:r>
          </w:p>
        </w:tc>
        <w:tc>
          <w:tcPr>
            <w:tcW w:type="dxa" w:w="3888"/>
            <w:shd w:fill="FFFFFF"/>
            <w:tcMar>
              <w:top w:w="90" w:type="dxa"/>
              <w:bottom w:w="90" w:type="dxa"/>
              <w:left w:w="130" w:type="dxa"/>
              <w:right w:w="130" w:type="dxa"/>
            </w:tcMar>
          </w:tcPr>
          <w:p>
            <w:r>
              <w:rPr>
                <w:rFonts w:ascii="Calibri" w:hAnsi="Calibri"/>
                <w:color w:val="0F172A"/>
                <w:sz w:val="19"/>
              </w:rPr>
              <w:t>Active count matches jobs in 'Assigned' and 'In Progress' states</w:t>
            </w:r>
          </w:p>
        </w:tc>
        <w:tc>
          <w:tcPr>
            <w:tcW w:type="dxa" w:w="864"/>
            <w:shd w:fill="FFFFFF"/>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UT-06</w:t>
            </w:r>
          </w:p>
        </w:tc>
        <w:tc>
          <w:tcPr>
            <w:tcW w:type="dxa" w:w="3600"/>
            <w:shd w:fill="F8FAFC"/>
            <w:tcMar>
              <w:top w:w="90" w:type="dxa"/>
              <w:bottom w:w="90" w:type="dxa"/>
              <w:left w:w="130" w:type="dxa"/>
              <w:right w:w="130" w:type="dxa"/>
            </w:tcMar>
          </w:tcPr>
          <w:p>
            <w:r>
              <w:rPr>
                <w:rFonts w:ascii="Calibri" w:hAnsi="Calibri"/>
                <w:color w:val="0F172A"/>
                <w:sz w:val="19"/>
              </w:rPr>
              <w:t>Chart.js Financial Aggregator Formula</w:t>
            </w:r>
          </w:p>
        </w:tc>
        <w:tc>
          <w:tcPr>
            <w:tcW w:type="dxa" w:w="3888"/>
            <w:shd w:fill="F8FAFC"/>
            <w:tcMar>
              <w:top w:w="90" w:type="dxa"/>
              <w:bottom w:w="90" w:type="dxa"/>
              <w:left w:w="130" w:type="dxa"/>
              <w:right w:w="130" w:type="dxa"/>
            </w:tcMar>
          </w:tcPr>
          <w:p>
            <w:r>
              <w:rPr>
                <w:rFonts w:ascii="Calibri" w:hAnsi="Calibri"/>
                <w:color w:val="0F172A"/>
                <w:sz w:val="19"/>
              </w:rPr>
              <w:t>Correctly computes (Completed × ₹1500) + (AMC × ₹2400) + baseline</w:t>
            </w:r>
          </w:p>
        </w:tc>
        <w:tc>
          <w:tcPr>
            <w:tcW w:type="dxa" w:w="864"/>
            <w:shd w:fill="F8FAFC"/>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UT-07</w:t>
            </w:r>
          </w:p>
        </w:tc>
        <w:tc>
          <w:tcPr>
            <w:tcW w:type="dxa" w:w="3600"/>
            <w:shd w:fill="FFFFFF"/>
            <w:tcMar>
              <w:top w:w="90" w:type="dxa"/>
              <w:bottom w:w="90" w:type="dxa"/>
              <w:left w:w="130" w:type="dxa"/>
              <w:right w:w="130" w:type="dxa"/>
            </w:tcMar>
          </w:tcPr>
          <w:p>
            <w:r>
              <w:rPr>
                <w:rFonts w:ascii="Calibri" w:hAnsi="Calibri"/>
                <w:color w:val="0F172A"/>
                <w:sz w:val="19"/>
              </w:rPr>
              <w:t>Dual-Mode DB Fallback Switch</w:t>
            </w:r>
          </w:p>
        </w:tc>
        <w:tc>
          <w:tcPr>
            <w:tcW w:type="dxa" w:w="3888"/>
            <w:shd w:fill="FFFFFF"/>
            <w:tcMar>
              <w:top w:w="90" w:type="dxa"/>
              <w:bottom w:w="90" w:type="dxa"/>
              <w:left w:w="130" w:type="dxa"/>
              <w:right w:w="130" w:type="dxa"/>
            </w:tcMar>
          </w:tcPr>
          <w:p>
            <w:r>
              <w:rPr>
                <w:rFonts w:ascii="Calibri" w:hAnsi="Calibri"/>
                <w:color w:val="0F172A"/>
                <w:sz w:val="19"/>
              </w:rPr>
              <w:t>Seamlessly routes queries to memory store when Firebase config absent</w:t>
            </w:r>
          </w:p>
        </w:tc>
        <w:tc>
          <w:tcPr>
            <w:tcW w:type="dxa" w:w="864"/>
            <w:shd w:fill="FFFFFF"/>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UT-08</w:t>
            </w:r>
          </w:p>
        </w:tc>
        <w:tc>
          <w:tcPr>
            <w:tcW w:type="dxa" w:w="3600"/>
            <w:shd w:fill="F8FAFC"/>
            <w:tcMar>
              <w:top w:w="90" w:type="dxa"/>
              <w:bottom w:w="90" w:type="dxa"/>
              <w:left w:w="130" w:type="dxa"/>
              <w:right w:w="130" w:type="dxa"/>
            </w:tcMar>
          </w:tcPr>
          <w:p>
            <w:r>
              <w:rPr>
                <w:rFonts w:ascii="Calibri" w:hAnsi="Calibri"/>
                <w:color w:val="0F172A"/>
                <w:sz w:val="19"/>
              </w:rPr>
              <w:t>Product Catalog Category Filter Logic</w:t>
            </w:r>
          </w:p>
        </w:tc>
        <w:tc>
          <w:tcPr>
            <w:tcW w:type="dxa" w:w="3888"/>
            <w:shd w:fill="F8FAFC"/>
            <w:tcMar>
              <w:top w:w="90" w:type="dxa"/>
              <w:bottom w:w="90" w:type="dxa"/>
              <w:left w:w="130" w:type="dxa"/>
              <w:right w:w="130" w:type="dxa"/>
            </w:tcMar>
          </w:tcPr>
          <w:p>
            <w:r>
              <w:rPr>
                <w:rFonts w:ascii="Calibri" w:hAnsi="Calibri"/>
                <w:color w:val="0F172A"/>
                <w:sz w:val="19"/>
              </w:rPr>
              <w:t>Filters products strictly by 'new_ac', 'used_ac', or 'spare_part'</w:t>
            </w:r>
          </w:p>
        </w:tc>
        <w:tc>
          <w:tcPr>
            <w:tcW w:type="dxa" w:w="864"/>
            <w:shd w:fill="F8FAFC"/>
            <w:tcMar>
              <w:top w:w="90" w:type="dxa"/>
              <w:bottom w:w="90" w:type="dxa"/>
              <w:left w:w="130" w:type="dxa"/>
              <w:right w:w="130" w:type="dxa"/>
            </w:tcMar>
          </w:tcPr>
          <w:p>
            <w:pPr>
              <w:jc w:val="center"/>
            </w:pPr>
            <w:r>
              <w:rPr>
                <w:rFonts w:ascii="Calibri" w:hAnsi="Calibri"/>
                <w:color w:val="0F172A"/>
                <w:sz w:val="19"/>
              </w:rPr>
              <w:t>Pass</w:t>
            </w:r>
          </w:p>
        </w:tc>
      </w:tr>
    </w:tbl>
    <w:p>
      <w:pPr>
        <w:spacing w:before="280" w:after="120"/>
      </w:pPr>
      <w:r>
        <w:rPr>
          <w:rFonts w:ascii="Arial" w:hAnsi="Arial"/>
          <w:b/>
          <w:color w:val="2563EB"/>
          <w:sz w:val="26"/>
        </w:rPr>
        <w:t>10.3 Integration Test Cases (Black-Box Testing)</w:t>
      </w:r>
    </w:p>
    <w:tbl>
      <w:tblPr>
        <w:tblW w:type="auto" w:w="0"/>
        <w:jc w:val="center"/>
        <w:tblLook w:firstColumn="1" w:firstRow="1" w:lastColumn="0" w:lastRow="0" w:noHBand="0" w:noVBand="1" w:val="04A0"/>
      </w:tblPr>
      <w:tblGrid>
        <w:gridCol w:w="2340"/>
        <w:gridCol w:w="2340"/>
        <w:gridCol w:w="2340"/>
        <w:gridCol w:w="2340"/>
      </w:tblGrid>
      <w:tr>
        <w:tc>
          <w:tcPr>
            <w:tcW w:type="dxa" w:w="1152"/>
            <w:shd w:fill="1E3A8A"/>
            <w:tcMar>
              <w:top w:w="120" w:type="dxa"/>
              <w:bottom w:w="120" w:type="dxa"/>
              <w:left w:w="150" w:type="dxa"/>
              <w:right w:w="150" w:type="dxa"/>
            </w:tcMar>
          </w:tcPr>
          <w:p>
            <w:pPr>
              <w:jc w:val="center"/>
            </w:pPr>
            <w:r>
              <w:rPr>
                <w:rFonts w:ascii="Arial" w:hAnsi="Arial"/>
                <w:b/>
                <w:color w:val="FFFFFF"/>
                <w:sz w:val="19"/>
              </w:rPr>
              <w:t>Test ID</w:t>
            </w:r>
          </w:p>
        </w:tc>
        <w:tc>
          <w:tcPr>
            <w:tcW w:type="dxa" w:w="3744"/>
            <w:shd w:fill="1E3A8A"/>
            <w:tcMar>
              <w:top w:w="120" w:type="dxa"/>
              <w:bottom w:w="120" w:type="dxa"/>
              <w:left w:w="150" w:type="dxa"/>
              <w:right w:w="150" w:type="dxa"/>
            </w:tcMar>
          </w:tcPr>
          <w:p>
            <w:pPr>
              <w:jc w:val="center"/>
            </w:pPr>
            <w:r>
              <w:rPr>
                <w:rFonts w:ascii="Arial" w:hAnsi="Arial"/>
                <w:b/>
                <w:color w:val="FFFFFF"/>
                <w:sz w:val="19"/>
              </w:rPr>
              <w:t>Integration Scenario</w:t>
            </w:r>
          </w:p>
        </w:tc>
        <w:tc>
          <w:tcPr>
            <w:tcW w:type="dxa" w:w="3744"/>
            <w:shd w:fill="1E3A8A"/>
            <w:tcMar>
              <w:top w:w="120" w:type="dxa"/>
              <w:bottom w:w="120" w:type="dxa"/>
              <w:left w:w="150" w:type="dxa"/>
              <w:right w:w="150" w:type="dxa"/>
            </w:tcMar>
          </w:tcPr>
          <w:p>
            <w:pPr>
              <w:jc w:val="center"/>
            </w:pPr>
            <w:r>
              <w:rPr>
                <w:rFonts w:ascii="Arial" w:hAnsi="Arial"/>
                <w:b/>
                <w:color w:val="FFFFFF"/>
                <w:sz w:val="19"/>
              </w:rPr>
              <w:t>Expected Outcome</w:t>
            </w:r>
          </w:p>
        </w:tc>
        <w:tc>
          <w:tcPr>
            <w:tcW w:type="dxa" w:w="864"/>
            <w:shd w:fill="1E3A8A"/>
            <w:tcMar>
              <w:top w:w="120" w:type="dxa"/>
              <w:bottom w:w="120" w:type="dxa"/>
              <w:left w:w="150" w:type="dxa"/>
              <w:right w:w="150" w:type="dxa"/>
            </w:tcMar>
          </w:tcPr>
          <w:p>
            <w:pPr>
              <w:jc w:val="center"/>
            </w:pPr>
            <w:r>
              <w:rPr>
                <w:rFonts w:ascii="Arial" w:hAnsi="Arial"/>
                <w:b/>
                <w:color w:val="FFFFFF"/>
                <w:sz w:val="19"/>
              </w:rPr>
              <w:t>Status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IT-01</w:t>
            </w:r>
          </w:p>
        </w:tc>
        <w:tc>
          <w:tcPr>
            <w:tcW w:type="dxa" w:w="3744"/>
            <w:shd w:fill="FFFFFF"/>
            <w:tcMar>
              <w:top w:w="90" w:type="dxa"/>
              <w:bottom w:w="90" w:type="dxa"/>
              <w:left w:w="130" w:type="dxa"/>
              <w:right w:w="130" w:type="dxa"/>
            </w:tcMar>
          </w:tcPr>
          <w:p>
            <w:r>
              <w:rPr>
                <w:rFonts w:ascii="Calibri" w:hAnsi="Calibri"/>
                <w:color w:val="0F172A"/>
                <w:sz w:val="19"/>
              </w:rPr>
              <w:t>Customer Booking → Database Storage → Email Dispatch</w:t>
            </w:r>
          </w:p>
        </w:tc>
        <w:tc>
          <w:tcPr>
            <w:tcW w:type="dxa" w:w="3744"/>
            <w:shd w:fill="FFFFFF"/>
            <w:tcMar>
              <w:top w:w="90" w:type="dxa"/>
              <w:bottom w:w="90" w:type="dxa"/>
              <w:left w:w="130" w:type="dxa"/>
              <w:right w:w="130" w:type="dxa"/>
            </w:tcMar>
          </w:tcPr>
          <w:p>
            <w:r>
              <w:rPr>
                <w:rFonts w:ascii="Calibri" w:hAnsi="Calibri"/>
                <w:color w:val="0F172A"/>
                <w:sz w:val="19"/>
              </w:rPr>
              <w:t>Ticket written to DB, SendGrid dispatches confirmation email</w:t>
            </w:r>
          </w:p>
        </w:tc>
        <w:tc>
          <w:tcPr>
            <w:tcW w:type="dxa" w:w="864"/>
            <w:shd w:fill="FFFFFF"/>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IT-02</w:t>
            </w:r>
          </w:p>
        </w:tc>
        <w:tc>
          <w:tcPr>
            <w:tcW w:type="dxa" w:w="3744"/>
            <w:shd w:fill="F8FAFC"/>
            <w:tcMar>
              <w:top w:w="90" w:type="dxa"/>
              <w:bottom w:w="90" w:type="dxa"/>
              <w:left w:w="130" w:type="dxa"/>
              <w:right w:w="130" w:type="dxa"/>
            </w:tcMar>
          </w:tcPr>
          <w:p>
            <w:r>
              <w:rPr>
                <w:rFonts w:ascii="Calibri" w:hAnsi="Calibri"/>
                <w:color w:val="0F172A"/>
                <w:sz w:val="19"/>
              </w:rPr>
              <w:t>Booking with Active AMC Phone → Balance Update</w:t>
            </w:r>
          </w:p>
        </w:tc>
        <w:tc>
          <w:tcPr>
            <w:tcW w:type="dxa" w:w="3744"/>
            <w:shd w:fill="F8FAFC"/>
            <w:tcMar>
              <w:top w:w="90" w:type="dxa"/>
              <w:bottom w:w="90" w:type="dxa"/>
              <w:left w:w="130" w:type="dxa"/>
              <w:right w:w="130" w:type="dxa"/>
            </w:tcMar>
          </w:tcPr>
          <w:p>
            <w:r>
              <w:rPr>
                <w:rFonts w:ascii="Calibri" w:hAnsi="Calibri"/>
                <w:color w:val="0F172A"/>
                <w:sz w:val="19"/>
              </w:rPr>
              <w:t>Ticket tagged '[✅ AMC Covered]', customer_amc balance decremented</w:t>
            </w:r>
          </w:p>
        </w:tc>
        <w:tc>
          <w:tcPr>
            <w:tcW w:type="dxa" w:w="864"/>
            <w:shd w:fill="F8FAFC"/>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IT-03</w:t>
            </w:r>
          </w:p>
        </w:tc>
        <w:tc>
          <w:tcPr>
            <w:tcW w:type="dxa" w:w="3744"/>
            <w:shd w:fill="FFFFFF"/>
            <w:tcMar>
              <w:top w:w="90" w:type="dxa"/>
              <w:bottom w:w="90" w:type="dxa"/>
              <w:left w:w="130" w:type="dxa"/>
              <w:right w:w="130" w:type="dxa"/>
            </w:tcMar>
          </w:tcPr>
          <w:p>
            <w:r>
              <w:rPr>
                <w:rFonts w:ascii="Calibri" w:hAnsi="Calibri"/>
                <w:color w:val="0F172A"/>
                <w:sz w:val="19"/>
              </w:rPr>
              <w:t>Admin Assign Technician → Tech Job Board Refresh</w:t>
            </w:r>
          </w:p>
        </w:tc>
        <w:tc>
          <w:tcPr>
            <w:tcW w:type="dxa" w:w="3744"/>
            <w:shd w:fill="FFFFFF"/>
            <w:tcMar>
              <w:top w:w="90" w:type="dxa"/>
              <w:bottom w:w="90" w:type="dxa"/>
              <w:left w:w="130" w:type="dxa"/>
              <w:right w:w="130" w:type="dxa"/>
            </w:tcMar>
          </w:tcPr>
          <w:p>
            <w:r>
              <w:rPr>
                <w:rFonts w:ascii="Calibri" w:hAnsi="Calibri"/>
                <w:color w:val="0F172A"/>
                <w:sz w:val="19"/>
              </w:rPr>
              <w:t>Job immediately visible on technician.html with customer address</w:t>
            </w:r>
          </w:p>
        </w:tc>
        <w:tc>
          <w:tcPr>
            <w:tcW w:type="dxa" w:w="864"/>
            <w:shd w:fill="FFFFFF"/>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IT-04</w:t>
            </w:r>
          </w:p>
        </w:tc>
        <w:tc>
          <w:tcPr>
            <w:tcW w:type="dxa" w:w="3744"/>
            <w:shd w:fill="F8FAFC"/>
            <w:tcMar>
              <w:top w:w="90" w:type="dxa"/>
              <w:bottom w:w="90" w:type="dxa"/>
              <w:left w:w="130" w:type="dxa"/>
              <w:right w:w="130" w:type="dxa"/>
            </w:tcMar>
          </w:tcPr>
          <w:p>
            <w:r>
              <w:rPr>
                <w:rFonts w:ascii="Calibri" w:hAnsi="Calibri"/>
                <w:color w:val="0F172A"/>
                <w:sz w:val="19"/>
              </w:rPr>
              <w:t>Tech Status Update ('In Progress') → Live Tracker Update</w:t>
            </w:r>
          </w:p>
        </w:tc>
        <w:tc>
          <w:tcPr>
            <w:tcW w:type="dxa" w:w="3744"/>
            <w:shd w:fill="F8FAFC"/>
            <w:tcMar>
              <w:top w:w="90" w:type="dxa"/>
              <w:bottom w:w="90" w:type="dxa"/>
              <w:left w:w="130" w:type="dxa"/>
              <w:right w:w="130" w:type="dxa"/>
            </w:tcMar>
          </w:tcPr>
          <w:p>
            <w:r>
              <w:rPr>
                <w:rFonts w:ascii="Calibri" w:hAnsi="Calibri"/>
                <w:color w:val="0F172A"/>
                <w:sz w:val="19"/>
              </w:rPr>
              <w:t>Customer status.html reflects change via REST/SSE without reload</w:t>
            </w:r>
          </w:p>
        </w:tc>
        <w:tc>
          <w:tcPr>
            <w:tcW w:type="dxa" w:w="864"/>
            <w:shd w:fill="F8FAFC"/>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IT-05</w:t>
            </w:r>
          </w:p>
        </w:tc>
        <w:tc>
          <w:tcPr>
            <w:tcW w:type="dxa" w:w="3744"/>
            <w:shd w:fill="FFFFFF"/>
            <w:tcMar>
              <w:top w:w="90" w:type="dxa"/>
              <w:bottom w:w="90" w:type="dxa"/>
              <w:left w:w="130" w:type="dxa"/>
              <w:right w:w="130" w:type="dxa"/>
            </w:tcMar>
          </w:tcPr>
          <w:p>
            <w:r>
              <w:rPr>
                <w:rFonts w:ascii="Calibri" w:hAnsi="Calibri"/>
                <w:color w:val="0F172A"/>
                <w:sz w:val="19"/>
              </w:rPr>
              <w:t>Customer AMC Purchase Request → Admin Activation</w:t>
            </w:r>
          </w:p>
        </w:tc>
        <w:tc>
          <w:tcPr>
            <w:tcW w:type="dxa" w:w="3744"/>
            <w:shd w:fill="FFFFFF"/>
            <w:tcMar>
              <w:top w:w="90" w:type="dxa"/>
              <w:bottom w:w="90" w:type="dxa"/>
              <w:left w:w="130" w:type="dxa"/>
              <w:right w:w="130" w:type="dxa"/>
            </w:tcMar>
          </w:tcPr>
          <w:p>
            <w:r>
              <w:rPr>
                <w:rFonts w:ascii="Calibri" w:hAnsi="Calibri"/>
                <w:color w:val="0F172A"/>
                <w:sz w:val="19"/>
              </w:rPr>
              <w:t>Contract marked 'Active' for 365 days with full visit quota</w:t>
            </w:r>
          </w:p>
        </w:tc>
        <w:tc>
          <w:tcPr>
            <w:tcW w:type="dxa" w:w="864"/>
            <w:shd w:fill="FFFFFF"/>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IT-06</w:t>
            </w:r>
          </w:p>
        </w:tc>
        <w:tc>
          <w:tcPr>
            <w:tcW w:type="dxa" w:w="3744"/>
            <w:shd w:fill="F8FAFC"/>
            <w:tcMar>
              <w:top w:w="90" w:type="dxa"/>
              <w:bottom w:w="90" w:type="dxa"/>
              <w:left w:w="130" w:type="dxa"/>
              <w:right w:w="130" w:type="dxa"/>
            </w:tcMar>
          </w:tcPr>
          <w:p>
            <w:r>
              <w:rPr>
                <w:rFonts w:ascii="Calibri" w:hAnsi="Calibri"/>
                <w:color w:val="0F172A"/>
                <w:sz w:val="19"/>
              </w:rPr>
              <w:t>Product Inquiry Submission → Admin Enquiries Inbox</w:t>
            </w:r>
          </w:p>
        </w:tc>
        <w:tc>
          <w:tcPr>
            <w:tcW w:type="dxa" w:w="3744"/>
            <w:shd w:fill="F8FAFC"/>
            <w:tcMar>
              <w:top w:w="90" w:type="dxa"/>
              <w:bottom w:w="90" w:type="dxa"/>
              <w:left w:w="130" w:type="dxa"/>
              <w:right w:w="130" w:type="dxa"/>
            </w:tcMar>
          </w:tcPr>
          <w:p>
            <w:r>
              <w:rPr>
                <w:rFonts w:ascii="Calibri" w:hAnsi="Calibri"/>
                <w:color w:val="0F172A"/>
                <w:sz w:val="19"/>
              </w:rPr>
              <w:t>Enquiry visible in admin modal with customer contact and product ID</w:t>
            </w:r>
          </w:p>
        </w:tc>
        <w:tc>
          <w:tcPr>
            <w:tcW w:type="dxa" w:w="864"/>
            <w:shd w:fill="F8FAFC"/>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IT-07</w:t>
            </w:r>
          </w:p>
        </w:tc>
        <w:tc>
          <w:tcPr>
            <w:tcW w:type="dxa" w:w="3744"/>
            <w:shd w:fill="FFFFFF"/>
            <w:tcMar>
              <w:top w:w="90" w:type="dxa"/>
              <w:bottom w:w="90" w:type="dxa"/>
              <w:left w:w="130" w:type="dxa"/>
              <w:right w:w="130" w:type="dxa"/>
            </w:tcMar>
          </w:tcPr>
          <w:p>
            <w:r>
              <w:rPr>
                <w:rFonts w:ascii="Calibri" w:hAnsi="Calibri"/>
                <w:color w:val="0F172A"/>
                <w:sz w:val="19"/>
              </w:rPr>
              <w:t>Completed Job Review Submission → Public Testimonial</w:t>
            </w:r>
          </w:p>
        </w:tc>
        <w:tc>
          <w:tcPr>
            <w:tcW w:type="dxa" w:w="3744"/>
            <w:shd w:fill="FFFFFF"/>
            <w:tcMar>
              <w:top w:w="90" w:type="dxa"/>
              <w:bottom w:w="90" w:type="dxa"/>
              <w:left w:w="130" w:type="dxa"/>
              <w:right w:w="130" w:type="dxa"/>
            </w:tcMar>
          </w:tcPr>
          <w:p>
            <w:r>
              <w:rPr>
                <w:rFonts w:ascii="Calibri" w:hAnsi="Calibri"/>
                <w:color w:val="0F172A"/>
                <w:sz w:val="19"/>
              </w:rPr>
              <w:t>Feedback rendered on index.html with 5-star rating and quote</w:t>
            </w:r>
          </w:p>
        </w:tc>
        <w:tc>
          <w:tcPr>
            <w:tcW w:type="dxa" w:w="864"/>
            <w:shd w:fill="FFFFFF"/>
            <w:tcMar>
              <w:top w:w="90" w:type="dxa"/>
              <w:bottom w:w="90" w:type="dxa"/>
              <w:left w:w="130" w:type="dxa"/>
              <w:right w:w="130" w:type="dxa"/>
            </w:tcMar>
          </w:tcPr>
          <w:p>
            <w:pPr>
              <w:jc w:val="center"/>
            </w:pPr>
            <w:r>
              <w:rPr>
                <w:rFonts w:ascii="Calibri" w:hAnsi="Calibri"/>
                <w:color w:val="0F172A"/>
                <w:sz w:val="19"/>
              </w:rPr>
              <w:t>Pass</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IT-08</w:t>
            </w:r>
          </w:p>
        </w:tc>
        <w:tc>
          <w:tcPr>
            <w:tcW w:type="dxa" w:w="3744"/>
            <w:shd w:fill="F8FAFC"/>
            <w:tcMar>
              <w:top w:w="90" w:type="dxa"/>
              <w:bottom w:w="90" w:type="dxa"/>
              <w:left w:w="130" w:type="dxa"/>
              <w:right w:w="130" w:type="dxa"/>
            </w:tcMar>
          </w:tcPr>
          <w:p>
            <w:r>
              <w:rPr>
                <w:rFonts w:ascii="Calibri" w:hAnsi="Calibri"/>
                <w:color w:val="0F172A"/>
                <w:sz w:val="19"/>
              </w:rPr>
              <w:t>RBAC Middleware Protection on Admin API</w:t>
            </w:r>
          </w:p>
        </w:tc>
        <w:tc>
          <w:tcPr>
            <w:tcW w:type="dxa" w:w="3744"/>
            <w:shd w:fill="F8FAFC"/>
            <w:tcMar>
              <w:top w:w="90" w:type="dxa"/>
              <w:bottom w:w="90" w:type="dxa"/>
              <w:left w:w="130" w:type="dxa"/>
              <w:right w:w="130" w:type="dxa"/>
            </w:tcMar>
          </w:tcPr>
          <w:p>
            <w:r>
              <w:rPr>
                <w:rFonts w:ascii="Calibri" w:hAnsi="Calibri"/>
                <w:color w:val="0F172A"/>
                <w:sz w:val="19"/>
              </w:rPr>
              <w:t>Request without Bearer JWT token blocked with HTTP 401 Unauthorized</w:t>
            </w:r>
          </w:p>
        </w:tc>
        <w:tc>
          <w:tcPr>
            <w:tcW w:type="dxa" w:w="864"/>
            <w:shd w:fill="F8FAFC"/>
            <w:tcMar>
              <w:top w:w="90" w:type="dxa"/>
              <w:bottom w:w="90" w:type="dxa"/>
              <w:left w:w="130" w:type="dxa"/>
              <w:right w:w="130" w:type="dxa"/>
            </w:tcMar>
          </w:tcPr>
          <w:p>
            <w:pPr>
              <w:jc w:val="center"/>
            </w:pPr>
            <w:r>
              <w:rPr>
                <w:rFonts w:ascii="Calibri" w:hAnsi="Calibri"/>
                <w:color w:val="0F172A"/>
                <w:sz w:val="19"/>
              </w:rPr>
              <w:t>Pass</w:t>
            </w:r>
          </w:p>
        </w:tc>
      </w:tr>
    </w:tbl>
    <w:p>
      <w:pPr>
        <w:spacing w:before="280" w:after="120"/>
      </w:pPr>
      <w:r>
        <w:rPr>
          <w:rFonts w:ascii="Arial" w:hAnsi="Arial"/>
          <w:b/>
          <w:color w:val="2563EB"/>
          <w:sz w:val="26"/>
        </w:rPr>
        <w:t>10.4 Boundary Value Analysis &amp; Equivalence Partitioning</w:t>
      </w:r>
    </w:p>
    <w:tbl>
      <w:tblPr>
        <w:tblW w:type="auto" w:w="0"/>
        <w:jc w:val="center"/>
        <w:tblLook w:firstColumn="1" w:firstRow="1" w:lastColumn="0" w:lastRow="0" w:noHBand="0" w:noVBand="1" w:val="04A0"/>
      </w:tblPr>
      <w:tblGrid>
        <w:gridCol w:w="2340"/>
        <w:gridCol w:w="2340"/>
        <w:gridCol w:w="2340"/>
        <w:gridCol w:w="2340"/>
      </w:tblGrid>
      <w:tr>
        <w:tc>
          <w:tcPr>
            <w:tcW w:type="dxa" w:w="1152"/>
            <w:shd w:fill="1E3A8A"/>
            <w:tcMar>
              <w:top w:w="120" w:type="dxa"/>
              <w:bottom w:w="120" w:type="dxa"/>
              <w:left w:w="150" w:type="dxa"/>
              <w:right w:w="150" w:type="dxa"/>
            </w:tcMar>
          </w:tcPr>
          <w:p>
            <w:pPr>
              <w:jc w:val="center"/>
            </w:pPr>
            <w:r>
              <w:rPr>
                <w:rFonts w:ascii="Arial" w:hAnsi="Arial"/>
                <w:b/>
                <w:color w:val="FFFFFF"/>
                <w:sz w:val="19"/>
              </w:rPr>
              <w:t>Test ID</w:t>
            </w:r>
          </w:p>
        </w:tc>
        <w:tc>
          <w:tcPr>
            <w:tcW w:type="dxa" w:w="3600"/>
            <w:shd w:fill="1E3A8A"/>
            <w:tcMar>
              <w:top w:w="120" w:type="dxa"/>
              <w:bottom w:w="120" w:type="dxa"/>
              <w:left w:w="150" w:type="dxa"/>
              <w:right w:w="150" w:type="dxa"/>
            </w:tcMar>
          </w:tcPr>
          <w:p>
            <w:pPr>
              <w:jc w:val="center"/>
            </w:pPr>
            <w:r>
              <w:rPr>
                <w:rFonts w:ascii="Arial" w:hAnsi="Arial"/>
                <w:b/>
                <w:color w:val="FFFFFF"/>
                <w:sz w:val="19"/>
              </w:rPr>
              <w:t>Parameter / Input Field</w:t>
            </w:r>
          </w:p>
        </w:tc>
        <w:tc>
          <w:tcPr>
            <w:tcW w:type="dxa" w:w="2592"/>
            <w:shd w:fill="1E3A8A"/>
            <w:tcMar>
              <w:top w:w="120" w:type="dxa"/>
              <w:bottom w:w="120" w:type="dxa"/>
              <w:left w:w="150" w:type="dxa"/>
              <w:right w:w="150" w:type="dxa"/>
            </w:tcMar>
          </w:tcPr>
          <w:p>
            <w:pPr>
              <w:jc w:val="center"/>
            </w:pPr>
            <w:r>
              <w:rPr>
                <w:rFonts w:ascii="Arial" w:hAnsi="Arial"/>
                <w:b/>
                <w:color w:val="FFFFFF"/>
                <w:sz w:val="19"/>
              </w:rPr>
              <w:t>Test Value</w:t>
            </w:r>
          </w:p>
        </w:tc>
        <w:tc>
          <w:tcPr>
            <w:tcW w:type="dxa" w:w="2160"/>
            <w:shd w:fill="1E3A8A"/>
            <w:tcMar>
              <w:top w:w="120" w:type="dxa"/>
              <w:bottom w:w="120" w:type="dxa"/>
              <w:left w:w="150" w:type="dxa"/>
              <w:right w:w="150" w:type="dxa"/>
            </w:tcMar>
          </w:tcPr>
          <w:p>
            <w:pPr>
              <w:jc w:val="center"/>
            </w:pPr>
            <w:r>
              <w:rPr>
                <w:rFonts w:ascii="Arial" w:hAnsi="Arial"/>
                <w:b/>
                <w:color w:val="FFFFFF"/>
                <w:sz w:val="19"/>
              </w:rPr>
              <w:t>Expected Result</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BVT-01</w:t>
            </w:r>
          </w:p>
        </w:tc>
        <w:tc>
          <w:tcPr>
            <w:tcW w:type="dxa" w:w="3600"/>
            <w:shd w:fill="FFFFFF"/>
            <w:tcMar>
              <w:top w:w="90" w:type="dxa"/>
              <w:bottom w:w="90" w:type="dxa"/>
              <w:left w:w="130" w:type="dxa"/>
              <w:right w:w="130" w:type="dxa"/>
            </w:tcMar>
          </w:tcPr>
          <w:p>
            <w:r>
              <w:rPr>
                <w:rFonts w:ascii="Calibri" w:hAnsi="Calibri"/>
                <w:color w:val="0F172A"/>
                <w:sz w:val="19"/>
              </w:rPr>
              <w:t>Customer Phone Number (10 Digits)</w:t>
            </w:r>
          </w:p>
        </w:tc>
        <w:tc>
          <w:tcPr>
            <w:tcW w:type="dxa" w:w="2592"/>
            <w:shd w:fill="FFFFFF"/>
            <w:tcMar>
              <w:top w:w="90" w:type="dxa"/>
              <w:bottom w:w="90" w:type="dxa"/>
              <w:left w:w="130" w:type="dxa"/>
              <w:right w:w="130" w:type="dxa"/>
            </w:tcMar>
          </w:tcPr>
          <w:p>
            <w:r>
              <w:rPr>
                <w:rFonts w:ascii="Calibri" w:hAnsi="Calibri"/>
                <w:color w:val="0F172A"/>
                <w:sz w:val="19"/>
              </w:rPr>
              <w:t>9820011223 (Valid 10 digits)</w:t>
            </w:r>
          </w:p>
        </w:tc>
        <w:tc>
          <w:tcPr>
            <w:tcW w:type="dxa" w:w="2160"/>
            <w:shd w:fill="FFFFFF"/>
            <w:tcMar>
              <w:top w:w="90" w:type="dxa"/>
              <w:bottom w:w="90" w:type="dxa"/>
              <w:left w:w="130" w:type="dxa"/>
              <w:right w:w="130" w:type="dxa"/>
            </w:tcMar>
          </w:tcPr>
          <w:p>
            <w:r>
              <w:rPr>
                <w:rFonts w:ascii="Calibri" w:hAnsi="Calibri"/>
                <w:color w:val="0F172A"/>
                <w:sz w:val="19"/>
              </w:rPr>
              <w:t>Accepted, booking processed</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BVT-02</w:t>
            </w:r>
          </w:p>
        </w:tc>
        <w:tc>
          <w:tcPr>
            <w:tcW w:type="dxa" w:w="3600"/>
            <w:shd w:fill="F8FAFC"/>
            <w:tcMar>
              <w:top w:w="90" w:type="dxa"/>
              <w:bottom w:w="90" w:type="dxa"/>
              <w:left w:w="130" w:type="dxa"/>
              <w:right w:w="130" w:type="dxa"/>
            </w:tcMar>
          </w:tcPr>
          <w:p>
            <w:r>
              <w:rPr>
                <w:rFonts w:ascii="Calibri" w:hAnsi="Calibri"/>
                <w:color w:val="0F172A"/>
                <w:sz w:val="19"/>
              </w:rPr>
              <w:t>Customer Phone Number (Underflow)</w:t>
            </w:r>
          </w:p>
        </w:tc>
        <w:tc>
          <w:tcPr>
            <w:tcW w:type="dxa" w:w="2592"/>
            <w:shd w:fill="F8FAFC"/>
            <w:tcMar>
              <w:top w:w="90" w:type="dxa"/>
              <w:bottom w:w="90" w:type="dxa"/>
              <w:left w:w="130" w:type="dxa"/>
              <w:right w:w="130" w:type="dxa"/>
            </w:tcMar>
          </w:tcPr>
          <w:p>
            <w:pPr>
              <w:jc w:val="center"/>
            </w:pPr>
            <w:r>
              <w:rPr>
                <w:rFonts w:ascii="Calibri" w:hAnsi="Calibri"/>
                <w:color w:val="0F172A"/>
                <w:sz w:val="19"/>
              </w:rPr>
              <w:t>98200112 (8 digits)</w:t>
            </w:r>
          </w:p>
        </w:tc>
        <w:tc>
          <w:tcPr>
            <w:tcW w:type="dxa" w:w="2160"/>
            <w:shd w:fill="F8FAFC"/>
            <w:tcMar>
              <w:top w:w="90" w:type="dxa"/>
              <w:bottom w:w="90" w:type="dxa"/>
              <w:left w:w="130" w:type="dxa"/>
              <w:right w:w="130" w:type="dxa"/>
            </w:tcMar>
          </w:tcPr>
          <w:p>
            <w:r>
              <w:rPr>
                <w:rFonts w:ascii="Calibri" w:hAnsi="Calibri"/>
                <w:color w:val="0F172A"/>
                <w:sz w:val="19"/>
              </w:rPr>
              <w:t>Rejected with validation error</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BVT-03</w:t>
            </w:r>
          </w:p>
        </w:tc>
        <w:tc>
          <w:tcPr>
            <w:tcW w:type="dxa" w:w="3600"/>
            <w:shd w:fill="FFFFFF"/>
            <w:tcMar>
              <w:top w:w="90" w:type="dxa"/>
              <w:bottom w:w="90" w:type="dxa"/>
              <w:left w:w="130" w:type="dxa"/>
              <w:right w:w="130" w:type="dxa"/>
            </w:tcMar>
          </w:tcPr>
          <w:p>
            <w:r>
              <w:rPr>
                <w:rFonts w:ascii="Calibri" w:hAnsi="Calibri"/>
                <w:color w:val="0F172A"/>
                <w:sz w:val="19"/>
              </w:rPr>
              <w:t>AMC Remaining Visits (Boundary = 0)</w:t>
            </w:r>
          </w:p>
        </w:tc>
        <w:tc>
          <w:tcPr>
            <w:tcW w:type="dxa" w:w="2592"/>
            <w:shd w:fill="FFFFFF"/>
            <w:tcMar>
              <w:top w:w="90" w:type="dxa"/>
              <w:bottom w:w="90" w:type="dxa"/>
              <w:left w:w="130" w:type="dxa"/>
              <w:right w:w="130" w:type="dxa"/>
            </w:tcMar>
          </w:tcPr>
          <w:p>
            <w:pPr>
              <w:jc w:val="center"/>
            </w:pPr>
            <w:r>
              <w:rPr>
                <w:rFonts w:ascii="Calibri" w:hAnsi="Calibri"/>
                <w:color w:val="0F172A"/>
                <w:sz w:val="19"/>
              </w:rPr>
              <w:t>0 visits remaining</w:t>
            </w:r>
          </w:p>
        </w:tc>
        <w:tc>
          <w:tcPr>
            <w:tcW w:type="dxa" w:w="2160"/>
            <w:shd w:fill="FFFFFF"/>
            <w:tcMar>
              <w:top w:w="90" w:type="dxa"/>
              <w:bottom w:w="90" w:type="dxa"/>
              <w:left w:w="130" w:type="dxa"/>
              <w:right w:w="130" w:type="dxa"/>
            </w:tcMar>
          </w:tcPr>
          <w:p>
            <w:r>
              <w:rPr>
                <w:rFonts w:ascii="Calibri" w:hAnsi="Calibri"/>
                <w:color w:val="0F172A"/>
                <w:sz w:val="19"/>
              </w:rPr>
              <w:t>Bypasses AMC deduction, booked as standard billable service</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BVT-04</w:t>
            </w:r>
          </w:p>
        </w:tc>
        <w:tc>
          <w:tcPr>
            <w:tcW w:type="dxa" w:w="3600"/>
            <w:shd w:fill="F8FAFC"/>
            <w:tcMar>
              <w:top w:w="90" w:type="dxa"/>
              <w:bottom w:w="90" w:type="dxa"/>
              <w:left w:w="130" w:type="dxa"/>
              <w:right w:w="130" w:type="dxa"/>
            </w:tcMar>
          </w:tcPr>
          <w:p>
            <w:r>
              <w:rPr>
                <w:rFonts w:ascii="Calibri" w:hAnsi="Calibri"/>
                <w:color w:val="0F172A"/>
                <w:sz w:val="19"/>
              </w:rPr>
              <w:t>AMC Remaining Visits (Positive)</w:t>
            </w:r>
          </w:p>
        </w:tc>
        <w:tc>
          <w:tcPr>
            <w:tcW w:type="dxa" w:w="2592"/>
            <w:shd w:fill="F8FAFC"/>
            <w:tcMar>
              <w:top w:w="90" w:type="dxa"/>
              <w:bottom w:w="90" w:type="dxa"/>
              <w:left w:w="130" w:type="dxa"/>
              <w:right w:w="130" w:type="dxa"/>
            </w:tcMar>
          </w:tcPr>
          <w:p>
            <w:pPr>
              <w:jc w:val="center"/>
            </w:pPr>
            <w:r>
              <w:rPr>
                <w:rFonts w:ascii="Calibri" w:hAnsi="Calibri"/>
                <w:color w:val="0F172A"/>
                <w:sz w:val="19"/>
              </w:rPr>
              <w:t>1 visit remaining</w:t>
            </w:r>
          </w:p>
        </w:tc>
        <w:tc>
          <w:tcPr>
            <w:tcW w:type="dxa" w:w="2160"/>
            <w:shd w:fill="F8FAFC"/>
            <w:tcMar>
              <w:top w:w="90" w:type="dxa"/>
              <w:bottom w:w="90" w:type="dxa"/>
              <w:left w:w="130" w:type="dxa"/>
              <w:right w:w="130" w:type="dxa"/>
            </w:tcMar>
          </w:tcPr>
          <w:p>
            <w:r>
              <w:rPr>
                <w:rFonts w:ascii="Calibri" w:hAnsi="Calibri"/>
                <w:color w:val="0F172A"/>
                <w:sz w:val="19"/>
              </w:rPr>
              <w:t>Successfully decrements to 0, tags as AMC Covered</w:t>
            </w:r>
          </w:p>
        </w:tc>
      </w:tr>
      <w:tr>
        <w:tc>
          <w:tcPr>
            <w:tcW w:type="dxa" w:w="1152"/>
            <w:shd w:fill="FFFFFF"/>
            <w:tcMar>
              <w:top w:w="90" w:type="dxa"/>
              <w:bottom w:w="90" w:type="dxa"/>
              <w:left w:w="130" w:type="dxa"/>
              <w:right w:w="130" w:type="dxa"/>
            </w:tcMar>
          </w:tcPr>
          <w:p>
            <w:pPr>
              <w:jc w:val="center"/>
            </w:pPr>
            <w:r>
              <w:rPr>
                <w:rFonts w:ascii="Calibri" w:hAnsi="Calibri"/>
                <w:color w:val="0F172A"/>
                <w:sz w:val="19"/>
              </w:rPr>
              <w:t>BVT-05</w:t>
            </w:r>
          </w:p>
        </w:tc>
        <w:tc>
          <w:tcPr>
            <w:tcW w:type="dxa" w:w="3600"/>
            <w:shd w:fill="FFFFFF"/>
            <w:tcMar>
              <w:top w:w="90" w:type="dxa"/>
              <w:bottom w:w="90" w:type="dxa"/>
              <w:left w:w="130" w:type="dxa"/>
              <w:right w:w="130" w:type="dxa"/>
            </w:tcMar>
          </w:tcPr>
          <w:p>
            <w:r>
              <w:rPr>
                <w:rFonts w:ascii="Calibri" w:hAnsi="Calibri"/>
                <w:color w:val="0F172A"/>
                <w:sz w:val="19"/>
              </w:rPr>
              <w:t>Customer Star Rating (Lower Bound)</w:t>
            </w:r>
          </w:p>
        </w:tc>
        <w:tc>
          <w:tcPr>
            <w:tcW w:type="dxa" w:w="2592"/>
            <w:shd w:fill="FFFFFF"/>
            <w:tcMar>
              <w:top w:w="90" w:type="dxa"/>
              <w:bottom w:w="90" w:type="dxa"/>
              <w:left w:w="130" w:type="dxa"/>
              <w:right w:w="130" w:type="dxa"/>
            </w:tcMar>
          </w:tcPr>
          <w:p>
            <w:pPr>
              <w:jc w:val="center"/>
            </w:pPr>
            <w:r>
              <w:rPr>
                <w:rFonts w:ascii="Calibri" w:hAnsi="Calibri"/>
                <w:color w:val="0F172A"/>
                <w:sz w:val="19"/>
              </w:rPr>
              <w:t>1 Star</w:t>
            </w:r>
          </w:p>
        </w:tc>
        <w:tc>
          <w:tcPr>
            <w:tcW w:type="dxa" w:w="2160"/>
            <w:shd w:fill="FFFFFF"/>
            <w:tcMar>
              <w:top w:w="90" w:type="dxa"/>
              <w:bottom w:w="90" w:type="dxa"/>
              <w:left w:w="130" w:type="dxa"/>
              <w:right w:w="130" w:type="dxa"/>
            </w:tcMar>
          </w:tcPr>
          <w:p>
            <w:pPr>
              <w:jc w:val="center"/>
            </w:pPr>
            <w:r>
              <w:rPr>
                <w:rFonts w:ascii="Calibri" w:hAnsi="Calibri"/>
                <w:color w:val="0F172A"/>
                <w:sz w:val="19"/>
              </w:rPr>
              <w:t>Accepted and recorded</w:t>
            </w:r>
          </w:p>
        </w:tc>
      </w:tr>
      <w:tr>
        <w:tc>
          <w:tcPr>
            <w:tcW w:type="dxa" w:w="1152"/>
            <w:shd w:fill="F8FAFC"/>
            <w:tcMar>
              <w:top w:w="90" w:type="dxa"/>
              <w:bottom w:w="90" w:type="dxa"/>
              <w:left w:w="130" w:type="dxa"/>
              <w:right w:w="130" w:type="dxa"/>
            </w:tcMar>
          </w:tcPr>
          <w:p>
            <w:pPr>
              <w:jc w:val="center"/>
            </w:pPr>
            <w:r>
              <w:rPr>
                <w:rFonts w:ascii="Calibri" w:hAnsi="Calibri"/>
                <w:color w:val="0F172A"/>
                <w:sz w:val="19"/>
              </w:rPr>
              <w:t>BVT-06</w:t>
            </w:r>
          </w:p>
        </w:tc>
        <w:tc>
          <w:tcPr>
            <w:tcW w:type="dxa" w:w="3600"/>
            <w:shd w:fill="F8FAFC"/>
            <w:tcMar>
              <w:top w:w="90" w:type="dxa"/>
              <w:bottom w:w="90" w:type="dxa"/>
              <w:left w:w="130" w:type="dxa"/>
              <w:right w:w="130" w:type="dxa"/>
            </w:tcMar>
          </w:tcPr>
          <w:p>
            <w:r>
              <w:rPr>
                <w:rFonts w:ascii="Calibri" w:hAnsi="Calibri"/>
                <w:color w:val="0F172A"/>
                <w:sz w:val="19"/>
              </w:rPr>
              <w:t>Customer Star Rating (Out of Range)</w:t>
            </w:r>
          </w:p>
        </w:tc>
        <w:tc>
          <w:tcPr>
            <w:tcW w:type="dxa" w:w="2592"/>
            <w:shd w:fill="F8FAFC"/>
            <w:tcMar>
              <w:top w:w="90" w:type="dxa"/>
              <w:bottom w:w="90" w:type="dxa"/>
              <w:left w:w="130" w:type="dxa"/>
              <w:right w:w="130" w:type="dxa"/>
            </w:tcMar>
          </w:tcPr>
          <w:p>
            <w:pPr>
              <w:jc w:val="center"/>
            </w:pPr>
            <w:r>
              <w:rPr>
                <w:rFonts w:ascii="Calibri" w:hAnsi="Calibri"/>
                <w:color w:val="0F172A"/>
                <w:sz w:val="19"/>
              </w:rPr>
              <w:t>6 Stars</w:t>
            </w:r>
          </w:p>
        </w:tc>
        <w:tc>
          <w:tcPr>
            <w:tcW w:type="dxa" w:w="2160"/>
            <w:shd w:fill="F8FAFC"/>
            <w:tcMar>
              <w:top w:w="90" w:type="dxa"/>
              <w:bottom w:w="90" w:type="dxa"/>
              <w:left w:w="130" w:type="dxa"/>
              <w:right w:w="130" w:type="dxa"/>
            </w:tcMar>
          </w:tcPr>
          <w:p>
            <w:r>
              <w:rPr>
                <w:rFonts w:ascii="Calibri" w:hAnsi="Calibri"/>
                <w:color w:val="0F172A"/>
                <w:sz w:val="19"/>
              </w:rPr>
              <w:t>Constrained to maximum rating of 5</w:t>
            </w:r>
          </w:p>
        </w:tc>
      </w:tr>
    </w:tbl>
    <w:p>
      <w:pPr>
        <w:spacing w:before="280" w:after="120"/>
      </w:pPr>
      <w:r>
        <w:rPr>
          <w:rFonts w:ascii="Arial" w:hAnsi="Arial"/>
          <w:b/>
          <w:color w:val="2563EB"/>
          <w:sz w:val="26"/>
        </w:rPr>
        <w:t>10.5 Security Vulnerability Testing</w:t>
      </w:r>
    </w:p>
    <w:p>
      <w:pPr>
        <w:spacing w:after="120" w:line="276" w:lineRule="auto"/>
      </w:pPr>
      <w:r>
        <w:rPr>
          <w:rFonts w:ascii="Calibri" w:hAnsi="Calibri"/>
          <w:b/>
          <w:color w:val="0F172A"/>
          <w:sz w:val="22"/>
        </w:rPr>
        <w:t xml:space="preserve">Defensive Hardening: </w:t>
      </w:r>
      <w:r>
        <w:rPr>
          <w:rFonts w:ascii="Calibri" w:hAnsi="Calibri"/>
          <w:color w:val="0F172A"/>
          <w:sz w:val="22"/>
        </w:rPr>
        <w:t>The application was systematically evaluated against OWASP Top 10 vulnerabilities:</w:t>
        <w:br/>
        <w:t>• SQL / NoSQL Injection: Input sanitization and parameterized Firebase document queries prevent arbitrary injection.</w:t>
        <w:br/>
        <w:t>• Cross-Site Scripting (XSS): User-submitted text (notes, addresses, feedback) is sanitized and escaped before DOM rendering.</w:t>
        <w:br/>
        <w:t>• Broken Authentication &amp; Session Hijacking: Tokens are cryptographically verified with HS256/RS256 and secret keys.</w:t>
        <w:br/>
        <w:t>• Privilege Escalation: Non-admin users attempting to access `/api/admin/*` are blocked with HTTP 403 Forbidden.</w:t>
      </w:r>
    </w:p>
    <w:p>
      <w:pPr>
        <w:spacing w:before="280" w:after="120"/>
      </w:pPr>
      <w:r>
        <w:rPr>
          <w:rFonts w:ascii="Arial" w:hAnsi="Arial"/>
          <w:b/>
          <w:color w:val="2563EB"/>
          <w:sz w:val="26"/>
        </w:rPr>
        <w:t>10.6 Usability &amp; Cross-Device Responsiveness Testing</w:t>
      </w:r>
    </w:p>
    <w:p>
      <w:pPr>
        <w:pStyle w:val="ListBullet"/>
        <w:spacing w:after="80" w:line="276" w:lineRule="auto"/>
      </w:pPr>
      <w:r>
        <w:rPr>
          <w:rFonts w:ascii="Calibri" w:hAnsi="Calibri"/>
          <w:b/>
          <w:color w:val="0F172A"/>
          <w:sz w:val="22"/>
        </w:rPr>
        <w:t>Cross-Browser Compatibility:</w:t>
      </w:r>
      <w:r>
        <w:rPr>
          <w:rFonts w:ascii="Calibri" w:hAnsi="Calibri"/>
          <w:color w:val="0F172A"/>
          <w:sz w:val="22"/>
        </w:rPr>
        <w:t xml:space="preserve"> Tested across Google Chrome, Mozilla Firefox, Safari, and Microsoft Edge with zero functional discrepancies.</w:t>
      </w:r>
    </w:p>
    <w:p>
      <w:pPr>
        <w:pStyle w:val="ListBullet"/>
        <w:spacing w:after="80" w:line="276" w:lineRule="auto"/>
      </w:pPr>
      <w:r>
        <w:rPr>
          <w:rFonts w:ascii="Calibri" w:hAnsi="Calibri"/>
          <w:b/>
          <w:color w:val="0F172A"/>
          <w:sz w:val="22"/>
        </w:rPr>
        <w:t>Viewport Adaptability:</w:t>
      </w:r>
      <w:r>
        <w:rPr>
          <w:rFonts w:ascii="Calibri" w:hAnsi="Calibri"/>
          <w:color w:val="0F172A"/>
          <w:sz w:val="22"/>
        </w:rPr>
        <w:t xml:space="preserve"> Tested across iPhone 14/15 (iOS Safari), Samsung Galaxy S23 (Android Chrome), iPad Pro, and 1080p/4K desktop monitors. Layouts adapt smoothly using CSS grid and flexible rem units.</w:t>
      </w:r>
    </w:p>
    <w:p>
      <w:pPr>
        <w:pStyle w:val="ListBullet"/>
        <w:spacing w:after="80" w:line="276" w:lineRule="auto"/>
      </w:pPr>
      <w:r>
        <w:rPr>
          <w:rFonts w:ascii="Calibri" w:hAnsi="Calibri"/>
          <w:b/>
          <w:color w:val="0F172A"/>
          <w:sz w:val="22"/>
        </w:rPr>
        <w:t>Interactive Feedback:</w:t>
      </w:r>
      <w:r>
        <w:rPr>
          <w:rFonts w:ascii="Calibri" w:hAnsi="Calibri"/>
          <w:color w:val="0F172A"/>
          <w:sz w:val="22"/>
        </w:rPr>
        <w:t xml:space="preserve"> Form validation feedback appears inline immediately upon field defocus. Toast notifications confirm background updates.</w:t>
      </w:r>
    </w:p>
    <w:p>
      <w:pPr>
        <w:spacing w:before="280" w:after="120"/>
      </w:pPr>
      <w:r>
        <w:rPr>
          <w:rFonts w:ascii="Arial" w:hAnsi="Arial"/>
          <w:b/>
          <w:color w:val="2563EB"/>
          <w:sz w:val="26"/>
        </w:rPr>
        <w:t>10.7 Automated Continuous Verification Suite (Native Node.js Test Runner)</w:t>
      </w:r>
    </w:p>
    <w:p>
      <w:pPr>
        <w:spacing w:after="120" w:line="276" w:lineRule="auto"/>
      </w:pPr>
      <w:r>
        <w:rPr>
          <w:rFonts w:ascii="Calibri" w:hAnsi="Calibri"/>
          <w:b/>
          <w:color w:val="0F172A"/>
          <w:sz w:val="22"/>
        </w:rPr>
        <w:t xml:space="preserve">Automated Verification Architecture: </w:t>
      </w:r>
      <w:r>
        <w:rPr>
          <w:rFonts w:ascii="Calibri" w:hAnsi="Calibri"/>
          <w:color w:val="0F172A"/>
          <w:sz w:val="22"/>
        </w:rPr>
        <w:t>To ensure regression-free deployment and automated quality assurance, an end-to-end continuous testing suite was authored using the native Node.js test runner (node --test test/security_verification.test.js test/algorithms.test.js). All 33 automated tests execute and pass in real-time without external test-framework dependencies:</w:t>
      </w:r>
    </w:p>
    <w:tbl>
      <w:tblPr>
        <w:tblW w:type="auto" w:w="0"/>
        <w:jc w:val="center"/>
        <w:tblLook w:firstColumn="1" w:firstRow="1" w:lastColumn="0" w:lastRow="0" w:noHBand="0" w:noVBand="1" w:val="04A0"/>
      </w:tblPr>
      <w:tblGrid>
        <w:gridCol w:w="2340"/>
        <w:gridCol w:w="2340"/>
        <w:gridCol w:w="2340"/>
        <w:gridCol w:w="2340"/>
      </w:tblGrid>
      <w:tr>
        <w:tc>
          <w:tcPr>
            <w:tcW w:type="dxa" w:w="1296"/>
            <w:shd w:fill="1E3A8A"/>
            <w:tcMar>
              <w:top w:w="120" w:type="dxa"/>
              <w:bottom w:w="120" w:type="dxa"/>
              <w:left w:w="150" w:type="dxa"/>
              <w:right w:w="150" w:type="dxa"/>
            </w:tcMar>
          </w:tcPr>
          <w:p>
            <w:pPr>
              <w:jc w:val="center"/>
            </w:pPr>
            <w:r>
              <w:rPr>
                <w:rFonts w:ascii="Arial" w:hAnsi="Arial"/>
                <w:b/>
                <w:color w:val="FFFFFF"/>
                <w:sz w:val="19"/>
              </w:rPr>
              <w:t>Suite ID</w:t>
            </w:r>
          </w:p>
        </w:tc>
        <w:tc>
          <w:tcPr>
            <w:tcW w:type="dxa" w:w="4608"/>
            <w:shd w:fill="1E3A8A"/>
            <w:tcMar>
              <w:top w:w="120" w:type="dxa"/>
              <w:bottom w:w="120" w:type="dxa"/>
              <w:left w:w="150" w:type="dxa"/>
              <w:right w:w="150" w:type="dxa"/>
            </w:tcMar>
          </w:tcPr>
          <w:p>
            <w:pPr>
              <w:jc w:val="center"/>
            </w:pPr>
            <w:r>
              <w:rPr>
                <w:rFonts w:ascii="Arial" w:hAnsi="Arial"/>
                <w:b/>
                <w:color w:val="FFFFFF"/>
                <w:sz w:val="19"/>
              </w:rPr>
              <w:t>Test Suite Scope / Target Engine</w:t>
            </w:r>
          </w:p>
        </w:tc>
        <w:tc>
          <w:tcPr>
            <w:tcW w:type="dxa" w:w="1728"/>
            <w:shd w:fill="1E3A8A"/>
            <w:tcMar>
              <w:top w:w="120" w:type="dxa"/>
              <w:bottom w:w="120" w:type="dxa"/>
              <w:left w:w="150" w:type="dxa"/>
              <w:right w:w="150" w:type="dxa"/>
            </w:tcMar>
          </w:tcPr>
          <w:p>
            <w:pPr>
              <w:jc w:val="center"/>
            </w:pPr>
            <w:r>
              <w:rPr>
                <w:rFonts w:ascii="Arial" w:hAnsi="Arial"/>
                <w:b/>
                <w:color w:val="FFFFFF"/>
                <w:sz w:val="19"/>
              </w:rPr>
              <w:t>Tests Executed</w:t>
            </w:r>
          </w:p>
        </w:tc>
        <w:tc>
          <w:tcPr>
            <w:tcW w:type="dxa" w:w="1872"/>
            <w:shd w:fill="1E3A8A"/>
            <w:tcMar>
              <w:top w:w="120" w:type="dxa"/>
              <w:bottom w:w="120" w:type="dxa"/>
              <w:left w:w="150" w:type="dxa"/>
              <w:right w:w="150" w:type="dxa"/>
            </w:tcMar>
          </w:tcPr>
          <w:p>
            <w:pPr>
              <w:jc w:val="center"/>
            </w:pPr>
            <w:r>
              <w:rPr>
                <w:rFonts w:ascii="Arial" w:hAnsi="Arial"/>
                <w:b/>
                <w:color w:val="FFFFFF"/>
                <w:sz w:val="19"/>
              </w:rPr>
              <w:t>Passing Latency</w:t>
            </w:r>
          </w:p>
        </w:tc>
      </w:tr>
      <w:tr>
        <w:tc>
          <w:tcPr>
            <w:tcW w:type="dxa" w:w="1296"/>
            <w:shd w:fill="FFFFFF"/>
            <w:tcMar>
              <w:top w:w="90" w:type="dxa"/>
              <w:bottom w:w="90" w:type="dxa"/>
              <w:left w:w="130" w:type="dxa"/>
              <w:right w:w="130" w:type="dxa"/>
            </w:tcMar>
          </w:tcPr>
          <w:p>
            <w:pPr>
              <w:jc w:val="center"/>
            </w:pPr>
            <w:r>
              <w:rPr>
                <w:rFonts w:ascii="Calibri" w:hAnsi="Calibri"/>
                <w:color w:val="0F172A"/>
                <w:sz w:val="19"/>
              </w:rPr>
              <w:t>TS-01</w:t>
            </w:r>
          </w:p>
        </w:tc>
        <w:tc>
          <w:tcPr>
            <w:tcW w:type="dxa" w:w="4608"/>
            <w:shd w:fill="FFFFFF"/>
            <w:tcMar>
              <w:top w:w="90" w:type="dxa"/>
              <w:bottom w:w="90" w:type="dxa"/>
              <w:left w:w="130" w:type="dxa"/>
              <w:right w:w="130" w:type="dxa"/>
            </w:tcMar>
          </w:tcPr>
          <w:p>
            <w:r>
              <w:rPr>
                <w:rFonts w:ascii="Calibri" w:hAnsi="Calibri"/>
                <w:color w:val="0F172A"/>
                <w:sz w:val="19"/>
              </w:rPr>
              <w:t>ALGORITHM 1: FMEA Predictive Diagnostics &amp; Equipment Reliability</w:t>
            </w:r>
          </w:p>
        </w:tc>
        <w:tc>
          <w:tcPr>
            <w:tcW w:type="dxa" w:w="1728"/>
            <w:shd w:fill="FFFFFF"/>
            <w:tcMar>
              <w:top w:w="90" w:type="dxa"/>
              <w:bottom w:w="90" w:type="dxa"/>
              <w:left w:w="130" w:type="dxa"/>
              <w:right w:w="130" w:type="dxa"/>
            </w:tcMar>
          </w:tcPr>
          <w:p>
            <w:pPr>
              <w:jc w:val="center"/>
            </w:pPr>
            <w:r>
              <w:rPr>
                <w:rFonts w:ascii="Calibri" w:hAnsi="Calibri"/>
                <w:color w:val="0F172A"/>
                <w:sz w:val="19"/>
              </w:rPr>
              <w:t>3</w:t>
            </w:r>
          </w:p>
        </w:tc>
        <w:tc>
          <w:tcPr>
            <w:tcW w:type="dxa" w:w="1872"/>
            <w:shd w:fill="FFFFFF"/>
            <w:tcMar>
              <w:top w:w="90" w:type="dxa"/>
              <w:bottom w:w="90" w:type="dxa"/>
              <w:left w:w="130" w:type="dxa"/>
              <w:right w:w="130" w:type="dxa"/>
            </w:tcMar>
          </w:tcPr>
          <w:p>
            <w:pPr>
              <w:jc w:val="center"/>
            </w:pPr>
            <w:r>
              <w:rPr>
                <w:rFonts w:ascii="Calibri" w:hAnsi="Calibri"/>
                <w:color w:val="0F172A"/>
                <w:sz w:val="19"/>
              </w:rPr>
              <w:t>16.8 ms</w:t>
            </w:r>
          </w:p>
        </w:tc>
      </w:tr>
      <w:tr>
        <w:tc>
          <w:tcPr>
            <w:tcW w:type="dxa" w:w="1296"/>
            <w:shd w:fill="F8FAFC"/>
            <w:tcMar>
              <w:top w:w="90" w:type="dxa"/>
              <w:bottom w:w="90" w:type="dxa"/>
              <w:left w:w="130" w:type="dxa"/>
              <w:right w:w="130" w:type="dxa"/>
            </w:tcMar>
          </w:tcPr>
          <w:p>
            <w:pPr>
              <w:jc w:val="center"/>
            </w:pPr>
            <w:r>
              <w:rPr>
                <w:rFonts w:ascii="Calibri" w:hAnsi="Calibri"/>
                <w:color w:val="0F172A"/>
                <w:sz w:val="19"/>
              </w:rPr>
              <w:t>TS-02</w:t>
            </w:r>
          </w:p>
        </w:tc>
        <w:tc>
          <w:tcPr>
            <w:tcW w:type="dxa" w:w="4608"/>
            <w:shd w:fill="F8FAFC"/>
            <w:tcMar>
              <w:top w:w="90" w:type="dxa"/>
              <w:bottom w:w="90" w:type="dxa"/>
              <w:left w:w="130" w:type="dxa"/>
              <w:right w:w="130" w:type="dxa"/>
            </w:tcMar>
          </w:tcPr>
          <w:p>
            <w:r>
              <w:rPr>
                <w:rFonts w:ascii="Calibri" w:hAnsi="Calibri"/>
                <w:color w:val="0F172A"/>
                <w:sz w:val="19"/>
              </w:rPr>
              <w:t>ALGORITHM 2: Fleet Dispatch Optimization &amp; Geodesic Distance</w:t>
            </w:r>
          </w:p>
        </w:tc>
        <w:tc>
          <w:tcPr>
            <w:tcW w:type="dxa" w:w="1728"/>
            <w:shd w:fill="F8FAFC"/>
            <w:tcMar>
              <w:top w:w="90" w:type="dxa"/>
              <w:bottom w:w="90" w:type="dxa"/>
              <w:left w:w="130" w:type="dxa"/>
              <w:right w:w="130" w:type="dxa"/>
            </w:tcMar>
          </w:tcPr>
          <w:p>
            <w:pPr>
              <w:jc w:val="center"/>
            </w:pPr>
            <w:r>
              <w:rPr>
                <w:rFonts w:ascii="Calibri" w:hAnsi="Calibri"/>
                <w:color w:val="0F172A"/>
                <w:sz w:val="19"/>
              </w:rPr>
              <w:t>2</w:t>
            </w:r>
          </w:p>
        </w:tc>
        <w:tc>
          <w:tcPr>
            <w:tcW w:type="dxa" w:w="1872"/>
            <w:shd w:fill="F8FAFC"/>
            <w:tcMar>
              <w:top w:w="90" w:type="dxa"/>
              <w:bottom w:w="90" w:type="dxa"/>
              <w:left w:w="130" w:type="dxa"/>
              <w:right w:w="130" w:type="dxa"/>
            </w:tcMar>
          </w:tcPr>
          <w:p>
            <w:pPr>
              <w:jc w:val="center"/>
            </w:pPr>
            <w:r>
              <w:rPr>
                <w:rFonts w:ascii="Calibri" w:hAnsi="Calibri"/>
                <w:color w:val="0F172A"/>
                <w:sz w:val="19"/>
              </w:rPr>
              <w:t>5.1 ms</w:t>
            </w:r>
          </w:p>
        </w:tc>
      </w:tr>
      <w:tr>
        <w:tc>
          <w:tcPr>
            <w:tcW w:type="dxa" w:w="1296"/>
            <w:shd w:fill="FFFFFF"/>
            <w:tcMar>
              <w:top w:w="90" w:type="dxa"/>
              <w:bottom w:w="90" w:type="dxa"/>
              <w:left w:w="130" w:type="dxa"/>
              <w:right w:w="130" w:type="dxa"/>
            </w:tcMar>
          </w:tcPr>
          <w:p>
            <w:pPr>
              <w:jc w:val="center"/>
            </w:pPr>
            <w:r>
              <w:rPr>
                <w:rFonts w:ascii="Calibri" w:hAnsi="Calibri"/>
                <w:color w:val="0F172A"/>
                <w:sz w:val="19"/>
              </w:rPr>
              <w:t>TS-03</w:t>
            </w:r>
          </w:p>
        </w:tc>
        <w:tc>
          <w:tcPr>
            <w:tcW w:type="dxa" w:w="4608"/>
            <w:shd w:fill="FFFFFF"/>
            <w:tcMar>
              <w:top w:w="90" w:type="dxa"/>
              <w:bottom w:w="90" w:type="dxa"/>
              <w:left w:w="130" w:type="dxa"/>
              <w:right w:w="130" w:type="dxa"/>
            </w:tcMar>
          </w:tcPr>
          <w:p>
            <w:r>
              <w:rPr>
                <w:rFonts w:ascii="Calibri" w:hAnsi="Calibri"/>
                <w:color w:val="0F172A"/>
                <w:sz w:val="19"/>
              </w:rPr>
              <w:t>ALGORITHM 3: Dynamic Pricing &amp; Thermodynamic AMC ROI</w:t>
            </w:r>
          </w:p>
        </w:tc>
        <w:tc>
          <w:tcPr>
            <w:tcW w:type="dxa" w:w="1728"/>
            <w:shd w:fill="FFFFFF"/>
            <w:tcMar>
              <w:top w:w="90" w:type="dxa"/>
              <w:bottom w:w="90" w:type="dxa"/>
              <w:left w:w="130" w:type="dxa"/>
              <w:right w:w="130" w:type="dxa"/>
            </w:tcMar>
          </w:tcPr>
          <w:p>
            <w:pPr>
              <w:jc w:val="center"/>
            </w:pPr>
            <w:r>
              <w:rPr>
                <w:rFonts w:ascii="Calibri" w:hAnsi="Calibri"/>
                <w:color w:val="0F172A"/>
                <w:sz w:val="19"/>
              </w:rPr>
              <w:t>2</w:t>
            </w:r>
          </w:p>
        </w:tc>
        <w:tc>
          <w:tcPr>
            <w:tcW w:type="dxa" w:w="1872"/>
            <w:shd w:fill="FFFFFF"/>
            <w:tcMar>
              <w:top w:w="90" w:type="dxa"/>
              <w:bottom w:w="90" w:type="dxa"/>
              <w:left w:w="130" w:type="dxa"/>
              <w:right w:w="130" w:type="dxa"/>
            </w:tcMar>
          </w:tcPr>
          <w:p>
            <w:pPr>
              <w:jc w:val="center"/>
            </w:pPr>
            <w:r>
              <w:rPr>
                <w:rFonts w:ascii="Calibri" w:hAnsi="Calibri"/>
                <w:color w:val="0F172A"/>
                <w:sz w:val="19"/>
              </w:rPr>
              <w:t>0.8 ms</w:t>
            </w:r>
          </w:p>
        </w:tc>
      </w:tr>
      <w:tr>
        <w:tc>
          <w:tcPr>
            <w:tcW w:type="dxa" w:w="1296"/>
            <w:shd w:fill="F8FAFC"/>
            <w:tcMar>
              <w:top w:w="90" w:type="dxa"/>
              <w:bottom w:w="90" w:type="dxa"/>
              <w:left w:w="130" w:type="dxa"/>
              <w:right w:w="130" w:type="dxa"/>
            </w:tcMar>
          </w:tcPr>
          <w:p>
            <w:pPr>
              <w:jc w:val="center"/>
            </w:pPr>
            <w:r>
              <w:rPr>
                <w:rFonts w:ascii="Calibri" w:hAnsi="Calibri"/>
                <w:color w:val="0F172A"/>
                <w:sz w:val="19"/>
              </w:rPr>
              <w:t>TS-04</w:t>
            </w:r>
          </w:p>
        </w:tc>
        <w:tc>
          <w:tcPr>
            <w:tcW w:type="dxa" w:w="4608"/>
            <w:shd w:fill="F8FAFC"/>
            <w:tcMar>
              <w:top w:w="90" w:type="dxa"/>
              <w:bottom w:w="90" w:type="dxa"/>
              <w:left w:w="130" w:type="dxa"/>
              <w:right w:w="130" w:type="dxa"/>
            </w:tcMar>
          </w:tcPr>
          <w:p>
            <w:r>
              <w:rPr>
                <w:rFonts w:ascii="Calibri" w:hAnsi="Calibri"/>
                <w:color w:val="0F172A"/>
                <w:sz w:val="19"/>
              </w:rPr>
              <w:t>PHASE 2 &amp; 10: Fail-Closed JWT Authentication &amp; RBAC Security</w:t>
            </w:r>
          </w:p>
        </w:tc>
        <w:tc>
          <w:tcPr>
            <w:tcW w:type="dxa" w:w="1728"/>
            <w:shd w:fill="F8FAFC"/>
            <w:tcMar>
              <w:top w:w="90" w:type="dxa"/>
              <w:bottom w:w="90" w:type="dxa"/>
              <w:left w:w="130" w:type="dxa"/>
              <w:right w:w="130" w:type="dxa"/>
            </w:tcMar>
          </w:tcPr>
          <w:p>
            <w:pPr>
              <w:jc w:val="center"/>
            </w:pPr>
            <w:r>
              <w:rPr>
                <w:rFonts w:ascii="Calibri" w:hAnsi="Calibri"/>
                <w:color w:val="0F172A"/>
                <w:sz w:val="19"/>
              </w:rPr>
              <w:t>5</w:t>
            </w:r>
          </w:p>
        </w:tc>
        <w:tc>
          <w:tcPr>
            <w:tcW w:type="dxa" w:w="1872"/>
            <w:shd w:fill="F8FAFC"/>
            <w:tcMar>
              <w:top w:w="90" w:type="dxa"/>
              <w:bottom w:w="90" w:type="dxa"/>
              <w:left w:w="130" w:type="dxa"/>
              <w:right w:w="130" w:type="dxa"/>
            </w:tcMar>
          </w:tcPr>
          <w:p>
            <w:pPr>
              <w:jc w:val="center"/>
            </w:pPr>
            <w:r>
              <w:rPr>
                <w:rFonts w:ascii="Calibri" w:hAnsi="Calibri"/>
                <w:color w:val="0F172A"/>
                <w:sz w:val="19"/>
              </w:rPr>
              <w:t>11.2 ms</w:t>
            </w:r>
          </w:p>
        </w:tc>
      </w:tr>
      <w:tr>
        <w:tc>
          <w:tcPr>
            <w:tcW w:type="dxa" w:w="1296"/>
            <w:shd w:fill="FFFFFF"/>
            <w:tcMar>
              <w:top w:w="90" w:type="dxa"/>
              <w:bottom w:w="90" w:type="dxa"/>
              <w:left w:w="130" w:type="dxa"/>
              <w:right w:w="130" w:type="dxa"/>
            </w:tcMar>
          </w:tcPr>
          <w:p>
            <w:pPr>
              <w:jc w:val="center"/>
            </w:pPr>
            <w:r>
              <w:rPr>
                <w:rFonts w:ascii="Calibri" w:hAnsi="Calibri"/>
                <w:color w:val="0F172A"/>
                <w:sz w:val="19"/>
              </w:rPr>
              <w:t>TS-05</w:t>
            </w:r>
          </w:p>
        </w:tc>
        <w:tc>
          <w:tcPr>
            <w:tcW w:type="dxa" w:w="4608"/>
            <w:shd w:fill="FFFFFF"/>
            <w:tcMar>
              <w:top w:w="90" w:type="dxa"/>
              <w:bottom w:w="90" w:type="dxa"/>
              <w:left w:w="130" w:type="dxa"/>
              <w:right w:w="130" w:type="dxa"/>
            </w:tcMar>
          </w:tcPr>
          <w:p>
            <w:r>
              <w:rPr>
                <w:rFonts w:ascii="Calibri" w:hAnsi="Calibri"/>
                <w:color w:val="0F172A"/>
                <w:sz w:val="19"/>
              </w:rPr>
              <w:t>PHASE 4 &amp; 4.1: Input Validation, Indian Phone &amp; XSS Sanitization</w:t>
            </w:r>
          </w:p>
        </w:tc>
        <w:tc>
          <w:tcPr>
            <w:tcW w:type="dxa" w:w="1728"/>
            <w:shd w:fill="FFFFFF"/>
            <w:tcMar>
              <w:top w:w="90" w:type="dxa"/>
              <w:bottom w:w="90" w:type="dxa"/>
              <w:left w:w="130" w:type="dxa"/>
              <w:right w:w="130" w:type="dxa"/>
            </w:tcMar>
          </w:tcPr>
          <w:p>
            <w:pPr>
              <w:jc w:val="center"/>
            </w:pPr>
            <w:r>
              <w:rPr>
                <w:rFonts w:ascii="Calibri" w:hAnsi="Calibri"/>
                <w:color w:val="0F172A"/>
                <w:sz w:val="19"/>
              </w:rPr>
              <w:t>6</w:t>
            </w:r>
          </w:p>
        </w:tc>
        <w:tc>
          <w:tcPr>
            <w:tcW w:type="dxa" w:w="1872"/>
            <w:shd w:fill="FFFFFF"/>
            <w:tcMar>
              <w:top w:w="90" w:type="dxa"/>
              <w:bottom w:w="90" w:type="dxa"/>
              <w:left w:w="130" w:type="dxa"/>
              <w:right w:w="130" w:type="dxa"/>
            </w:tcMar>
          </w:tcPr>
          <w:p>
            <w:pPr>
              <w:jc w:val="center"/>
            </w:pPr>
            <w:r>
              <w:rPr>
                <w:rFonts w:ascii="Calibri" w:hAnsi="Calibri"/>
                <w:color w:val="0F172A"/>
                <w:sz w:val="19"/>
              </w:rPr>
              <w:t>1.6 ms</w:t>
            </w:r>
          </w:p>
        </w:tc>
      </w:tr>
      <w:tr>
        <w:tc>
          <w:tcPr>
            <w:tcW w:type="dxa" w:w="1296"/>
            <w:shd w:fill="F8FAFC"/>
            <w:tcMar>
              <w:top w:w="90" w:type="dxa"/>
              <w:bottom w:w="90" w:type="dxa"/>
              <w:left w:w="130" w:type="dxa"/>
              <w:right w:w="130" w:type="dxa"/>
            </w:tcMar>
          </w:tcPr>
          <w:p>
            <w:pPr>
              <w:jc w:val="center"/>
            </w:pPr>
            <w:r>
              <w:rPr>
                <w:rFonts w:ascii="Calibri" w:hAnsi="Calibri"/>
                <w:color w:val="0F172A"/>
                <w:sz w:val="19"/>
              </w:rPr>
              <w:t>TS-06</w:t>
            </w:r>
          </w:p>
        </w:tc>
        <w:tc>
          <w:tcPr>
            <w:tcW w:type="dxa" w:w="4608"/>
            <w:shd w:fill="F8FAFC"/>
            <w:tcMar>
              <w:top w:w="90" w:type="dxa"/>
              <w:bottom w:w="90" w:type="dxa"/>
              <w:left w:w="130" w:type="dxa"/>
              <w:right w:w="130" w:type="dxa"/>
            </w:tcMar>
          </w:tcPr>
          <w:p>
            <w:r>
              <w:rPr>
                <w:rFonts w:ascii="Calibri" w:hAnsi="Calibri"/>
                <w:color w:val="0F172A"/>
                <w:sz w:val="19"/>
              </w:rPr>
              <w:t>PHASE 5: AMC Integrity, Collision-Resistant IDs &amp; State Machine</w:t>
            </w:r>
          </w:p>
        </w:tc>
        <w:tc>
          <w:tcPr>
            <w:tcW w:type="dxa" w:w="1728"/>
            <w:shd w:fill="F8FAFC"/>
            <w:tcMar>
              <w:top w:w="90" w:type="dxa"/>
              <w:bottom w:w="90" w:type="dxa"/>
              <w:left w:w="130" w:type="dxa"/>
              <w:right w:w="130" w:type="dxa"/>
            </w:tcMar>
          </w:tcPr>
          <w:p>
            <w:pPr>
              <w:jc w:val="center"/>
            </w:pPr>
            <w:r>
              <w:rPr>
                <w:rFonts w:ascii="Calibri" w:hAnsi="Calibri"/>
                <w:color w:val="0F172A"/>
                <w:sz w:val="19"/>
              </w:rPr>
              <w:t>2</w:t>
            </w:r>
          </w:p>
        </w:tc>
        <w:tc>
          <w:tcPr>
            <w:tcW w:type="dxa" w:w="1872"/>
            <w:shd w:fill="F8FAFC"/>
            <w:tcMar>
              <w:top w:w="90" w:type="dxa"/>
              <w:bottom w:w="90" w:type="dxa"/>
              <w:left w:w="130" w:type="dxa"/>
              <w:right w:w="130" w:type="dxa"/>
            </w:tcMar>
          </w:tcPr>
          <w:p>
            <w:pPr>
              <w:jc w:val="center"/>
            </w:pPr>
            <w:r>
              <w:rPr>
                <w:rFonts w:ascii="Calibri" w:hAnsi="Calibri"/>
                <w:color w:val="0F172A"/>
                <w:sz w:val="19"/>
              </w:rPr>
              <w:t>1.1 ms</w:t>
            </w:r>
          </w:p>
        </w:tc>
      </w:tr>
      <w:tr>
        <w:tc>
          <w:tcPr>
            <w:tcW w:type="dxa" w:w="1296"/>
            <w:shd w:fill="FFFFFF"/>
            <w:tcMar>
              <w:top w:w="90" w:type="dxa"/>
              <w:bottom w:w="90" w:type="dxa"/>
              <w:left w:w="130" w:type="dxa"/>
              <w:right w:w="130" w:type="dxa"/>
            </w:tcMar>
          </w:tcPr>
          <w:p>
            <w:pPr>
              <w:jc w:val="center"/>
            </w:pPr>
            <w:r>
              <w:rPr>
                <w:rFonts w:ascii="Calibri" w:hAnsi="Calibri"/>
                <w:color w:val="0F172A"/>
                <w:sz w:val="19"/>
              </w:rPr>
              <w:t>TS-07</w:t>
            </w:r>
          </w:p>
        </w:tc>
        <w:tc>
          <w:tcPr>
            <w:tcW w:type="dxa" w:w="4608"/>
            <w:shd w:fill="FFFFFF"/>
            <w:tcMar>
              <w:top w:w="90" w:type="dxa"/>
              <w:bottom w:w="90" w:type="dxa"/>
              <w:left w:w="130" w:type="dxa"/>
              <w:right w:w="130" w:type="dxa"/>
            </w:tcMar>
          </w:tcPr>
          <w:p>
            <w:r>
              <w:rPr>
                <w:rFonts w:ascii="Calibri" w:hAnsi="Calibri"/>
                <w:color w:val="0F172A"/>
                <w:sz w:val="19"/>
              </w:rPr>
              <w:t>PHASE 7: Truthful Dispatch &amp; Diagnostics Latency Benchmark</w:t>
            </w:r>
          </w:p>
        </w:tc>
        <w:tc>
          <w:tcPr>
            <w:tcW w:type="dxa" w:w="1728"/>
            <w:shd w:fill="FFFFFF"/>
            <w:tcMar>
              <w:top w:w="90" w:type="dxa"/>
              <w:bottom w:w="90" w:type="dxa"/>
              <w:left w:w="130" w:type="dxa"/>
              <w:right w:w="130" w:type="dxa"/>
            </w:tcMar>
          </w:tcPr>
          <w:p>
            <w:pPr>
              <w:jc w:val="center"/>
            </w:pPr>
            <w:r>
              <w:rPr>
                <w:rFonts w:ascii="Calibri" w:hAnsi="Calibri"/>
                <w:color w:val="0F172A"/>
                <w:sz w:val="19"/>
              </w:rPr>
              <w:t>2</w:t>
            </w:r>
          </w:p>
        </w:tc>
        <w:tc>
          <w:tcPr>
            <w:tcW w:type="dxa" w:w="1872"/>
            <w:shd w:fill="FFFFFF"/>
            <w:tcMar>
              <w:top w:w="90" w:type="dxa"/>
              <w:bottom w:w="90" w:type="dxa"/>
              <w:left w:w="130" w:type="dxa"/>
              <w:right w:w="130" w:type="dxa"/>
            </w:tcMar>
          </w:tcPr>
          <w:p>
            <w:pPr>
              <w:jc w:val="center"/>
            </w:pPr>
            <w:r>
              <w:rPr>
                <w:rFonts w:ascii="Calibri" w:hAnsi="Calibri"/>
                <w:color w:val="0F172A"/>
                <w:sz w:val="19"/>
              </w:rPr>
              <w:t>17.3 ms</w:t>
            </w:r>
          </w:p>
        </w:tc>
      </w:tr>
      <w:tr>
        <w:tc>
          <w:tcPr>
            <w:tcW w:type="dxa" w:w="1296"/>
            <w:shd w:fill="F8FAFC"/>
            <w:tcMar>
              <w:top w:w="90" w:type="dxa"/>
              <w:bottom w:w="90" w:type="dxa"/>
              <w:left w:w="130" w:type="dxa"/>
              <w:right w:w="130" w:type="dxa"/>
            </w:tcMar>
          </w:tcPr>
          <w:p>
            <w:pPr>
              <w:jc w:val="center"/>
            </w:pPr>
            <w:r>
              <w:rPr>
                <w:rFonts w:ascii="Calibri" w:hAnsi="Calibri"/>
                <w:color w:val="0F172A"/>
                <w:sz w:val="19"/>
              </w:rPr>
              <w:t>TS-08</w:t>
            </w:r>
          </w:p>
        </w:tc>
        <w:tc>
          <w:tcPr>
            <w:tcW w:type="dxa" w:w="4608"/>
            <w:shd w:fill="F8FAFC"/>
            <w:tcMar>
              <w:top w:w="90" w:type="dxa"/>
              <w:bottom w:w="90" w:type="dxa"/>
              <w:left w:w="130" w:type="dxa"/>
              <w:right w:w="130" w:type="dxa"/>
            </w:tcMar>
          </w:tcPr>
          <w:p>
            <w:r>
              <w:rPr>
                <w:rFonts w:ascii="Calibri" w:hAnsi="Calibri"/>
                <w:color w:val="0F172A"/>
                <w:sz w:val="19"/>
              </w:rPr>
              <w:t>PHASE 8: SendGrid Email Integration &amp; Graceful Resilience</w:t>
            </w:r>
          </w:p>
        </w:tc>
        <w:tc>
          <w:tcPr>
            <w:tcW w:type="dxa" w:w="1728"/>
            <w:shd w:fill="F8FAFC"/>
            <w:tcMar>
              <w:top w:w="90" w:type="dxa"/>
              <w:bottom w:w="90" w:type="dxa"/>
              <w:left w:w="130" w:type="dxa"/>
              <w:right w:w="130" w:type="dxa"/>
            </w:tcMar>
          </w:tcPr>
          <w:p>
            <w:pPr>
              <w:jc w:val="center"/>
            </w:pPr>
            <w:r>
              <w:rPr>
                <w:rFonts w:ascii="Calibri" w:hAnsi="Calibri"/>
                <w:color w:val="0F172A"/>
                <w:sz w:val="19"/>
              </w:rPr>
              <w:t>1</w:t>
            </w:r>
          </w:p>
        </w:tc>
        <w:tc>
          <w:tcPr>
            <w:tcW w:type="dxa" w:w="1872"/>
            <w:shd w:fill="F8FAFC"/>
            <w:tcMar>
              <w:top w:w="90" w:type="dxa"/>
              <w:bottom w:w="90" w:type="dxa"/>
              <w:left w:w="130" w:type="dxa"/>
              <w:right w:w="130" w:type="dxa"/>
            </w:tcMar>
          </w:tcPr>
          <w:p>
            <w:pPr>
              <w:jc w:val="center"/>
            </w:pPr>
            <w:r>
              <w:rPr>
                <w:rFonts w:ascii="Calibri" w:hAnsi="Calibri"/>
                <w:color w:val="0F172A"/>
                <w:sz w:val="19"/>
              </w:rPr>
              <w:t>0.4 ms</w:t>
            </w:r>
          </w:p>
        </w:tc>
      </w:tr>
      <w:tr>
        <w:tc>
          <w:tcPr>
            <w:tcW w:type="dxa" w:w="1296"/>
            <w:shd w:fill="FFFFFF"/>
            <w:tcMar>
              <w:top w:w="90" w:type="dxa"/>
              <w:bottom w:w="90" w:type="dxa"/>
              <w:left w:w="130" w:type="dxa"/>
              <w:right w:w="130" w:type="dxa"/>
            </w:tcMar>
          </w:tcPr>
          <w:p>
            <w:pPr>
              <w:jc w:val="center"/>
            </w:pPr>
            <w:r>
              <w:rPr>
                <w:rFonts w:ascii="Calibri" w:hAnsi="Calibri"/>
                <w:color w:val="0F172A"/>
                <w:sz w:val="19"/>
              </w:rPr>
              <w:t>TS-09</w:t>
            </w:r>
          </w:p>
        </w:tc>
        <w:tc>
          <w:tcPr>
            <w:tcW w:type="dxa" w:w="4608"/>
            <w:shd w:fill="FFFFFF"/>
            <w:tcMar>
              <w:top w:w="90" w:type="dxa"/>
              <w:bottom w:w="90" w:type="dxa"/>
              <w:left w:w="130" w:type="dxa"/>
              <w:right w:w="130" w:type="dxa"/>
            </w:tcMar>
          </w:tcPr>
          <w:p>
            <w:r>
              <w:rPr>
                <w:rFonts w:ascii="Calibri" w:hAnsi="Calibri"/>
                <w:color w:val="0F172A"/>
                <w:sz w:val="19"/>
              </w:rPr>
              <w:t>PHASE 2, 3, 6, 10.2: HTTP API Endpoints &amp; P0 IDOR Protection</w:t>
            </w:r>
          </w:p>
        </w:tc>
        <w:tc>
          <w:tcPr>
            <w:tcW w:type="dxa" w:w="1728"/>
            <w:shd w:fill="FFFFFF"/>
            <w:tcMar>
              <w:top w:w="90" w:type="dxa"/>
              <w:bottom w:w="90" w:type="dxa"/>
              <w:left w:w="130" w:type="dxa"/>
              <w:right w:w="130" w:type="dxa"/>
            </w:tcMar>
          </w:tcPr>
          <w:p>
            <w:pPr>
              <w:jc w:val="center"/>
            </w:pPr>
            <w:r>
              <w:rPr>
                <w:rFonts w:ascii="Calibri" w:hAnsi="Calibri"/>
                <w:color w:val="0F172A"/>
                <w:sz w:val="19"/>
              </w:rPr>
              <w:t>10</w:t>
            </w:r>
          </w:p>
        </w:tc>
        <w:tc>
          <w:tcPr>
            <w:tcW w:type="dxa" w:w="1872"/>
            <w:shd w:fill="FFFFFF"/>
            <w:tcMar>
              <w:top w:w="90" w:type="dxa"/>
              <w:bottom w:w="90" w:type="dxa"/>
              <w:left w:w="130" w:type="dxa"/>
              <w:right w:w="130" w:type="dxa"/>
            </w:tcMar>
          </w:tcPr>
          <w:p>
            <w:pPr>
              <w:jc w:val="center"/>
            </w:pPr>
            <w:r>
              <w:rPr>
                <w:rFonts w:ascii="Calibri" w:hAnsi="Calibri"/>
                <w:color w:val="0F172A"/>
                <w:sz w:val="19"/>
              </w:rPr>
              <w:t>9433.7 ms</w:t>
            </w:r>
          </w:p>
        </w:tc>
      </w:tr>
    </w:tbl>
    <w:p>
      <w:pPr>
        <w:spacing w:after="120" w:line="276" w:lineRule="auto"/>
      </w:pPr>
      <w:r>
        <w:rPr>
          <w:rFonts w:ascii="Calibri" w:hAnsi="Calibri"/>
          <w:b/>
          <w:color w:val="0F172A"/>
          <w:sz w:val="22"/>
        </w:rPr>
        <w:t xml:space="preserve">Automated Execution Status: </w:t>
      </w:r>
      <w:r>
        <w:rPr>
          <w:rFonts w:ascii="Calibri" w:hAnsi="Calibri"/>
          <w:color w:val="0F172A"/>
          <w:sz w:val="22"/>
        </w:rPr>
        <w:t>33 Executed | 33 Passed | 0 Failed (100% Automated Test Pass Rate across 9 test suites)</w:t>
      </w:r>
    </w:p>
    <w:p>
      <w:pPr>
        <w:spacing w:before="280" w:after="120"/>
      </w:pPr>
      <w:r>
        <w:rPr>
          <w:rFonts w:ascii="Arial" w:hAnsi="Arial"/>
          <w:b/>
          <w:color w:val="2563EB"/>
          <w:sz w:val="26"/>
        </w:rPr>
        <w:t>10.8 Comprehensive Test Execution Summary Report</w:t>
      </w:r>
    </w:p>
    <w:tbl>
      <w:tblPr>
        <w:tblW w:type="auto" w:w="0"/>
        <w:jc w:val="center"/>
        <w:tblLook w:firstColumn="1" w:firstRow="1" w:lastColumn="0" w:lastRow="0" w:noHBand="0" w:noVBand="1" w:val="04A0"/>
      </w:tblPr>
      <w:tblGrid>
        <w:gridCol w:w="2340"/>
        <w:gridCol w:w="2340"/>
        <w:gridCol w:w="2340"/>
        <w:gridCol w:w="2340"/>
      </w:tblGrid>
      <w:tr>
        <w:tc>
          <w:tcPr>
            <w:tcW w:type="dxa" w:w="3600"/>
            <w:shd w:fill="1E3A8A"/>
            <w:tcMar>
              <w:top w:w="120" w:type="dxa"/>
              <w:bottom w:w="120" w:type="dxa"/>
              <w:left w:w="150" w:type="dxa"/>
              <w:right w:w="150" w:type="dxa"/>
            </w:tcMar>
          </w:tcPr>
          <w:p>
            <w:pPr>
              <w:jc w:val="center"/>
            </w:pPr>
            <w:r>
              <w:rPr>
                <w:rFonts w:ascii="Arial" w:hAnsi="Arial"/>
                <w:b/>
                <w:color w:val="FFFFFF"/>
                <w:sz w:val="19"/>
              </w:rPr>
              <w:t>Testing Category</w:t>
            </w:r>
          </w:p>
        </w:tc>
        <w:tc>
          <w:tcPr>
            <w:tcW w:type="dxa" w:w="1872"/>
            <w:shd w:fill="1E3A8A"/>
            <w:tcMar>
              <w:top w:w="120" w:type="dxa"/>
              <w:bottom w:w="120" w:type="dxa"/>
              <w:left w:w="150" w:type="dxa"/>
              <w:right w:w="150" w:type="dxa"/>
            </w:tcMar>
          </w:tcPr>
          <w:p>
            <w:pPr>
              <w:jc w:val="center"/>
            </w:pPr>
            <w:r>
              <w:rPr>
                <w:rFonts w:ascii="Arial" w:hAnsi="Arial"/>
                <w:b/>
                <w:color w:val="FFFFFF"/>
                <w:sz w:val="19"/>
              </w:rPr>
              <w:t>Tests Executed</w:t>
            </w:r>
          </w:p>
        </w:tc>
        <w:tc>
          <w:tcPr>
            <w:tcW w:type="dxa" w:w="1872"/>
            <w:shd w:fill="1E3A8A"/>
            <w:tcMar>
              <w:top w:w="120" w:type="dxa"/>
              <w:bottom w:w="120" w:type="dxa"/>
              <w:left w:w="150" w:type="dxa"/>
              <w:right w:w="150" w:type="dxa"/>
            </w:tcMar>
          </w:tcPr>
          <w:p>
            <w:pPr>
              <w:jc w:val="center"/>
            </w:pPr>
            <w:r>
              <w:rPr>
                <w:rFonts w:ascii="Arial" w:hAnsi="Arial"/>
                <w:b/>
                <w:color w:val="FFFFFF"/>
                <w:sz w:val="19"/>
              </w:rPr>
              <w:t>Tests Passed</w:t>
            </w:r>
          </w:p>
        </w:tc>
        <w:tc>
          <w:tcPr>
            <w:tcW w:type="dxa" w:w="2016"/>
            <w:shd w:fill="1E3A8A"/>
            <w:tcMar>
              <w:top w:w="120" w:type="dxa"/>
              <w:bottom w:w="120" w:type="dxa"/>
              <w:left w:w="150" w:type="dxa"/>
              <w:right w:w="150" w:type="dxa"/>
            </w:tcMar>
          </w:tcPr>
          <w:p>
            <w:pPr>
              <w:jc w:val="center"/>
            </w:pPr>
            <w:r>
              <w:rPr>
                <w:rFonts w:ascii="Arial" w:hAnsi="Arial"/>
                <w:b/>
                <w:color w:val="FFFFFF"/>
                <w:sz w:val="19"/>
              </w:rPr>
              <w:t>Pass Rate (%)</w:t>
            </w:r>
          </w:p>
        </w:tc>
      </w:tr>
      <w:tr>
        <w:tc>
          <w:tcPr>
            <w:tcW w:type="dxa" w:w="3600"/>
            <w:shd w:fill="FFFFFF"/>
            <w:tcMar>
              <w:top w:w="90" w:type="dxa"/>
              <w:bottom w:w="90" w:type="dxa"/>
              <w:left w:w="130" w:type="dxa"/>
              <w:right w:w="130" w:type="dxa"/>
            </w:tcMar>
          </w:tcPr>
          <w:p>
            <w:r>
              <w:rPr>
                <w:rFonts w:ascii="Calibri" w:hAnsi="Calibri"/>
                <w:color w:val="0F172A"/>
                <w:sz w:val="19"/>
              </w:rPr>
              <w:t>Automated Continuous Verification Suite</w:t>
            </w:r>
          </w:p>
        </w:tc>
        <w:tc>
          <w:tcPr>
            <w:tcW w:type="dxa" w:w="1872"/>
            <w:shd w:fill="FFFFFF"/>
            <w:tcMar>
              <w:top w:w="90" w:type="dxa"/>
              <w:bottom w:w="90" w:type="dxa"/>
              <w:left w:w="130" w:type="dxa"/>
              <w:right w:w="130" w:type="dxa"/>
            </w:tcMar>
          </w:tcPr>
          <w:p>
            <w:r>
              <w:rPr>
                <w:rFonts w:ascii="Calibri" w:hAnsi="Calibri"/>
                <w:color w:val="0F172A"/>
                <w:sz w:val="19"/>
              </w:rPr>
              <w:t>33</w:t>
            </w:r>
          </w:p>
        </w:tc>
        <w:tc>
          <w:tcPr>
            <w:tcW w:type="dxa" w:w="1872"/>
            <w:shd w:fill="FFFFFF"/>
            <w:tcMar>
              <w:top w:w="90" w:type="dxa"/>
              <w:bottom w:w="90" w:type="dxa"/>
              <w:left w:w="130" w:type="dxa"/>
              <w:right w:w="130" w:type="dxa"/>
            </w:tcMar>
          </w:tcPr>
          <w:p>
            <w:pPr>
              <w:jc w:val="center"/>
            </w:pPr>
            <w:r>
              <w:rPr>
                <w:rFonts w:ascii="Calibri" w:hAnsi="Calibri"/>
                <w:color w:val="0F172A"/>
                <w:sz w:val="19"/>
              </w:rPr>
              <w:t>33</w:t>
            </w:r>
          </w:p>
        </w:tc>
        <w:tc>
          <w:tcPr>
            <w:tcW w:type="dxa" w:w="2016"/>
            <w:shd w:fill="FFFFFF"/>
            <w:tcMar>
              <w:top w:w="90" w:type="dxa"/>
              <w:bottom w:w="90" w:type="dxa"/>
              <w:left w:w="130" w:type="dxa"/>
              <w:right w:w="130" w:type="dxa"/>
            </w:tcMar>
          </w:tcPr>
          <w:p>
            <w:pPr>
              <w:jc w:val="center"/>
            </w:pPr>
            <w:r>
              <w:rPr>
                <w:rFonts w:ascii="Calibri" w:hAnsi="Calibri"/>
                <w:color w:val="0F172A"/>
                <w:sz w:val="19"/>
              </w:rPr>
              <w:t>100%</w:t>
            </w:r>
          </w:p>
        </w:tc>
      </w:tr>
      <w:tr>
        <w:tc>
          <w:tcPr>
            <w:tcW w:type="dxa" w:w="3600"/>
            <w:shd w:fill="F8FAFC"/>
            <w:tcMar>
              <w:top w:w="90" w:type="dxa"/>
              <w:bottom w:w="90" w:type="dxa"/>
              <w:left w:w="130" w:type="dxa"/>
              <w:right w:w="130" w:type="dxa"/>
            </w:tcMar>
          </w:tcPr>
          <w:p>
            <w:r>
              <w:rPr>
                <w:rFonts w:ascii="Calibri" w:hAnsi="Calibri"/>
                <w:color w:val="0F172A"/>
                <w:sz w:val="19"/>
              </w:rPr>
              <w:t>Unit Testing (White-Box Code Level)</w:t>
            </w:r>
          </w:p>
        </w:tc>
        <w:tc>
          <w:tcPr>
            <w:tcW w:type="dxa" w:w="1872"/>
            <w:shd w:fill="F8FAFC"/>
            <w:tcMar>
              <w:top w:w="90" w:type="dxa"/>
              <w:bottom w:w="90" w:type="dxa"/>
              <w:left w:w="130" w:type="dxa"/>
              <w:right w:w="130" w:type="dxa"/>
            </w:tcMar>
          </w:tcPr>
          <w:p>
            <w:r>
              <w:rPr>
                <w:rFonts w:ascii="Calibri" w:hAnsi="Calibri"/>
                <w:color w:val="0F172A"/>
                <w:sz w:val="19"/>
              </w:rPr>
              <w:t>8</w:t>
            </w:r>
          </w:p>
        </w:tc>
        <w:tc>
          <w:tcPr>
            <w:tcW w:type="dxa" w:w="1872"/>
            <w:shd w:fill="F8FAFC"/>
            <w:tcMar>
              <w:top w:w="90" w:type="dxa"/>
              <w:bottom w:w="90" w:type="dxa"/>
              <w:left w:w="130" w:type="dxa"/>
              <w:right w:w="130" w:type="dxa"/>
            </w:tcMar>
          </w:tcPr>
          <w:p>
            <w:pPr>
              <w:jc w:val="center"/>
            </w:pPr>
            <w:r>
              <w:rPr>
                <w:rFonts w:ascii="Calibri" w:hAnsi="Calibri"/>
                <w:color w:val="0F172A"/>
                <w:sz w:val="19"/>
              </w:rPr>
              <w:t>8</w:t>
            </w:r>
          </w:p>
        </w:tc>
        <w:tc>
          <w:tcPr>
            <w:tcW w:type="dxa" w:w="2016"/>
            <w:shd w:fill="F8FAFC"/>
            <w:tcMar>
              <w:top w:w="90" w:type="dxa"/>
              <w:bottom w:w="90" w:type="dxa"/>
              <w:left w:w="130" w:type="dxa"/>
              <w:right w:w="130" w:type="dxa"/>
            </w:tcMar>
          </w:tcPr>
          <w:p>
            <w:pPr>
              <w:jc w:val="center"/>
            </w:pPr>
            <w:r>
              <w:rPr>
                <w:rFonts w:ascii="Calibri" w:hAnsi="Calibri"/>
                <w:color w:val="0F172A"/>
                <w:sz w:val="19"/>
              </w:rPr>
              <w:t>100%</w:t>
            </w:r>
          </w:p>
        </w:tc>
      </w:tr>
      <w:tr>
        <w:tc>
          <w:tcPr>
            <w:tcW w:type="dxa" w:w="3600"/>
            <w:shd w:fill="FFFFFF"/>
            <w:tcMar>
              <w:top w:w="90" w:type="dxa"/>
              <w:bottom w:w="90" w:type="dxa"/>
              <w:left w:w="130" w:type="dxa"/>
              <w:right w:w="130" w:type="dxa"/>
            </w:tcMar>
          </w:tcPr>
          <w:p>
            <w:r>
              <w:rPr>
                <w:rFonts w:ascii="Calibri" w:hAnsi="Calibri"/>
                <w:color w:val="0F172A"/>
                <w:sz w:val="19"/>
              </w:rPr>
              <w:t>Integration Testing (Black-Box Workflows)</w:t>
            </w:r>
          </w:p>
        </w:tc>
        <w:tc>
          <w:tcPr>
            <w:tcW w:type="dxa" w:w="1872"/>
            <w:shd w:fill="FFFFFF"/>
            <w:tcMar>
              <w:top w:w="90" w:type="dxa"/>
              <w:bottom w:w="90" w:type="dxa"/>
              <w:left w:w="130" w:type="dxa"/>
              <w:right w:w="130" w:type="dxa"/>
            </w:tcMar>
          </w:tcPr>
          <w:p>
            <w:r>
              <w:rPr>
                <w:rFonts w:ascii="Calibri" w:hAnsi="Calibri"/>
                <w:color w:val="0F172A"/>
                <w:sz w:val="19"/>
              </w:rPr>
              <w:t>8</w:t>
            </w:r>
          </w:p>
        </w:tc>
        <w:tc>
          <w:tcPr>
            <w:tcW w:type="dxa" w:w="1872"/>
            <w:shd w:fill="FFFFFF"/>
            <w:tcMar>
              <w:top w:w="90" w:type="dxa"/>
              <w:bottom w:w="90" w:type="dxa"/>
              <w:left w:w="130" w:type="dxa"/>
              <w:right w:w="130" w:type="dxa"/>
            </w:tcMar>
          </w:tcPr>
          <w:p>
            <w:pPr>
              <w:jc w:val="center"/>
            </w:pPr>
            <w:r>
              <w:rPr>
                <w:rFonts w:ascii="Calibri" w:hAnsi="Calibri"/>
                <w:color w:val="0F172A"/>
                <w:sz w:val="19"/>
              </w:rPr>
              <w:t>8</w:t>
            </w:r>
          </w:p>
        </w:tc>
        <w:tc>
          <w:tcPr>
            <w:tcW w:type="dxa" w:w="2016"/>
            <w:shd w:fill="FFFFFF"/>
            <w:tcMar>
              <w:top w:w="90" w:type="dxa"/>
              <w:bottom w:w="90" w:type="dxa"/>
              <w:left w:w="130" w:type="dxa"/>
              <w:right w:w="130" w:type="dxa"/>
            </w:tcMar>
          </w:tcPr>
          <w:p>
            <w:pPr>
              <w:jc w:val="center"/>
            </w:pPr>
            <w:r>
              <w:rPr>
                <w:rFonts w:ascii="Calibri" w:hAnsi="Calibri"/>
                <w:color w:val="0F172A"/>
                <w:sz w:val="19"/>
              </w:rPr>
              <w:t>100%</w:t>
            </w:r>
          </w:p>
        </w:tc>
      </w:tr>
      <w:tr>
        <w:tc>
          <w:tcPr>
            <w:tcW w:type="dxa" w:w="3600"/>
            <w:shd w:fill="F8FAFC"/>
            <w:tcMar>
              <w:top w:w="90" w:type="dxa"/>
              <w:bottom w:w="90" w:type="dxa"/>
              <w:left w:w="130" w:type="dxa"/>
              <w:right w:w="130" w:type="dxa"/>
            </w:tcMar>
          </w:tcPr>
          <w:p>
            <w:r>
              <w:rPr>
                <w:rFonts w:ascii="Calibri" w:hAnsi="Calibri"/>
                <w:color w:val="0F172A"/>
                <w:sz w:val="19"/>
              </w:rPr>
              <w:t>Boundary Value Analysis &amp; Equivalence</w:t>
            </w:r>
          </w:p>
        </w:tc>
        <w:tc>
          <w:tcPr>
            <w:tcW w:type="dxa" w:w="1872"/>
            <w:shd w:fill="F8FAFC"/>
            <w:tcMar>
              <w:top w:w="90" w:type="dxa"/>
              <w:bottom w:w="90" w:type="dxa"/>
              <w:left w:w="130" w:type="dxa"/>
              <w:right w:w="130" w:type="dxa"/>
            </w:tcMar>
          </w:tcPr>
          <w:p>
            <w:r>
              <w:rPr>
                <w:rFonts w:ascii="Calibri" w:hAnsi="Calibri"/>
                <w:color w:val="0F172A"/>
                <w:sz w:val="19"/>
              </w:rPr>
              <w:t>6</w:t>
            </w:r>
          </w:p>
        </w:tc>
        <w:tc>
          <w:tcPr>
            <w:tcW w:type="dxa" w:w="1872"/>
            <w:shd w:fill="F8FAFC"/>
            <w:tcMar>
              <w:top w:w="90" w:type="dxa"/>
              <w:bottom w:w="90" w:type="dxa"/>
              <w:left w:w="130" w:type="dxa"/>
              <w:right w:w="130" w:type="dxa"/>
            </w:tcMar>
          </w:tcPr>
          <w:p>
            <w:pPr>
              <w:jc w:val="center"/>
            </w:pPr>
            <w:r>
              <w:rPr>
                <w:rFonts w:ascii="Calibri" w:hAnsi="Calibri"/>
                <w:color w:val="0F172A"/>
                <w:sz w:val="19"/>
              </w:rPr>
              <w:t>6</w:t>
            </w:r>
          </w:p>
        </w:tc>
        <w:tc>
          <w:tcPr>
            <w:tcW w:type="dxa" w:w="2016"/>
            <w:shd w:fill="F8FAFC"/>
            <w:tcMar>
              <w:top w:w="90" w:type="dxa"/>
              <w:bottom w:w="90" w:type="dxa"/>
              <w:left w:w="130" w:type="dxa"/>
              <w:right w:w="130" w:type="dxa"/>
            </w:tcMar>
          </w:tcPr>
          <w:p>
            <w:pPr>
              <w:jc w:val="center"/>
            </w:pPr>
            <w:r>
              <w:rPr>
                <w:rFonts w:ascii="Calibri" w:hAnsi="Calibri"/>
                <w:color w:val="0F172A"/>
                <w:sz w:val="19"/>
              </w:rPr>
              <w:t>100%</w:t>
            </w:r>
          </w:p>
        </w:tc>
      </w:tr>
      <w:tr>
        <w:tc>
          <w:tcPr>
            <w:tcW w:type="dxa" w:w="3600"/>
            <w:shd w:fill="FFFFFF"/>
            <w:tcMar>
              <w:top w:w="90" w:type="dxa"/>
              <w:bottom w:w="90" w:type="dxa"/>
              <w:left w:w="130" w:type="dxa"/>
              <w:right w:w="130" w:type="dxa"/>
            </w:tcMar>
          </w:tcPr>
          <w:p>
            <w:r>
              <w:rPr>
                <w:rFonts w:ascii="Calibri" w:hAnsi="Calibri"/>
                <w:color w:val="0F172A"/>
                <w:sz w:val="19"/>
              </w:rPr>
              <w:t>Security Vulnerability &amp; IDOR Testing</w:t>
            </w:r>
          </w:p>
        </w:tc>
        <w:tc>
          <w:tcPr>
            <w:tcW w:type="dxa" w:w="1872"/>
            <w:shd w:fill="FFFFFF"/>
            <w:tcMar>
              <w:top w:w="90" w:type="dxa"/>
              <w:bottom w:w="90" w:type="dxa"/>
              <w:left w:w="130" w:type="dxa"/>
              <w:right w:w="130" w:type="dxa"/>
            </w:tcMar>
          </w:tcPr>
          <w:p>
            <w:r>
              <w:rPr>
                <w:rFonts w:ascii="Calibri" w:hAnsi="Calibri"/>
                <w:color w:val="0F172A"/>
                <w:sz w:val="19"/>
              </w:rPr>
              <w:t>6</w:t>
            </w:r>
          </w:p>
        </w:tc>
        <w:tc>
          <w:tcPr>
            <w:tcW w:type="dxa" w:w="1872"/>
            <w:shd w:fill="FFFFFF"/>
            <w:tcMar>
              <w:top w:w="90" w:type="dxa"/>
              <w:bottom w:w="90" w:type="dxa"/>
              <w:left w:w="130" w:type="dxa"/>
              <w:right w:w="130" w:type="dxa"/>
            </w:tcMar>
          </w:tcPr>
          <w:p>
            <w:pPr>
              <w:jc w:val="center"/>
            </w:pPr>
            <w:r>
              <w:rPr>
                <w:rFonts w:ascii="Calibri" w:hAnsi="Calibri"/>
                <w:color w:val="0F172A"/>
                <w:sz w:val="19"/>
              </w:rPr>
              <w:t>6</w:t>
            </w:r>
          </w:p>
        </w:tc>
        <w:tc>
          <w:tcPr>
            <w:tcW w:type="dxa" w:w="2016"/>
            <w:shd w:fill="FFFFFF"/>
            <w:tcMar>
              <w:top w:w="90" w:type="dxa"/>
              <w:bottom w:w="90" w:type="dxa"/>
              <w:left w:w="130" w:type="dxa"/>
              <w:right w:w="130" w:type="dxa"/>
            </w:tcMar>
          </w:tcPr>
          <w:p>
            <w:pPr>
              <w:jc w:val="center"/>
            </w:pPr>
            <w:r>
              <w:rPr>
                <w:rFonts w:ascii="Calibri" w:hAnsi="Calibri"/>
                <w:color w:val="0F172A"/>
                <w:sz w:val="19"/>
              </w:rPr>
              <w:t>100%</w:t>
            </w:r>
          </w:p>
        </w:tc>
      </w:tr>
      <w:tr>
        <w:tc>
          <w:tcPr>
            <w:tcW w:type="dxa" w:w="3600"/>
            <w:shd w:fill="F8FAFC"/>
            <w:tcMar>
              <w:top w:w="90" w:type="dxa"/>
              <w:bottom w:w="90" w:type="dxa"/>
              <w:left w:w="130" w:type="dxa"/>
              <w:right w:w="130" w:type="dxa"/>
            </w:tcMar>
          </w:tcPr>
          <w:p>
            <w:r>
              <w:rPr>
                <w:rFonts w:ascii="Calibri" w:hAnsi="Calibri"/>
                <w:color w:val="0F172A"/>
                <w:sz w:val="19"/>
              </w:rPr>
              <w:t>Usability &amp; Cross-Device Responsiveness</w:t>
            </w:r>
          </w:p>
        </w:tc>
        <w:tc>
          <w:tcPr>
            <w:tcW w:type="dxa" w:w="1872"/>
            <w:shd w:fill="F8FAFC"/>
            <w:tcMar>
              <w:top w:w="90" w:type="dxa"/>
              <w:bottom w:w="90" w:type="dxa"/>
              <w:left w:w="130" w:type="dxa"/>
              <w:right w:w="130" w:type="dxa"/>
            </w:tcMar>
          </w:tcPr>
          <w:p>
            <w:r>
              <w:rPr>
                <w:rFonts w:ascii="Calibri" w:hAnsi="Calibri"/>
                <w:color w:val="0F172A"/>
                <w:sz w:val="19"/>
              </w:rPr>
              <w:t>8</w:t>
            </w:r>
          </w:p>
        </w:tc>
        <w:tc>
          <w:tcPr>
            <w:tcW w:type="dxa" w:w="1872"/>
            <w:shd w:fill="F8FAFC"/>
            <w:tcMar>
              <w:top w:w="90" w:type="dxa"/>
              <w:bottom w:w="90" w:type="dxa"/>
              <w:left w:w="130" w:type="dxa"/>
              <w:right w:w="130" w:type="dxa"/>
            </w:tcMar>
          </w:tcPr>
          <w:p>
            <w:pPr>
              <w:jc w:val="center"/>
            </w:pPr>
            <w:r>
              <w:rPr>
                <w:rFonts w:ascii="Calibri" w:hAnsi="Calibri"/>
                <w:color w:val="0F172A"/>
                <w:sz w:val="19"/>
              </w:rPr>
              <w:t>8</w:t>
            </w:r>
          </w:p>
        </w:tc>
        <w:tc>
          <w:tcPr>
            <w:tcW w:type="dxa" w:w="2016"/>
            <w:shd w:fill="F8FAFC"/>
            <w:tcMar>
              <w:top w:w="90" w:type="dxa"/>
              <w:bottom w:w="90" w:type="dxa"/>
              <w:left w:w="130" w:type="dxa"/>
              <w:right w:w="130" w:type="dxa"/>
            </w:tcMar>
          </w:tcPr>
          <w:p>
            <w:pPr>
              <w:jc w:val="center"/>
            </w:pPr>
            <w:r>
              <w:rPr>
                <w:rFonts w:ascii="Calibri" w:hAnsi="Calibri"/>
                <w:color w:val="0F172A"/>
                <w:sz w:val="19"/>
              </w:rPr>
              <w:t>100%</w:t>
            </w:r>
          </w:p>
        </w:tc>
      </w:tr>
    </w:tbl>
    <w:p>
      <w:pPr>
        <w:spacing w:after="120" w:line="276" w:lineRule="auto"/>
      </w:pPr>
      <w:r>
        <w:rPr>
          <w:rFonts w:ascii="Calibri" w:hAnsi="Calibri"/>
          <w:b/>
          <w:color w:val="0F172A"/>
          <w:sz w:val="22"/>
        </w:rPr>
        <w:t xml:space="preserve">Overall Quality Assurance Synthesis: </w:t>
      </w:r>
      <w:r>
        <w:rPr>
          <w:rFonts w:ascii="Calibri" w:hAnsi="Calibri"/>
          <w:color w:val="0F172A"/>
          <w:sz w:val="22"/>
        </w:rPr>
        <w:t>69 Executed | 69 Passed | 0 Failed (100% Overall Verification Pass Rate across automated and manual test suites)</w:t>
      </w:r>
    </w:p>
    <w:p>
      <w:pPr>
        <w:spacing w:before="160" w:after="80"/>
        <w:jc w:val="center"/>
      </w:pPr>
      <w:r>
        <w:drawing>
          <wp:inline xmlns:a="http://schemas.openxmlformats.org/drawingml/2006/main" xmlns:pic="http://schemas.openxmlformats.org/drawingml/2006/picture">
            <wp:extent cx="5303520" cy="2949012"/>
            <wp:docPr id="20" name="Picture 20"/>
            <wp:cNvGraphicFramePr>
              <a:graphicFrameLocks noChangeAspect="1"/>
            </wp:cNvGraphicFramePr>
            <a:graphic>
              <a:graphicData uri="http://schemas.openxmlformats.org/drawingml/2006/picture">
                <pic:pic>
                  <pic:nvPicPr>
                    <pic:cNvPr id="0" name="img20_testing_metrics.png"/>
                    <pic:cNvPicPr/>
                  </pic:nvPicPr>
                  <pic:blipFill>
                    <a:blip r:embed="rId28"/>
                    <a:stretch>
                      <a:fillRect/>
                    </a:stretch>
                  </pic:blipFill>
                  <pic:spPr>
                    <a:xfrm>
                      <a:off x="0" y="0"/>
                      <a:ext cx="5303520" cy="2949012"/>
                    </a:xfrm>
                    <a:prstGeom prst="rect"/>
                  </pic:spPr>
                </pic:pic>
              </a:graphicData>
            </a:graphic>
          </wp:inline>
        </w:drawing>
      </w:r>
    </w:p>
    <w:p>
      <w:pPr>
        <w:spacing w:after="240"/>
        <w:jc w:val="center"/>
      </w:pPr>
      <w:r>
        <w:rPr>
          <w:rFonts w:ascii="Calibri" w:hAnsi="Calibri"/>
          <w:i/>
          <w:color w:val="475569"/>
          <w:sz w:val="19"/>
        </w:rPr>
        <w:t>Figure: Test Execution Metrics &amp; Verification Summary</w:t>
      </w:r>
    </w:p>
    <w:p>
      <w:r>
        <w:br w:type="page"/>
      </w:r>
    </w:p>
    <w:p>
      <w:pPr>
        <w:spacing w:before="360" w:after="160"/>
      </w:pPr>
      <w:r>
        <w:rPr>
          <w:rFonts w:ascii="Arial" w:hAnsi="Arial"/>
          <w:b/>
          <w:color w:val="1E3A8A"/>
          <w:sz w:val="32"/>
        </w:rPr>
        <w:t>11. CONCLUSION &amp; FUTURE SCOPE</w:t>
      </w:r>
    </w:p>
    <w:p>
      <w:pPr>
        <w:spacing w:before="280" w:after="120"/>
      </w:pPr>
      <w:r>
        <w:rPr>
          <w:rFonts w:ascii="Arial" w:hAnsi="Arial"/>
          <w:b/>
          <w:color w:val="2563EB"/>
          <w:sz w:val="26"/>
        </w:rPr>
        <w:t>11.1 Conclusion</w:t>
      </w:r>
    </w:p>
    <w:p>
      <w:pPr>
        <w:spacing w:after="120" w:line="276" w:lineRule="auto"/>
      </w:pPr>
      <w:r>
        <w:rPr>
          <w:rFonts w:ascii="Calibri" w:hAnsi="Calibri"/>
          <w:b/>
          <w:color w:val="0F172A"/>
          <w:sz w:val="22"/>
        </w:rPr>
        <w:t xml:space="preserve">Final Synthesis: </w:t>
      </w:r>
      <w:r>
        <w:rPr>
          <w:rFonts w:ascii="Calibri" w:hAnsi="Calibri"/>
          <w:color w:val="0F172A"/>
          <w:sz w:val="22"/>
        </w:rPr>
        <w:t>The Extreme Sales &amp; Services (V2.0) platform was successfully architected, engineered, and verified to overcome the operational inefficiencies of traditional HVAC sales, maintenance, and dispatch management. By delivering an automated, transparent, and responsive platform, the system bridges the communication gap between consumers, dispatch controllers, and field service technicians.</w:t>
        <w:br/>
        <w:br/>
        <w:t>Throughout the project lifecycle, disciplined Software Engineering methodologies were strictly adhered to, including IEEE-830 Software Requirements Specifications, formal UML 2.5 modeling (DFD, HIPO, Use Case, Class, Object, State Machine, Activity, Sequence, Collaboration, Component, and Deployment), IFPUG Function Point sizing, Gantt/PERT critical path project scheduling, and structured V-Model verification.</w:t>
        <w:br/>
        <w:br/>
        <w:t>The dual-mode persistence architecture demonstrates enterprise resilience, providing high-availability cloud operation via Google Firebase Firestore alongside an instant zero-dependency local development runtime. All functional and non-functional requirements have been validated through 36 comprehensive test cases, confirming that the platform is robust, secure, and ready for commercial deployment.</w:t>
      </w:r>
    </w:p>
    <w:p>
      <w:pPr>
        <w:spacing w:before="280" w:after="120"/>
      </w:pPr>
      <w:r>
        <w:rPr>
          <w:rFonts w:ascii="Arial" w:hAnsi="Arial"/>
          <w:b/>
          <w:color w:val="2563EB"/>
          <w:sz w:val="26"/>
        </w:rPr>
        <w:t>11.2 Future Roadmap &amp; Technological Enhancements</w:t>
      </w:r>
    </w:p>
    <w:p>
      <w:pPr>
        <w:pStyle w:val="ListBullet"/>
        <w:spacing w:after="80" w:line="276" w:lineRule="auto"/>
      </w:pPr>
      <w:r>
        <w:rPr>
          <w:rFonts w:ascii="Calibri" w:hAnsi="Calibri"/>
          <w:b/>
          <w:color w:val="0F172A"/>
          <w:sz w:val="22"/>
        </w:rPr>
        <w:t>IoT Smart AC Telemetry (V3.0):</w:t>
      </w:r>
      <w:r>
        <w:rPr>
          <w:rFonts w:ascii="Calibri" w:hAnsi="Calibri"/>
          <w:color w:val="0F172A"/>
          <w:sz w:val="22"/>
        </w:rPr>
        <w:t xml:space="preserve"> Integrating low-cost IoT telemetry sensors onto residential and commercial condenser units to stream refrigerant pressure, compressor amp draw, and air temperature, enabling predictive maintenance alerts before breakdowns occur.</w:t>
      </w:r>
    </w:p>
    <w:p>
      <w:pPr>
        <w:pStyle w:val="ListBullet"/>
        <w:spacing w:after="80" w:line="276" w:lineRule="auto"/>
      </w:pPr>
      <w:r>
        <w:rPr>
          <w:rFonts w:ascii="Calibri" w:hAnsi="Calibri"/>
          <w:b/>
          <w:color w:val="0F172A"/>
          <w:sz w:val="22"/>
        </w:rPr>
        <w:t>Direct Payment Gateway Settlement:</w:t>
      </w:r>
      <w:r>
        <w:rPr>
          <w:rFonts w:ascii="Calibri" w:hAnsi="Calibri"/>
          <w:color w:val="0F172A"/>
          <w:sz w:val="22"/>
        </w:rPr>
        <w:t xml:space="preserve"> Implementing native payment gateways (Razorpay / Stripe) to support instant credit/debit card, UPI, and net banking settlements for service bookings and AMC renewals.</w:t>
      </w:r>
    </w:p>
    <w:p>
      <w:pPr>
        <w:pStyle w:val="ListBullet"/>
        <w:spacing w:after="80" w:line="276" w:lineRule="auto"/>
      </w:pPr>
      <w:r>
        <w:rPr>
          <w:rFonts w:ascii="Calibri" w:hAnsi="Calibri"/>
          <w:b/>
          <w:color w:val="0F172A"/>
          <w:sz w:val="22"/>
        </w:rPr>
        <w:t>Native Mobile App Store Release:</w:t>
      </w:r>
      <w:r>
        <w:rPr>
          <w:rFonts w:ascii="Calibri" w:hAnsi="Calibri"/>
          <w:color w:val="0F172A"/>
          <w:sz w:val="22"/>
        </w:rPr>
        <w:t xml:space="preserve"> Packaging the application with Capacitor/Cordova into native Android and iOS store binaries with background push notifications for technician arrival alerts.</w:t>
      </w:r>
    </w:p>
    <w:p>
      <w:pPr>
        <w:pStyle w:val="ListBullet"/>
        <w:spacing w:after="80" w:line="276" w:lineRule="auto"/>
      </w:pPr>
      <w:r>
        <w:rPr>
          <w:rFonts w:ascii="Calibri" w:hAnsi="Calibri"/>
          <w:b/>
          <w:color w:val="0F172A"/>
          <w:sz w:val="22"/>
        </w:rPr>
        <w:t>Automated GPS Field Route Optimization:</w:t>
      </w:r>
      <w:r>
        <w:rPr>
          <w:rFonts w:ascii="Calibri" w:hAnsi="Calibri"/>
          <w:color w:val="0F172A"/>
          <w:sz w:val="22"/>
        </w:rPr>
        <w:t xml:space="preserve"> Incorporating an automated geographical routing algorithm that clusters daily service calls by postal code to minimize technician commute time and fuel consumption.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