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0"/>
        </w:rPr>
        <w:t>PII Redaction Tool - Evaluation Report</w:t>
      </w:r>
    </w:p>
    <w:p>
      <w:pPr>
        <w:jc w:val="center"/>
      </w:pPr>
      <w:r>
        <w:rPr>
          <w:i/>
          <w:sz w:val="22"/>
        </w:rPr>
        <w:t>Red Herring Prospectus | Assignment Submission</w:t>
      </w:r>
    </w:p>
    <w:p>
      <w:pPr>
        <w:pStyle w:val="Heading1"/>
      </w:pPr>
      <w:r>
        <w:t>1. Evaluation methodology</w:t>
      </w:r>
    </w:p>
    <w:p>
      <w:r>
        <w:t>Evaluation is reported in three layers: (1) operational statistics from the complete supplied prospectus, (2) a small controlled regression benchmark that verifies coverage of all required PII types, and (3) a separate 100-record synthetic tabular holdout used for realistic precision, recall and F1 measurement. This avoids treating raw detections in an unannotated document as ground-truth accuracy.</w:t>
      </w:r>
    </w:p>
    <w:p>
      <w:r>
        <w:t>For the labeled holdout, a true positive requires both the PII category and exact detected text to match the annotation. Extra detections are false positives and missed annotations are false negatives. Cell accuracy measures whether an individual table cell is classified exactly; strict record accuracy requires every evaluated field in a record to match its ground truth.</w:t>
      </w:r>
    </w:p>
    <w:p>
      <w:pPr>
        <w:pStyle w:val="Heading1"/>
      </w:pPr>
      <w:r>
        <w:t>2. Evaluation on the supplied Red Herring Prospectus</w:t>
      </w:r>
    </w:p>
    <w:p>
      <w:r>
        <w:t>The deterministic offline pipeline was executed on the complete supplied DOCX. These are measured detection/replacement counts from the assignment document, not inferred accuracy values.</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6480"/>
            <w:shd w:fill="1F4E78"/>
            <w:vAlign w:val="center"/>
          </w:tcPr>
          <w:p>
            <w:pPr>
              <w:jc w:val="center"/>
            </w:pPr>
            <w:r>
              <w:rPr>
                <w:b/>
                <w:color w:val="FFFFFF"/>
                <w:sz w:val="18"/>
              </w:rPr>
              <w:t>PII type</w:t>
            </w:r>
          </w:p>
        </w:tc>
        <w:tc>
          <w:tcPr>
            <w:tcW w:type="dxa" w:w="2448"/>
            <w:shd w:fill="1F4E78"/>
            <w:vAlign w:val="center"/>
          </w:tcPr>
          <w:p>
            <w:pPr>
              <w:jc w:val="center"/>
            </w:pPr>
            <w:r>
              <w:rPr>
                <w:b/>
                <w:color w:val="FFFFFF"/>
                <w:sz w:val="18"/>
              </w:rPr>
              <w:t>Detected / replaced</w:t>
            </w:r>
          </w:p>
        </w:tc>
      </w:tr>
      <w:tr>
        <w:tc>
          <w:tcPr>
            <w:tcW w:type="dxa" w:w="6480"/>
            <w:vAlign w:val="center"/>
          </w:tcPr>
          <w:p>
            <w:pPr>
              <w:jc w:val="left"/>
            </w:pPr>
            <w:r>
              <w:rPr>
                <w:sz w:val="18"/>
              </w:rPr>
              <w:t>Company entities</w:t>
            </w:r>
          </w:p>
        </w:tc>
        <w:tc>
          <w:tcPr>
            <w:tcW w:type="dxa" w:w="2448"/>
            <w:vAlign w:val="center"/>
          </w:tcPr>
          <w:p>
            <w:pPr>
              <w:jc w:val="center"/>
            </w:pPr>
            <w:r>
              <w:rPr>
                <w:sz w:val="18"/>
              </w:rPr>
              <w:t>182</w:t>
            </w:r>
          </w:p>
        </w:tc>
      </w:tr>
      <w:tr>
        <w:tc>
          <w:tcPr>
            <w:tcW w:type="dxa" w:w="6480"/>
            <w:vAlign w:val="center"/>
          </w:tcPr>
          <w:p>
            <w:pPr>
              <w:jc w:val="left"/>
            </w:pPr>
            <w:r>
              <w:rPr>
                <w:sz w:val="18"/>
              </w:rPr>
              <w:t>Person entities</w:t>
            </w:r>
          </w:p>
        </w:tc>
        <w:tc>
          <w:tcPr>
            <w:tcW w:type="dxa" w:w="2448"/>
            <w:vAlign w:val="center"/>
          </w:tcPr>
          <w:p>
            <w:pPr>
              <w:jc w:val="center"/>
            </w:pPr>
            <w:r>
              <w:rPr>
                <w:sz w:val="18"/>
              </w:rPr>
              <w:t>389</w:t>
            </w:r>
          </w:p>
        </w:tc>
      </w:tr>
      <w:tr>
        <w:tc>
          <w:tcPr>
            <w:tcW w:type="dxa" w:w="6480"/>
            <w:vAlign w:val="center"/>
          </w:tcPr>
          <w:p>
            <w:pPr>
              <w:jc w:val="left"/>
            </w:pPr>
            <w:r>
              <w:rPr>
                <w:sz w:val="18"/>
              </w:rPr>
              <w:t>Addresses</w:t>
            </w:r>
          </w:p>
        </w:tc>
        <w:tc>
          <w:tcPr>
            <w:tcW w:type="dxa" w:w="2448"/>
            <w:vAlign w:val="center"/>
          </w:tcPr>
          <w:p>
            <w:pPr>
              <w:jc w:val="center"/>
            </w:pPr>
            <w:r>
              <w:rPr>
                <w:sz w:val="18"/>
              </w:rPr>
              <w:t>51</w:t>
            </w:r>
          </w:p>
        </w:tc>
      </w:tr>
      <w:tr>
        <w:tc>
          <w:tcPr>
            <w:tcW w:type="dxa" w:w="6480"/>
            <w:vAlign w:val="center"/>
          </w:tcPr>
          <w:p>
            <w:pPr>
              <w:jc w:val="left"/>
            </w:pPr>
            <w:r>
              <w:rPr>
                <w:sz w:val="18"/>
              </w:rPr>
              <w:t>Phone numbers</w:t>
            </w:r>
          </w:p>
        </w:tc>
        <w:tc>
          <w:tcPr>
            <w:tcW w:type="dxa" w:w="2448"/>
            <w:vAlign w:val="center"/>
          </w:tcPr>
          <w:p>
            <w:pPr>
              <w:jc w:val="center"/>
            </w:pPr>
            <w:r>
              <w:rPr>
                <w:sz w:val="18"/>
              </w:rPr>
              <w:t>30</w:t>
            </w:r>
          </w:p>
        </w:tc>
      </w:tr>
      <w:tr>
        <w:tc>
          <w:tcPr>
            <w:tcW w:type="dxa" w:w="6480"/>
            <w:vAlign w:val="center"/>
          </w:tcPr>
          <w:p>
            <w:pPr>
              <w:jc w:val="left"/>
            </w:pPr>
            <w:r>
              <w:rPr>
                <w:sz w:val="18"/>
              </w:rPr>
              <w:t>Email addresses</w:t>
            </w:r>
          </w:p>
        </w:tc>
        <w:tc>
          <w:tcPr>
            <w:tcW w:type="dxa" w:w="2448"/>
            <w:vAlign w:val="center"/>
          </w:tcPr>
          <w:p>
            <w:pPr>
              <w:jc w:val="center"/>
            </w:pPr>
            <w:r>
              <w:rPr>
                <w:sz w:val="18"/>
              </w:rPr>
              <w:t>50</w:t>
            </w:r>
          </w:p>
        </w:tc>
      </w:tr>
      <w:tr>
        <w:tc>
          <w:tcPr>
            <w:tcW w:type="dxa" w:w="6480"/>
            <w:vAlign w:val="center"/>
          </w:tcPr>
          <w:p>
            <w:pPr>
              <w:jc w:val="left"/>
            </w:pPr>
            <w:r>
              <w:rPr>
                <w:sz w:val="18"/>
              </w:rPr>
              <w:t>SSNs</w:t>
            </w:r>
          </w:p>
        </w:tc>
        <w:tc>
          <w:tcPr>
            <w:tcW w:type="dxa" w:w="2448"/>
            <w:vAlign w:val="center"/>
          </w:tcPr>
          <w:p>
            <w:pPr>
              <w:jc w:val="center"/>
            </w:pPr>
            <w:r>
              <w:rPr>
                <w:sz w:val="18"/>
              </w:rPr>
              <w:t>0</w:t>
            </w:r>
          </w:p>
        </w:tc>
      </w:tr>
      <w:tr>
        <w:tc>
          <w:tcPr>
            <w:tcW w:type="dxa" w:w="6480"/>
            <w:vAlign w:val="center"/>
          </w:tcPr>
          <w:p>
            <w:pPr>
              <w:jc w:val="left"/>
            </w:pPr>
            <w:r>
              <w:rPr>
                <w:sz w:val="18"/>
              </w:rPr>
              <w:t>Credit-card numbers</w:t>
            </w:r>
          </w:p>
        </w:tc>
        <w:tc>
          <w:tcPr>
            <w:tcW w:type="dxa" w:w="2448"/>
            <w:vAlign w:val="center"/>
          </w:tcPr>
          <w:p>
            <w:pPr>
              <w:jc w:val="center"/>
            </w:pPr>
            <w:r>
              <w:rPr>
                <w:sz w:val="18"/>
              </w:rPr>
              <w:t>0</w:t>
            </w:r>
          </w:p>
        </w:tc>
      </w:tr>
      <w:tr>
        <w:tc>
          <w:tcPr>
            <w:tcW w:type="dxa" w:w="6480"/>
            <w:vAlign w:val="center"/>
          </w:tcPr>
          <w:p>
            <w:pPr>
              <w:jc w:val="left"/>
            </w:pPr>
            <w:r>
              <w:rPr>
                <w:sz w:val="18"/>
              </w:rPr>
              <w:t>Dates of birth</w:t>
            </w:r>
          </w:p>
        </w:tc>
        <w:tc>
          <w:tcPr>
            <w:tcW w:type="dxa" w:w="2448"/>
            <w:vAlign w:val="center"/>
          </w:tcPr>
          <w:p>
            <w:pPr>
              <w:jc w:val="center"/>
            </w:pPr>
            <w:r>
              <w:rPr>
                <w:sz w:val="18"/>
              </w:rPr>
              <w:t>0</w:t>
            </w:r>
          </w:p>
        </w:tc>
      </w:tr>
      <w:tr>
        <w:tc>
          <w:tcPr>
            <w:tcW w:type="dxa" w:w="6480"/>
            <w:vAlign w:val="center"/>
          </w:tcPr>
          <w:p>
            <w:pPr>
              <w:jc w:val="left"/>
            </w:pPr>
            <w:r>
              <w:rPr>
                <w:sz w:val="18"/>
              </w:rPr>
              <w:t>IPv4 addresses</w:t>
            </w:r>
          </w:p>
        </w:tc>
        <w:tc>
          <w:tcPr>
            <w:tcW w:type="dxa" w:w="2448"/>
            <w:vAlign w:val="center"/>
          </w:tcPr>
          <w:p>
            <w:pPr>
              <w:jc w:val="center"/>
            </w:pPr>
            <w:r>
              <w:rPr>
                <w:sz w:val="18"/>
              </w:rPr>
              <w:t>0</w:t>
            </w:r>
          </w:p>
        </w:tc>
      </w:tr>
    </w:tbl>
    <w:p>
      <w:pPr>
        <w:spacing w:after="0"/>
      </w:pPr>
    </w:p>
    <w:p>
      <w:r>
        <w:t>Because the full 127-page source was not exhaustively hand-annotated, precision and recall are not claimed for this section. Exact metrics are instead calculated on the labeled holdout below.</w:t>
      </w:r>
    </w:p>
    <w:p>
      <w:pPr>
        <w:pStyle w:val="Heading1"/>
      </w:pPr>
      <w:r>
        <w:t>3. Controlled regression benchmark</w:t>
      </w:r>
    </w:p>
    <w:p>
      <w:r>
        <w:t>The included baseline fixture contains known positive examples for every required PII category plus negative Order/Ticket examples. It achieved 9 TP, 0 FP and 0 FN (100% precision and recall). This is retained only as a deterministic regression/coverage check, not as a real-world performance claim.</w:t>
      </w:r>
    </w:p>
    <w:p>
      <w:r>
        <w:br w:type="page"/>
      </w:r>
    </w:p>
    <w:p>
      <w:pPr>
        <w:pStyle w:val="Heading1"/>
      </w:pPr>
      <w:r>
        <w:t>4. Synthetic tabular holdout - 100 records</w:t>
      </w:r>
    </w:p>
    <w:p>
      <w:r>
        <w:t>A separate 100-record DOCX dataset was generated in a table layout modeled on the contact-information tables in the supplied prospectus. Each record contains company, registered/mailing address, contact person, email, telephone, DOB, SSN, credit card and IP address fields. Difficult variants are intentionally included: initial-only and single-token names, unlabeled dates, alternate company suffixes and alternate address formatting.</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6480"/>
            <w:shd w:fill="1F4E78"/>
            <w:vAlign w:val="center"/>
          </w:tcPr>
          <w:p>
            <w:pPr>
              <w:jc w:val="center"/>
            </w:pPr>
            <w:r>
              <w:rPr>
                <w:b/>
                <w:color w:val="FFFFFF"/>
                <w:sz w:val="18"/>
              </w:rPr>
              <w:t>Metric</w:t>
            </w:r>
          </w:p>
        </w:tc>
        <w:tc>
          <w:tcPr>
            <w:tcW w:type="dxa" w:w="2448"/>
            <w:shd w:fill="1F4E78"/>
            <w:vAlign w:val="center"/>
          </w:tcPr>
          <w:p>
            <w:pPr>
              <w:jc w:val="center"/>
            </w:pPr>
            <w:r>
              <w:rPr>
                <w:b/>
                <w:color w:val="FFFFFF"/>
                <w:sz w:val="18"/>
              </w:rPr>
              <w:t>Measured value</w:t>
            </w:r>
          </w:p>
        </w:tc>
      </w:tr>
      <w:tr>
        <w:tc>
          <w:tcPr>
            <w:tcW w:type="dxa" w:w="6480"/>
            <w:vAlign w:val="center"/>
          </w:tcPr>
          <w:p>
            <w:pPr>
              <w:jc w:val="left"/>
            </w:pPr>
            <w:r>
              <w:rPr>
                <w:sz w:val="18"/>
              </w:rPr>
              <w:t>Records</w:t>
            </w:r>
          </w:p>
        </w:tc>
        <w:tc>
          <w:tcPr>
            <w:tcW w:type="dxa" w:w="2448"/>
            <w:vAlign w:val="center"/>
          </w:tcPr>
          <w:p>
            <w:pPr>
              <w:jc w:val="center"/>
            </w:pPr>
            <w:r>
              <w:rPr>
                <w:sz w:val="18"/>
              </w:rPr>
              <w:t>100</w:t>
            </w:r>
          </w:p>
        </w:tc>
      </w:tr>
      <w:tr>
        <w:tc>
          <w:tcPr>
            <w:tcW w:type="dxa" w:w="6480"/>
            <w:vAlign w:val="center"/>
          </w:tcPr>
          <w:p>
            <w:pPr>
              <w:jc w:val="left"/>
            </w:pPr>
            <w:r>
              <w:rPr>
                <w:sz w:val="18"/>
              </w:rPr>
              <w:t>Evaluated cells</w:t>
            </w:r>
          </w:p>
        </w:tc>
        <w:tc>
          <w:tcPr>
            <w:tcW w:type="dxa" w:w="2448"/>
            <w:vAlign w:val="center"/>
          </w:tcPr>
          <w:p>
            <w:pPr>
              <w:jc w:val="center"/>
            </w:pPr>
            <w:r>
              <w:rPr>
                <w:sz w:val="18"/>
              </w:rPr>
              <w:t>1100</w:t>
            </w:r>
          </w:p>
        </w:tc>
      </w:tr>
      <w:tr>
        <w:tc>
          <w:tcPr>
            <w:tcW w:type="dxa" w:w="6480"/>
            <w:vAlign w:val="center"/>
          </w:tcPr>
          <w:p>
            <w:pPr>
              <w:jc w:val="left"/>
            </w:pPr>
            <w:r>
              <w:rPr>
                <w:sz w:val="18"/>
              </w:rPr>
              <w:t>True positives</w:t>
            </w:r>
          </w:p>
        </w:tc>
        <w:tc>
          <w:tcPr>
            <w:tcW w:type="dxa" w:w="2448"/>
            <w:vAlign w:val="center"/>
          </w:tcPr>
          <w:p>
            <w:pPr>
              <w:jc w:val="center"/>
            </w:pPr>
            <w:r>
              <w:rPr>
                <w:sz w:val="18"/>
              </w:rPr>
              <w:t>806</w:t>
            </w:r>
          </w:p>
        </w:tc>
      </w:tr>
      <w:tr>
        <w:tc>
          <w:tcPr>
            <w:tcW w:type="dxa" w:w="6480"/>
            <w:vAlign w:val="center"/>
          </w:tcPr>
          <w:p>
            <w:pPr>
              <w:jc w:val="left"/>
            </w:pPr>
            <w:r>
              <w:rPr>
                <w:sz w:val="18"/>
              </w:rPr>
              <w:t>False positives</w:t>
            </w:r>
          </w:p>
        </w:tc>
        <w:tc>
          <w:tcPr>
            <w:tcW w:type="dxa" w:w="2448"/>
            <w:vAlign w:val="center"/>
          </w:tcPr>
          <w:p>
            <w:pPr>
              <w:jc w:val="center"/>
            </w:pPr>
            <w:r>
              <w:rPr>
                <w:sz w:val="18"/>
              </w:rPr>
              <w:t>65</w:t>
            </w:r>
          </w:p>
        </w:tc>
      </w:tr>
      <w:tr>
        <w:tc>
          <w:tcPr>
            <w:tcW w:type="dxa" w:w="6480"/>
            <w:vAlign w:val="center"/>
          </w:tcPr>
          <w:p>
            <w:pPr>
              <w:jc w:val="left"/>
            </w:pPr>
            <w:r>
              <w:rPr>
                <w:sz w:val="18"/>
              </w:rPr>
              <w:t>False negatives</w:t>
            </w:r>
          </w:p>
        </w:tc>
        <w:tc>
          <w:tcPr>
            <w:tcW w:type="dxa" w:w="2448"/>
            <w:vAlign w:val="center"/>
          </w:tcPr>
          <w:p>
            <w:pPr>
              <w:jc w:val="center"/>
            </w:pPr>
            <w:r>
              <w:rPr>
                <w:sz w:val="18"/>
              </w:rPr>
              <w:t>94</w:t>
            </w:r>
          </w:p>
        </w:tc>
      </w:tr>
      <w:tr>
        <w:tc>
          <w:tcPr>
            <w:tcW w:type="dxa" w:w="6480"/>
            <w:vAlign w:val="center"/>
          </w:tcPr>
          <w:p>
            <w:pPr>
              <w:jc w:val="left"/>
            </w:pPr>
            <w:r>
              <w:rPr>
                <w:sz w:val="18"/>
              </w:rPr>
              <w:t>Precision</w:t>
            </w:r>
          </w:p>
        </w:tc>
        <w:tc>
          <w:tcPr>
            <w:tcW w:type="dxa" w:w="2448"/>
            <w:vAlign w:val="center"/>
          </w:tcPr>
          <w:p>
            <w:pPr>
              <w:jc w:val="center"/>
            </w:pPr>
            <w:r>
              <w:rPr>
                <w:sz w:val="18"/>
              </w:rPr>
              <w:t>92.54%</w:t>
            </w:r>
          </w:p>
        </w:tc>
      </w:tr>
      <w:tr>
        <w:tc>
          <w:tcPr>
            <w:tcW w:type="dxa" w:w="6480"/>
            <w:vAlign w:val="center"/>
          </w:tcPr>
          <w:p>
            <w:pPr>
              <w:jc w:val="left"/>
            </w:pPr>
            <w:r>
              <w:rPr>
                <w:sz w:val="18"/>
              </w:rPr>
              <w:t>Recall</w:t>
            </w:r>
          </w:p>
        </w:tc>
        <w:tc>
          <w:tcPr>
            <w:tcW w:type="dxa" w:w="2448"/>
            <w:vAlign w:val="center"/>
          </w:tcPr>
          <w:p>
            <w:pPr>
              <w:jc w:val="center"/>
            </w:pPr>
            <w:r>
              <w:rPr>
                <w:sz w:val="18"/>
              </w:rPr>
              <w:t>89.56%</w:t>
            </w:r>
          </w:p>
        </w:tc>
      </w:tr>
      <w:tr>
        <w:tc>
          <w:tcPr>
            <w:tcW w:type="dxa" w:w="6480"/>
            <w:vAlign w:val="center"/>
          </w:tcPr>
          <w:p>
            <w:pPr>
              <w:jc w:val="left"/>
            </w:pPr>
            <w:r>
              <w:rPr>
                <w:sz w:val="18"/>
              </w:rPr>
              <w:t>F1 score</w:t>
            </w:r>
          </w:p>
        </w:tc>
        <w:tc>
          <w:tcPr>
            <w:tcW w:type="dxa" w:w="2448"/>
            <w:vAlign w:val="center"/>
          </w:tcPr>
          <w:p>
            <w:pPr>
              <w:jc w:val="center"/>
            </w:pPr>
            <w:r>
              <w:rPr>
                <w:sz w:val="18"/>
              </w:rPr>
              <w:t>91.02%</w:t>
            </w:r>
          </w:p>
        </w:tc>
      </w:tr>
      <w:tr>
        <w:tc>
          <w:tcPr>
            <w:tcW w:type="dxa" w:w="6480"/>
            <w:vAlign w:val="center"/>
          </w:tcPr>
          <w:p>
            <w:pPr>
              <w:jc w:val="left"/>
            </w:pPr>
            <w:r>
              <w:rPr>
                <w:sz w:val="18"/>
              </w:rPr>
              <w:t>Cell accuracy</w:t>
            </w:r>
          </w:p>
        </w:tc>
        <w:tc>
          <w:tcPr>
            <w:tcW w:type="dxa" w:w="2448"/>
            <w:vAlign w:val="center"/>
          </w:tcPr>
          <w:p>
            <w:pPr>
              <w:jc w:val="center"/>
            </w:pPr>
            <w:r>
              <w:rPr>
                <w:sz w:val="18"/>
              </w:rPr>
              <w:t>91.45%</w:t>
            </w:r>
          </w:p>
        </w:tc>
      </w:tr>
      <w:tr>
        <w:tc>
          <w:tcPr>
            <w:tcW w:type="dxa" w:w="6480"/>
            <w:vAlign w:val="center"/>
          </w:tcPr>
          <w:p>
            <w:pPr>
              <w:jc w:val="left"/>
            </w:pPr>
            <w:r>
              <w:rPr>
                <w:sz w:val="18"/>
              </w:rPr>
              <w:t>Strict record accuracy</w:t>
            </w:r>
          </w:p>
        </w:tc>
        <w:tc>
          <w:tcPr>
            <w:tcW w:type="dxa" w:w="2448"/>
            <w:vAlign w:val="center"/>
          </w:tcPr>
          <w:p>
            <w:pPr>
              <w:jc w:val="center"/>
            </w:pPr>
            <w:r>
              <w:rPr>
                <w:sz w:val="18"/>
              </w:rPr>
              <w:t>25.00%</w:t>
            </w:r>
          </w:p>
        </w:tc>
      </w:tr>
    </w:tbl>
    <w:p>
      <w:pPr>
        <w:spacing w:after="0"/>
      </w:pPr>
    </w:p>
    <w:p>
      <w:pPr>
        <w:pStyle w:val="Heading1"/>
      </w:pPr>
      <w:r>
        <w:t>5. Per-category performance</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944"/>
            <w:shd w:fill="1F4E78"/>
            <w:vAlign w:val="center"/>
          </w:tcPr>
          <w:p>
            <w:pPr>
              <w:jc w:val="center"/>
            </w:pPr>
            <w:r>
              <w:rPr>
                <w:b/>
                <w:color w:val="FFFFFF"/>
                <w:sz w:val="18"/>
              </w:rPr>
              <w:t>PII type</w:t>
            </w:r>
          </w:p>
        </w:tc>
        <w:tc>
          <w:tcPr>
            <w:tcW w:type="dxa" w:w="792"/>
            <w:shd w:fill="1F4E78"/>
            <w:vAlign w:val="center"/>
          </w:tcPr>
          <w:p>
            <w:pPr>
              <w:jc w:val="center"/>
            </w:pPr>
            <w:r>
              <w:rPr>
                <w:b/>
                <w:color w:val="FFFFFF"/>
                <w:sz w:val="18"/>
              </w:rPr>
              <w:t>TP</w:t>
            </w:r>
          </w:p>
        </w:tc>
        <w:tc>
          <w:tcPr>
            <w:tcW w:type="dxa" w:w="792"/>
            <w:shd w:fill="1F4E78"/>
            <w:vAlign w:val="center"/>
          </w:tcPr>
          <w:p>
            <w:pPr>
              <w:jc w:val="center"/>
            </w:pPr>
            <w:r>
              <w:rPr>
                <w:b/>
                <w:color w:val="FFFFFF"/>
                <w:sz w:val="18"/>
              </w:rPr>
              <w:t>FP</w:t>
            </w:r>
          </w:p>
        </w:tc>
        <w:tc>
          <w:tcPr>
            <w:tcW w:type="dxa" w:w="792"/>
            <w:shd w:fill="1F4E78"/>
            <w:vAlign w:val="center"/>
          </w:tcPr>
          <w:p>
            <w:pPr>
              <w:jc w:val="center"/>
            </w:pPr>
            <w:r>
              <w:rPr>
                <w:b/>
                <w:color w:val="FFFFFF"/>
                <w:sz w:val="18"/>
              </w:rPr>
              <w:t>FN</w:t>
            </w:r>
          </w:p>
        </w:tc>
        <w:tc>
          <w:tcPr>
            <w:tcW w:type="dxa" w:w="1440"/>
            <w:shd w:fill="1F4E78"/>
            <w:vAlign w:val="center"/>
          </w:tcPr>
          <w:p>
            <w:pPr>
              <w:jc w:val="center"/>
            </w:pPr>
            <w:r>
              <w:rPr>
                <w:b/>
                <w:color w:val="FFFFFF"/>
                <w:sz w:val="18"/>
              </w:rPr>
              <w:t>Precision</w:t>
            </w:r>
          </w:p>
        </w:tc>
        <w:tc>
          <w:tcPr>
            <w:tcW w:type="dxa" w:w="1440"/>
            <w:shd w:fill="1F4E78"/>
            <w:vAlign w:val="center"/>
          </w:tcPr>
          <w:p>
            <w:pPr>
              <w:jc w:val="center"/>
            </w:pPr>
            <w:r>
              <w:rPr>
                <w:b/>
                <w:color w:val="FFFFFF"/>
                <w:sz w:val="18"/>
              </w:rPr>
              <w:t>Recall</w:t>
            </w:r>
          </w:p>
        </w:tc>
        <w:tc>
          <w:tcPr>
            <w:tcW w:type="dxa" w:w="1440"/>
            <w:shd w:fill="1F4E78"/>
            <w:vAlign w:val="center"/>
          </w:tcPr>
          <w:p>
            <w:pPr>
              <w:jc w:val="center"/>
            </w:pPr>
            <w:r>
              <w:rPr>
                <w:b/>
                <w:color w:val="FFFFFF"/>
                <w:sz w:val="18"/>
              </w:rPr>
              <w:t>F1</w:t>
            </w:r>
          </w:p>
        </w:tc>
      </w:tr>
      <w:tr>
        <w:tc>
          <w:tcPr>
            <w:tcW w:type="dxa" w:w="1944"/>
            <w:vAlign w:val="center"/>
          </w:tcPr>
          <w:p>
            <w:pPr>
              <w:jc w:val="left"/>
            </w:pPr>
            <w:r>
              <w:rPr>
                <w:sz w:val="18"/>
              </w:rPr>
              <w:t>ADDRESS</w:t>
            </w:r>
          </w:p>
        </w:tc>
        <w:tc>
          <w:tcPr>
            <w:tcW w:type="dxa" w:w="792"/>
            <w:vAlign w:val="center"/>
          </w:tcPr>
          <w:p>
            <w:pPr>
              <w:jc w:val="center"/>
            </w:pPr>
            <w:r>
              <w:rPr>
                <w:sz w:val="18"/>
              </w:rPr>
              <w:t>100</w:t>
            </w:r>
          </w:p>
        </w:tc>
        <w:tc>
          <w:tcPr>
            <w:tcW w:type="dxa" w:w="792"/>
            <w:vAlign w:val="center"/>
          </w:tcPr>
          <w:p>
            <w:pPr>
              <w:jc w:val="center"/>
            </w:pPr>
            <w:r>
              <w:rPr>
                <w:sz w:val="18"/>
              </w:rPr>
              <w:t>0</w:t>
            </w:r>
          </w:p>
        </w:tc>
        <w:tc>
          <w:tcPr>
            <w:tcW w:type="dxa" w:w="792"/>
            <w:vAlign w:val="center"/>
          </w:tcPr>
          <w:p>
            <w:pPr>
              <w:jc w:val="center"/>
            </w:pPr>
            <w:r>
              <w:rPr>
                <w:sz w:val="18"/>
              </w:rPr>
              <w:t>0</w:t>
            </w:r>
          </w:p>
        </w:tc>
        <w:tc>
          <w:tcPr>
            <w:tcW w:type="dxa" w:w="1440"/>
            <w:vAlign w:val="center"/>
          </w:tcPr>
          <w:p>
            <w:pPr>
              <w:jc w:val="center"/>
            </w:pPr>
            <w:r>
              <w:rPr>
                <w:sz w:val="18"/>
              </w:rPr>
              <w:t>100.0%</w:t>
            </w:r>
          </w:p>
        </w:tc>
        <w:tc>
          <w:tcPr>
            <w:tcW w:type="dxa" w:w="1440"/>
            <w:vAlign w:val="center"/>
          </w:tcPr>
          <w:p>
            <w:pPr>
              <w:jc w:val="center"/>
            </w:pPr>
            <w:r>
              <w:rPr>
                <w:sz w:val="18"/>
              </w:rPr>
              <w:t>100.0%</w:t>
            </w:r>
          </w:p>
        </w:tc>
        <w:tc>
          <w:tcPr>
            <w:tcW w:type="dxa" w:w="1440"/>
            <w:vAlign w:val="center"/>
          </w:tcPr>
          <w:p>
            <w:pPr>
              <w:jc w:val="center"/>
            </w:pPr>
            <w:r>
              <w:rPr>
                <w:sz w:val="18"/>
              </w:rPr>
              <w:t>100.0%</w:t>
            </w:r>
          </w:p>
        </w:tc>
      </w:tr>
      <w:tr>
        <w:tc>
          <w:tcPr>
            <w:tcW w:type="dxa" w:w="1944"/>
            <w:vAlign w:val="center"/>
          </w:tcPr>
          <w:p>
            <w:pPr>
              <w:jc w:val="left"/>
            </w:pPr>
            <w:r>
              <w:rPr>
                <w:sz w:val="18"/>
              </w:rPr>
              <w:t>COMPANY</w:t>
            </w:r>
          </w:p>
        </w:tc>
        <w:tc>
          <w:tcPr>
            <w:tcW w:type="dxa" w:w="792"/>
            <w:vAlign w:val="center"/>
          </w:tcPr>
          <w:p>
            <w:pPr>
              <w:jc w:val="center"/>
            </w:pPr>
            <w:r>
              <w:rPr>
                <w:sz w:val="18"/>
              </w:rPr>
              <w:t>94</w:t>
            </w:r>
          </w:p>
        </w:tc>
        <w:tc>
          <w:tcPr>
            <w:tcW w:type="dxa" w:w="792"/>
            <w:vAlign w:val="center"/>
          </w:tcPr>
          <w:p>
            <w:pPr>
              <w:jc w:val="center"/>
            </w:pPr>
            <w:r>
              <w:rPr>
                <w:sz w:val="18"/>
              </w:rPr>
              <w:t>6</w:t>
            </w:r>
          </w:p>
        </w:tc>
        <w:tc>
          <w:tcPr>
            <w:tcW w:type="dxa" w:w="792"/>
            <w:vAlign w:val="center"/>
          </w:tcPr>
          <w:p>
            <w:pPr>
              <w:jc w:val="center"/>
            </w:pPr>
            <w:r>
              <w:rPr>
                <w:sz w:val="18"/>
              </w:rPr>
              <w:t>6</w:t>
            </w:r>
          </w:p>
        </w:tc>
        <w:tc>
          <w:tcPr>
            <w:tcW w:type="dxa" w:w="1440"/>
            <w:vAlign w:val="center"/>
          </w:tcPr>
          <w:p>
            <w:pPr>
              <w:jc w:val="center"/>
            </w:pPr>
            <w:r>
              <w:rPr>
                <w:sz w:val="18"/>
              </w:rPr>
              <w:t>94.0%</w:t>
            </w:r>
          </w:p>
        </w:tc>
        <w:tc>
          <w:tcPr>
            <w:tcW w:type="dxa" w:w="1440"/>
            <w:vAlign w:val="center"/>
          </w:tcPr>
          <w:p>
            <w:pPr>
              <w:jc w:val="center"/>
            </w:pPr>
            <w:r>
              <w:rPr>
                <w:sz w:val="18"/>
              </w:rPr>
              <w:t>94.0%</w:t>
            </w:r>
          </w:p>
        </w:tc>
        <w:tc>
          <w:tcPr>
            <w:tcW w:type="dxa" w:w="1440"/>
            <w:vAlign w:val="center"/>
          </w:tcPr>
          <w:p>
            <w:pPr>
              <w:jc w:val="center"/>
            </w:pPr>
            <w:r>
              <w:rPr>
                <w:sz w:val="18"/>
              </w:rPr>
              <w:t>94.0%</w:t>
            </w:r>
          </w:p>
        </w:tc>
      </w:tr>
      <w:tr>
        <w:tc>
          <w:tcPr>
            <w:tcW w:type="dxa" w:w="1944"/>
            <w:vAlign w:val="center"/>
          </w:tcPr>
          <w:p>
            <w:pPr>
              <w:jc w:val="left"/>
            </w:pPr>
            <w:r>
              <w:rPr>
                <w:sz w:val="18"/>
              </w:rPr>
              <w:t>CREDIT_CARD</w:t>
            </w:r>
          </w:p>
        </w:tc>
        <w:tc>
          <w:tcPr>
            <w:tcW w:type="dxa" w:w="792"/>
            <w:vAlign w:val="center"/>
          </w:tcPr>
          <w:p>
            <w:pPr>
              <w:jc w:val="center"/>
            </w:pPr>
            <w:r>
              <w:rPr>
                <w:sz w:val="18"/>
              </w:rPr>
              <w:t>100</w:t>
            </w:r>
          </w:p>
        </w:tc>
        <w:tc>
          <w:tcPr>
            <w:tcW w:type="dxa" w:w="792"/>
            <w:vAlign w:val="center"/>
          </w:tcPr>
          <w:p>
            <w:pPr>
              <w:jc w:val="center"/>
            </w:pPr>
            <w:r>
              <w:rPr>
                <w:sz w:val="18"/>
              </w:rPr>
              <w:t>0</w:t>
            </w:r>
          </w:p>
        </w:tc>
        <w:tc>
          <w:tcPr>
            <w:tcW w:type="dxa" w:w="792"/>
            <w:vAlign w:val="center"/>
          </w:tcPr>
          <w:p>
            <w:pPr>
              <w:jc w:val="center"/>
            </w:pPr>
            <w:r>
              <w:rPr>
                <w:sz w:val="18"/>
              </w:rPr>
              <w:t>0</w:t>
            </w:r>
          </w:p>
        </w:tc>
        <w:tc>
          <w:tcPr>
            <w:tcW w:type="dxa" w:w="1440"/>
            <w:vAlign w:val="center"/>
          </w:tcPr>
          <w:p>
            <w:pPr>
              <w:jc w:val="center"/>
            </w:pPr>
            <w:r>
              <w:rPr>
                <w:sz w:val="18"/>
              </w:rPr>
              <w:t>100.0%</w:t>
            </w:r>
          </w:p>
        </w:tc>
        <w:tc>
          <w:tcPr>
            <w:tcW w:type="dxa" w:w="1440"/>
            <w:vAlign w:val="center"/>
          </w:tcPr>
          <w:p>
            <w:pPr>
              <w:jc w:val="center"/>
            </w:pPr>
            <w:r>
              <w:rPr>
                <w:sz w:val="18"/>
              </w:rPr>
              <w:t>100.0%</w:t>
            </w:r>
          </w:p>
        </w:tc>
        <w:tc>
          <w:tcPr>
            <w:tcW w:type="dxa" w:w="1440"/>
            <w:vAlign w:val="center"/>
          </w:tcPr>
          <w:p>
            <w:pPr>
              <w:jc w:val="center"/>
            </w:pPr>
            <w:r>
              <w:rPr>
                <w:sz w:val="18"/>
              </w:rPr>
              <w:t>100.0%</w:t>
            </w:r>
          </w:p>
        </w:tc>
      </w:tr>
      <w:tr>
        <w:tc>
          <w:tcPr>
            <w:tcW w:type="dxa" w:w="1944"/>
            <w:vAlign w:val="center"/>
          </w:tcPr>
          <w:p>
            <w:pPr>
              <w:jc w:val="left"/>
            </w:pPr>
            <w:r>
              <w:rPr>
                <w:sz w:val="18"/>
              </w:rPr>
              <w:t>DOB</w:t>
            </w:r>
          </w:p>
        </w:tc>
        <w:tc>
          <w:tcPr>
            <w:tcW w:type="dxa" w:w="792"/>
            <w:vAlign w:val="center"/>
          </w:tcPr>
          <w:p>
            <w:pPr>
              <w:jc w:val="center"/>
            </w:pPr>
            <w:r>
              <w:rPr>
                <w:sz w:val="18"/>
              </w:rPr>
              <w:t>32</w:t>
            </w:r>
          </w:p>
        </w:tc>
        <w:tc>
          <w:tcPr>
            <w:tcW w:type="dxa" w:w="792"/>
            <w:vAlign w:val="center"/>
          </w:tcPr>
          <w:p>
            <w:pPr>
              <w:jc w:val="center"/>
            </w:pPr>
            <w:r>
              <w:rPr>
                <w:sz w:val="18"/>
              </w:rPr>
              <w:t>59</w:t>
            </w:r>
          </w:p>
        </w:tc>
        <w:tc>
          <w:tcPr>
            <w:tcW w:type="dxa" w:w="792"/>
            <w:vAlign w:val="center"/>
          </w:tcPr>
          <w:p>
            <w:pPr>
              <w:jc w:val="center"/>
            </w:pPr>
            <w:r>
              <w:rPr>
                <w:sz w:val="18"/>
              </w:rPr>
              <w:t>68</w:t>
            </w:r>
          </w:p>
        </w:tc>
        <w:tc>
          <w:tcPr>
            <w:tcW w:type="dxa" w:w="1440"/>
            <w:vAlign w:val="center"/>
          </w:tcPr>
          <w:p>
            <w:pPr>
              <w:jc w:val="center"/>
            </w:pPr>
            <w:r>
              <w:rPr>
                <w:sz w:val="18"/>
              </w:rPr>
              <w:t>35.2%</w:t>
            </w:r>
          </w:p>
        </w:tc>
        <w:tc>
          <w:tcPr>
            <w:tcW w:type="dxa" w:w="1440"/>
            <w:vAlign w:val="center"/>
          </w:tcPr>
          <w:p>
            <w:pPr>
              <w:jc w:val="center"/>
            </w:pPr>
            <w:r>
              <w:rPr>
                <w:sz w:val="18"/>
              </w:rPr>
              <w:t>32.0%</w:t>
            </w:r>
          </w:p>
        </w:tc>
        <w:tc>
          <w:tcPr>
            <w:tcW w:type="dxa" w:w="1440"/>
            <w:vAlign w:val="center"/>
          </w:tcPr>
          <w:p>
            <w:pPr>
              <w:jc w:val="center"/>
            </w:pPr>
            <w:r>
              <w:rPr>
                <w:sz w:val="18"/>
              </w:rPr>
              <w:t>33.5%</w:t>
            </w:r>
          </w:p>
        </w:tc>
      </w:tr>
      <w:tr>
        <w:tc>
          <w:tcPr>
            <w:tcW w:type="dxa" w:w="1944"/>
            <w:vAlign w:val="center"/>
          </w:tcPr>
          <w:p>
            <w:pPr>
              <w:jc w:val="left"/>
            </w:pPr>
            <w:r>
              <w:rPr>
                <w:sz w:val="18"/>
              </w:rPr>
              <w:t>EMAIL</w:t>
            </w:r>
          </w:p>
        </w:tc>
        <w:tc>
          <w:tcPr>
            <w:tcW w:type="dxa" w:w="792"/>
            <w:vAlign w:val="center"/>
          </w:tcPr>
          <w:p>
            <w:pPr>
              <w:jc w:val="center"/>
            </w:pPr>
            <w:r>
              <w:rPr>
                <w:sz w:val="18"/>
              </w:rPr>
              <w:t>100</w:t>
            </w:r>
          </w:p>
        </w:tc>
        <w:tc>
          <w:tcPr>
            <w:tcW w:type="dxa" w:w="792"/>
            <w:vAlign w:val="center"/>
          </w:tcPr>
          <w:p>
            <w:pPr>
              <w:jc w:val="center"/>
            </w:pPr>
            <w:r>
              <w:rPr>
                <w:sz w:val="18"/>
              </w:rPr>
              <w:t>0</w:t>
            </w:r>
          </w:p>
        </w:tc>
        <w:tc>
          <w:tcPr>
            <w:tcW w:type="dxa" w:w="792"/>
            <w:vAlign w:val="center"/>
          </w:tcPr>
          <w:p>
            <w:pPr>
              <w:jc w:val="center"/>
            </w:pPr>
            <w:r>
              <w:rPr>
                <w:sz w:val="18"/>
              </w:rPr>
              <w:t>0</w:t>
            </w:r>
          </w:p>
        </w:tc>
        <w:tc>
          <w:tcPr>
            <w:tcW w:type="dxa" w:w="1440"/>
            <w:vAlign w:val="center"/>
          </w:tcPr>
          <w:p>
            <w:pPr>
              <w:jc w:val="center"/>
            </w:pPr>
            <w:r>
              <w:rPr>
                <w:sz w:val="18"/>
              </w:rPr>
              <w:t>100.0%</w:t>
            </w:r>
          </w:p>
        </w:tc>
        <w:tc>
          <w:tcPr>
            <w:tcW w:type="dxa" w:w="1440"/>
            <w:vAlign w:val="center"/>
          </w:tcPr>
          <w:p>
            <w:pPr>
              <w:jc w:val="center"/>
            </w:pPr>
            <w:r>
              <w:rPr>
                <w:sz w:val="18"/>
              </w:rPr>
              <w:t>100.0%</w:t>
            </w:r>
          </w:p>
        </w:tc>
        <w:tc>
          <w:tcPr>
            <w:tcW w:type="dxa" w:w="1440"/>
            <w:vAlign w:val="center"/>
          </w:tcPr>
          <w:p>
            <w:pPr>
              <w:jc w:val="center"/>
            </w:pPr>
            <w:r>
              <w:rPr>
                <w:sz w:val="18"/>
              </w:rPr>
              <w:t>100.0%</w:t>
            </w:r>
          </w:p>
        </w:tc>
      </w:tr>
      <w:tr>
        <w:tc>
          <w:tcPr>
            <w:tcW w:type="dxa" w:w="1944"/>
            <w:vAlign w:val="center"/>
          </w:tcPr>
          <w:p>
            <w:pPr>
              <w:jc w:val="left"/>
            </w:pPr>
            <w:r>
              <w:rPr>
                <w:sz w:val="18"/>
              </w:rPr>
              <w:t>IP_ADDRESS</w:t>
            </w:r>
          </w:p>
        </w:tc>
        <w:tc>
          <w:tcPr>
            <w:tcW w:type="dxa" w:w="792"/>
            <w:vAlign w:val="center"/>
          </w:tcPr>
          <w:p>
            <w:pPr>
              <w:jc w:val="center"/>
            </w:pPr>
            <w:r>
              <w:rPr>
                <w:sz w:val="18"/>
              </w:rPr>
              <w:t>100</w:t>
            </w:r>
          </w:p>
        </w:tc>
        <w:tc>
          <w:tcPr>
            <w:tcW w:type="dxa" w:w="792"/>
            <w:vAlign w:val="center"/>
          </w:tcPr>
          <w:p>
            <w:pPr>
              <w:jc w:val="center"/>
            </w:pPr>
            <w:r>
              <w:rPr>
                <w:sz w:val="18"/>
              </w:rPr>
              <w:t>0</w:t>
            </w:r>
          </w:p>
        </w:tc>
        <w:tc>
          <w:tcPr>
            <w:tcW w:type="dxa" w:w="792"/>
            <w:vAlign w:val="center"/>
          </w:tcPr>
          <w:p>
            <w:pPr>
              <w:jc w:val="center"/>
            </w:pPr>
            <w:r>
              <w:rPr>
                <w:sz w:val="18"/>
              </w:rPr>
              <w:t>0</w:t>
            </w:r>
          </w:p>
        </w:tc>
        <w:tc>
          <w:tcPr>
            <w:tcW w:type="dxa" w:w="1440"/>
            <w:vAlign w:val="center"/>
          </w:tcPr>
          <w:p>
            <w:pPr>
              <w:jc w:val="center"/>
            </w:pPr>
            <w:r>
              <w:rPr>
                <w:sz w:val="18"/>
              </w:rPr>
              <w:t>100.0%</w:t>
            </w:r>
          </w:p>
        </w:tc>
        <w:tc>
          <w:tcPr>
            <w:tcW w:type="dxa" w:w="1440"/>
            <w:vAlign w:val="center"/>
          </w:tcPr>
          <w:p>
            <w:pPr>
              <w:jc w:val="center"/>
            </w:pPr>
            <w:r>
              <w:rPr>
                <w:sz w:val="18"/>
              </w:rPr>
              <w:t>100.0%</w:t>
            </w:r>
          </w:p>
        </w:tc>
        <w:tc>
          <w:tcPr>
            <w:tcW w:type="dxa" w:w="1440"/>
            <w:vAlign w:val="center"/>
          </w:tcPr>
          <w:p>
            <w:pPr>
              <w:jc w:val="center"/>
            </w:pPr>
            <w:r>
              <w:rPr>
                <w:sz w:val="18"/>
              </w:rPr>
              <w:t>100.0%</w:t>
            </w:r>
          </w:p>
        </w:tc>
      </w:tr>
      <w:tr>
        <w:tc>
          <w:tcPr>
            <w:tcW w:type="dxa" w:w="1944"/>
            <w:vAlign w:val="center"/>
          </w:tcPr>
          <w:p>
            <w:pPr>
              <w:jc w:val="left"/>
            </w:pPr>
            <w:r>
              <w:rPr>
                <w:sz w:val="18"/>
              </w:rPr>
              <w:t>PERSON</w:t>
            </w:r>
          </w:p>
        </w:tc>
        <w:tc>
          <w:tcPr>
            <w:tcW w:type="dxa" w:w="792"/>
            <w:vAlign w:val="center"/>
          </w:tcPr>
          <w:p>
            <w:pPr>
              <w:jc w:val="center"/>
            </w:pPr>
            <w:r>
              <w:rPr>
                <w:sz w:val="18"/>
              </w:rPr>
              <w:t>80</w:t>
            </w:r>
          </w:p>
        </w:tc>
        <w:tc>
          <w:tcPr>
            <w:tcW w:type="dxa" w:w="792"/>
            <w:vAlign w:val="center"/>
          </w:tcPr>
          <w:p>
            <w:pPr>
              <w:jc w:val="center"/>
            </w:pPr>
            <w:r>
              <w:rPr>
                <w:sz w:val="18"/>
              </w:rPr>
              <w:t>0</w:t>
            </w:r>
          </w:p>
        </w:tc>
        <w:tc>
          <w:tcPr>
            <w:tcW w:type="dxa" w:w="792"/>
            <w:vAlign w:val="center"/>
          </w:tcPr>
          <w:p>
            <w:pPr>
              <w:jc w:val="center"/>
            </w:pPr>
            <w:r>
              <w:rPr>
                <w:sz w:val="18"/>
              </w:rPr>
              <w:t>20</w:t>
            </w:r>
          </w:p>
        </w:tc>
        <w:tc>
          <w:tcPr>
            <w:tcW w:type="dxa" w:w="1440"/>
            <w:vAlign w:val="center"/>
          </w:tcPr>
          <w:p>
            <w:pPr>
              <w:jc w:val="center"/>
            </w:pPr>
            <w:r>
              <w:rPr>
                <w:sz w:val="18"/>
              </w:rPr>
              <w:t>100.0%</w:t>
            </w:r>
          </w:p>
        </w:tc>
        <w:tc>
          <w:tcPr>
            <w:tcW w:type="dxa" w:w="1440"/>
            <w:vAlign w:val="center"/>
          </w:tcPr>
          <w:p>
            <w:pPr>
              <w:jc w:val="center"/>
            </w:pPr>
            <w:r>
              <w:rPr>
                <w:sz w:val="18"/>
              </w:rPr>
              <w:t>80.0%</w:t>
            </w:r>
          </w:p>
        </w:tc>
        <w:tc>
          <w:tcPr>
            <w:tcW w:type="dxa" w:w="1440"/>
            <w:vAlign w:val="center"/>
          </w:tcPr>
          <w:p>
            <w:pPr>
              <w:jc w:val="center"/>
            </w:pPr>
            <w:r>
              <w:rPr>
                <w:sz w:val="18"/>
              </w:rPr>
              <w:t>88.9%</w:t>
            </w:r>
          </w:p>
        </w:tc>
      </w:tr>
      <w:tr>
        <w:tc>
          <w:tcPr>
            <w:tcW w:type="dxa" w:w="1944"/>
            <w:vAlign w:val="center"/>
          </w:tcPr>
          <w:p>
            <w:pPr>
              <w:jc w:val="left"/>
            </w:pPr>
            <w:r>
              <w:rPr>
                <w:sz w:val="18"/>
              </w:rPr>
              <w:t>PHONE</w:t>
            </w:r>
          </w:p>
        </w:tc>
        <w:tc>
          <w:tcPr>
            <w:tcW w:type="dxa" w:w="792"/>
            <w:vAlign w:val="center"/>
          </w:tcPr>
          <w:p>
            <w:pPr>
              <w:jc w:val="center"/>
            </w:pPr>
            <w:r>
              <w:rPr>
                <w:sz w:val="18"/>
              </w:rPr>
              <w:t>100</w:t>
            </w:r>
          </w:p>
        </w:tc>
        <w:tc>
          <w:tcPr>
            <w:tcW w:type="dxa" w:w="792"/>
            <w:vAlign w:val="center"/>
          </w:tcPr>
          <w:p>
            <w:pPr>
              <w:jc w:val="center"/>
            </w:pPr>
            <w:r>
              <w:rPr>
                <w:sz w:val="18"/>
              </w:rPr>
              <w:t>0</w:t>
            </w:r>
          </w:p>
        </w:tc>
        <w:tc>
          <w:tcPr>
            <w:tcW w:type="dxa" w:w="792"/>
            <w:vAlign w:val="center"/>
          </w:tcPr>
          <w:p>
            <w:pPr>
              <w:jc w:val="center"/>
            </w:pPr>
            <w:r>
              <w:rPr>
                <w:sz w:val="18"/>
              </w:rPr>
              <w:t>0</w:t>
            </w:r>
          </w:p>
        </w:tc>
        <w:tc>
          <w:tcPr>
            <w:tcW w:type="dxa" w:w="1440"/>
            <w:vAlign w:val="center"/>
          </w:tcPr>
          <w:p>
            <w:pPr>
              <w:jc w:val="center"/>
            </w:pPr>
            <w:r>
              <w:rPr>
                <w:sz w:val="18"/>
              </w:rPr>
              <w:t>100.0%</w:t>
            </w:r>
          </w:p>
        </w:tc>
        <w:tc>
          <w:tcPr>
            <w:tcW w:type="dxa" w:w="1440"/>
            <w:vAlign w:val="center"/>
          </w:tcPr>
          <w:p>
            <w:pPr>
              <w:jc w:val="center"/>
            </w:pPr>
            <w:r>
              <w:rPr>
                <w:sz w:val="18"/>
              </w:rPr>
              <w:t>100.0%</w:t>
            </w:r>
          </w:p>
        </w:tc>
        <w:tc>
          <w:tcPr>
            <w:tcW w:type="dxa" w:w="1440"/>
            <w:vAlign w:val="center"/>
          </w:tcPr>
          <w:p>
            <w:pPr>
              <w:jc w:val="center"/>
            </w:pPr>
            <w:r>
              <w:rPr>
                <w:sz w:val="18"/>
              </w:rPr>
              <w:t>100.0%</w:t>
            </w:r>
          </w:p>
        </w:tc>
      </w:tr>
      <w:tr>
        <w:tc>
          <w:tcPr>
            <w:tcW w:type="dxa" w:w="1944"/>
            <w:vAlign w:val="center"/>
          </w:tcPr>
          <w:p>
            <w:pPr>
              <w:jc w:val="left"/>
            </w:pPr>
            <w:r>
              <w:rPr>
                <w:sz w:val="18"/>
              </w:rPr>
              <w:t>SSN</w:t>
            </w:r>
          </w:p>
        </w:tc>
        <w:tc>
          <w:tcPr>
            <w:tcW w:type="dxa" w:w="792"/>
            <w:vAlign w:val="center"/>
          </w:tcPr>
          <w:p>
            <w:pPr>
              <w:jc w:val="center"/>
            </w:pPr>
            <w:r>
              <w:rPr>
                <w:sz w:val="18"/>
              </w:rPr>
              <w:t>100</w:t>
            </w:r>
          </w:p>
        </w:tc>
        <w:tc>
          <w:tcPr>
            <w:tcW w:type="dxa" w:w="792"/>
            <w:vAlign w:val="center"/>
          </w:tcPr>
          <w:p>
            <w:pPr>
              <w:jc w:val="center"/>
            </w:pPr>
            <w:r>
              <w:rPr>
                <w:sz w:val="18"/>
              </w:rPr>
              <w:t>0</w:t>
            </w:r>
          </w:p>
        </w:tc>
        <w:tc>
          <w:tcPr>
            <w:tcW w:type="dxa" w:w="792"/>
            <w:vAlign w:val="center"/>
          </w:tcPr>
          <w:p>
            <w:pPr>
              <w:jc w:val="center"/>
            </w:pPr>
            <w:r>
              <w:rPr>
                <w:sz w:val="18"/>
              </w:rPr>
              <w:t>0</w:t>
            </w:r>
          </w:p>
        </w:tc>
        <w:tc>
          <w:tcPr>
            <w:tcW w:type="dxa" w:w="1440"/>
            <w:vAlign w:val="center"/>
          </w:tcPr>
          <w:p>
            <w:pPr>
              <w:jc w:val="center"/>
            </w:pPr>
            <w:r>
              <w:rPr>
                <w:sz w:val="18"/>
              </w:rPr>
              <w:t>100.0%</w:t>
            </w:r>
          </w:p>
        </w:tc>
        <w:tc>
          <w:tcPr>
            <w:tcW w:type="dxa" w:w="1440"/>
            <w:vAlign w:val="center"/>
          </w:tcPr>
          <w:p>
            <w:pPr>
              <w:jc w:val="center"/>
            </w:pPr>
            <w:r>
              <w:rPr>
                <w:sz w:val="18"/>
              </w:rPr>
              <w:t>100.0%</w:t>
            </w:r>
          </w:p>
        </w:tc>
        <w:tc>
          <w:tcPr>
            <w:tcW w:type="dxa" w:w="1440"/>
            <w:vAlign w:val="center"/>
          </w:tcPr>
          <w:p>
            <w:pPr>
              <w:jc w:val="center"/>
            </w:pPr>
            <w:r>
              <w:rPr>
                <w:sz w:val="18"/>
              </w:rPr>
              <w:t>100.0%</w:t>
            </w:r>
          </w:p>
        </w:tc>
      </w:tr>
    </w:tbl>
    <w:p>
      <w:pPr>
        <w:spacing w:after="0"/>
      </w:pPr>
    </w:p>
    <w:p>
      <w:pPr>
        <w:pStyle w:val="Heading1"/>
      </w:pPr>
      <w:r>
        <w:t>6. Interpretation and observed failure modes</w:t>
      </w:r>
    </w:p>
    <w:p>
      <w:pPr>
        <w:pStyle w:val="ListBullet"/>
      </w:pPr>
      <w:r>
        <w:t>Structured patterns (email, phone, SSN, credit card and IPv4) were detected consistently in this holdout.</w:t>
      </w:r>
    </w:p>
    <w:p>
      <w:pPr>
        <w:pStyle w:val="ListBullet"/>
      </w:pPr>
      <w:r>
        <w:t>Person recall decreases for initials and single-token names because the conservative fallback expects conventional multi-token names.</w:t>
      </w:r>
    </w:p>
    <w:p>
      <w:pPr>
        <w:pStyle w:val="ListBullet"/>
      </w:pPr>
      <w:r>
        <w:t>DOB exact-match performance is lower because unlabeled dates are intentionally ambiguous and some valid contextual dates expose a boundary issue in the current regex.</w:t>
      </w:r>
    </w:p>
    <w:p>
      <w:pPr>
        <w:pStyle w:val="ListBullet"/>
      </w:pPr>
      <w:r>
        <w:t>Company matching is sensitive to punctuation and suffix variants such as “Pvt. Ltd.”, which creates exact-match boundary errors.</w:t>
      </w:r>
    </w:p>
    <w:p>
      <w:pPr>
        <w:pStyle w:val="ListBullet"/>
      </w:pPr>
      <w:r>
        <w:t>These failures are intentionally retained rather than tuning the benchmark to 100%; they provide concrete extension points for a production version.</w:t>
      </w:r>
    </w:p>
    <w:p>
      <w:pPr>
        <w:pStyle w:val="Heading1"/>
      </w:pPr>
      <w:r>
        <w:t>7. Reproducibility</w:t>
      </w:r>
    </w:p>
    <w:p>
      <w:r>
        <w:t>Synthetic dataset: evaluation/Synthetic_PII_Test_Dataset_100_Records.docx</w:t>
      </w:r>
    </w:p>
    <w:p>
      <w:r>
        <w:t>Synthetic evaluator: PYTHONPATH=. python evaluation/evaluate_synthetic.py</w:t>
      </w:r>
    </w:p>
    <w:p>
      <w:r>
        <w:t>Machine-readable results: evaluation/synthetic_results.json</w:t>
      </w:r>
    </w:p>
    <w:p>
      <w:r>
        <w:t>Prospectus run: python -m src.main input.docx output/Red_Herring_Prospectus_Redacted.docx --no-spacy --report output/redaction_run.json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