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0786B" w14:textId="77777777" w:rsidR="00FE291A" w:rsidRPr="009F35BC" w:rsidRDefault="00E018C8">
      <w:pPr>
        <w:spacing w:after="20"/>
        <w:jc w:val="center"/>
        <w:rPr>
          <w:sz w:val="26"/>
          <w:szCs w:val="26"/>
        </w:rPr>
      </w:pPr>
      <w:r w:rsidRPr="009F35BC">
        <w:rPr>
          <w:rFonts w:ascii="Calibri" w:hAnsi="Calibri"/>
          <w:b/>
          <w:color w:val="141428"/>
          <w:sz w:val="26"/>
          <w:szCs w:val="26"/>
        </w:rPr>
        <w:t>Internship Technical Summary</w:t>
      </w:r>
    </w:p>
    <w:p w14:paraId="62788EB7" w14:textId="0CE64E66" w:rsidR="00FE291A" w:rsidRDefault="00E018C8">
      <w:pPr>
        <w:spacing w:after="80"/>
        <w:jc w:val="center"/>
      </w:pPr>
      <w:r>
        <w:rPr>
          <w:rFonts w:ascii="Calibri" w:hAnsi="Calibri"/>
          <w:color w:val="145A8C"/>
          <w:sz w:val="18"/>
        </w:rPr>
        <w:t>Energy Markets, Summer 2026   |   Aayush Jhawar   |   Mentor: Nikita Nijhawan</w:t>
      </w:r>
    </w:p>
    <w:p w14:paraId="38457452" w14:textId="73FDB585" w:rsidR="00FE291A" w:rsidRDefault="00E018C8">
      <w:pPr>
        <w:pBdr>
          <w:bottom w:val="single" w:sz="4" w:space="1" w:color="A8AEC0"/>
        </w:pBdr>
        <w:spacing w:before="80" w:after="20"/>
      </w:pPr>
      <w:r>
        <w:rPr>
          <w:rFonts w:ascii="Calibri" w:hAnsi="Calibri"/>
          <w:b/>
          <w:color w:val="145A8C"/>
          <w:sz w:val="21"/>
        </w:rPr>
        <w:t>1. Energy Analytics Platform (Phase 1 information layer, Phase 2 analysis engine)</w:t>
      </w:r>
    </w:p>
    <w:p w14:paraId="5B8C4B13" w14:textId="062E932C" w:rsidR="00FE291A" w:rsidRDefault="00E018C8">
      <w:pPr>
        <w:spacing w:before="20" w:after="20" w:line="210" w:lineRule="exact"/>
      </w:pPr>
      <w:r>
        <w:rPr>
          <w:rFonts w:ascii="Calibri" w:hAnsi="Calibri"/>
          <w:i/>
          <w:color w:val="5C5C6C"/>
          <w:sz w:val="16"/>
        </w:rPr>
        <w:t>FastAPI + WebSocket backend, React/TypeScript frontend, SQLite (3.6 GB of 1-min and 15-min bars). Eight live feeds: WTI, Brent, RBOB, HO, gasoil, DXY, SPX, VIX.</w:t>
      </w:r>
    </w:p>
    <w:p w14:paraId="3028F736" w14:textId="77777777" w:rsidR="00FE291A" w:rsidRDefault="00E018C8">
      <w:pPr>
        <w:pStyle w:val="ListBullet"/>
        <w:spacing w:after="30" w:line="220" w:lineRule="exact"/>
        <w:ind w:left="283" w:hanging="142"/>
      </w:pPr>
      <w:r>
        <w:rPr>
          <w:rFonts w:ascii="Calibri" w:hAnsi="Calibri"/>
          <w:b/>
          <w:color w:val="141428"/>
          <w:sz w:val="17"/>
        </w:rPr>
        <w:t xml:space="preserve">Term structure: </w:t>
      </w:r>
      <w:r>
        <w:rPr>
          <w:rFonts w:ascii="Calibri" w:hAnsi="Calibri"/>
          <w:color w:val="2B2B38"/>
          <w:sz w:val="17"/>
        </w:rPr>
        <w:t>live M1-M12 curves for WTI and Brent with backwardation/contango detection; the three desk spreads from the curriculum computed intraday: Brent-WTI, the 3-2-1 crack [(2xRBOB + 1xHO - 3xWTI)/3], and the gasoil crack (GO - Brent, unit-adjusted), plus calendar spreads, butterflies and double-flies.</w:t>
      </w:r>
    </w:p>
    <w:p w14:paraId="2EA0AE42" w14:textId="77777777" w:rsidR="00FE291A" w:rsidRDefault="00E018C8">
      <w:pPr>
        <w:pStyle w:val="ListBullet"/>
        <w:spacing w:after="30" w:line="220" w:lineRule="exact"/>
        <w:ind w:left="283" w:hanging="142"/>
      </w:pPr>
      <w:r>
        <w:rPr>
          <w:rFonts w:ascii="Calibri" w:hAnsi="Calibri"/>
          <w:b/>
          <w:color w:val="141428"/>
          <w:sz w:val="17"/>
        </w:rPr>
        <w:t xml:space="preserve">Composite signal: </w:t>
      </w:r>
      <w:r>
        <w:rPr>
          <w:rFonts w:ascii="Calibri" w:hAnsi="Calibri"/>
          <w:color w:val="2B2B38"/>
          <w:sz w:val="17"/>
        </w:rPr>
        <w:t>twelve factors across trend (EMA, MACD, ADX), volatility (Bollinger, ATR), mean-reversion (z-score, RSI), momentum and macro, combined with regime-conditional weights into a bounded score.</w:t>
      </w:r>
    </w:p>
    <w:p w14:paraId="6549D312" w14:textId="07083B62" w:rsidR="00FE291A" w:rsidRDefault="00E018C8">
      <w:pPr>
        <w:pStyle w:val="ListBullet"/>
        <w:spacing w:after="30" w:line="220" w:lineRule="exact"/>
        <w:ind w:left="283" w:hanging="142"/>
      </w:pPr>
      <w:r>
        <w:rPr>
          <w:rFonts w:ascii="Calibri" w:hAnsi="Calibri"/>
          <w:b/>
          <w:color w:val="141428"/>
          <w:sz w:val="17"/>
        </w:rPr>
        <w:t xml:space="preserve">Event layer: </w:t>
      </w:r>
      <w:r>
        <w:rPr>
          <w:rFonts w:ascii="Calibri" w:hAnsi="Calibri"/>
          <w:color w:val="2B2B38"/>
          <w:sz w:val="17"/>
        </w:rPr>
        <w:t>supply-disruption monitor over 18 chokepoint and infrastructure nodes with a structural exposure matrix, FinBERT headline sentiment, and a persistent ACLED scraper feeding the analog engine in Section 6.</w:t>
      </w:r>
    </w:p>
    <w:p w14:paraId="5C33431D" w14:textId="67299465" w:rsidR="00FE291A" w:rsidRDefault="00E018C8">
      <w:pPr>
        <w:pBdr>
          <w:bottom w:val="single" w:sz="4" w:space="1" w:color="A8AEC0"/>
        </w:pBdr>
        <w:spacing w:before="80" w:after="20"/>
      </w:pPr>
      <w:r>
        <w:rPr>
          <w:rFonts w:ascii="Calibri" w:hAnsi="Calibri"/>
          <w:b/>
          <w:color w:val="145A8C"/>
          <w:sz w:val="21"/>
        </w:rPr>
        <w:t>2. Regime Classification Framework</w:t>
      </w:r>
    </w:p>
    <w:p w14:paraId="35A286C1" w14:textId="517C83B2" w:rsidR="00FE291A" w:rsidRDefault="00E018C8">
      <w:pPr>
        <w:spacing w:before="20" w:after="20" w:line="210" w:lineRule="exact"/>
      </w:pPr>
      <w:r>
        <w:rPr>
          <w:rFonts w:ascii="Calibri" w:hAnsi="Calibri"/>
          <w:i/>
          <w:color w:val="5C5C6C"/>
          <w:sz w:val="16"/>
        </w:rPr>
        <w:t xml:space="preserve">Operationalizes the curriculum's view of the curve as a storage-clearing mechanism rather than a forecast: the annualized front roll yield y = ((M1 - M6)/M1) x (365/150) x 100 is the state variable. </w:t>
      </w:r>
      <w:r w:rsidR="00305374">
        <w:rPr>
          <w:rFonts w:ascii="Calibri" w:hAnsi="Calibri"/>
          <w:i/>
          <w:color w:val="5C5C6C"/>
          <w:sz w:val="16"/>
        </w:rPr>
        <w:t>U</w:t>
      </w:r>
      <w:r>
        <w:rPr>
          <w:rFonts w:ascii="Calibri" w:hAnsi="Calibri"/>
          <w:i/>
          <w:color w:val="5C5C6C"/>
          <w:sz w:val="16"/>
        </w:rPr>
        <w:t>sed as a hard position gate and a signal-weight modifier.</w:t>
      </w:r>
    </w:p>
    <w:p w14:paraId="37185E13" w14:textId="77777777" w:rsidR="00FE291A" w:rsidRDefault="00E018C8">
      <w:pPr>
        <w:pStyle w:val="ListBullet"/>
        <w:spacing w:after="30" w:line="220" w:lineRule="exact"/>
        <w:ind w:left="283" w:hanging="142"/>
      </w:pPr>
      <w:r>
        <w:rPr>
          <w:rFonts w:ascii="Calibri" w:hAnsi="Calibri"/>
          <w:b/>
          <w:color w:val="141428"/>
          <w:sz w:val="17"/>
        </w:rPr>
        <w:t xml:space="preserve">Live read (1 Jul 2026): </w:t>
      </w:r>
      <w:r>
        <w:rPr>
          <w:rFonts w:ascii="Calibri" w:hAnsi="Calibri"/>
          <w:color w:val="2B2B38"/>
          <w:sz w:val="17"/>
        </w:rPr>
        <w:t>WTI Neutral (y = 1.9), Brent Neutral (y = -0.7), heating oil Backwardation (y = 21.8), gasoil Extreme Backwardation. Extreme Contango blocks new longs by rule.</w:t>
      </w:r>
    </w:p>
    <w:p w14:paraId="3CDDCF13" w14:textId="3A7E2D8E" w:rsidR="00FE291A" w:rsidRDefault="00E018C8">
      <w:pPr>
        <w:pBdr>
          <w:bottom w:val="single" w:sz="4" w:space="1" w:color="A8AEC0"/>
        </w:pBdr>
        <w:spacing w:before="80" w:after="20"/>
      </w:pPr>
      <w:r>
        <w:rPr>
          <w:rFonts w:ascii="Calibri" w:hAnsi="Calibri"/>
          <w:b/>
          <w:color w:val="145A8C"/>
          <w:sz w:val="21"/>
        </w:rPr>
        <w:t>3. Live Paper-Trading Engine (event-driven, no look-ahead)</w:t>
      </w:r>
    </w:p>
    <w:p w14:paraId="245DF361" w14:textId="77777777" w:rsidR="00FE291A" w:rsidRDefault="00E018C8">
      <w:pPr>
        <w:spacing w:before="20" w:after="20" w:line="210" w:lineRule="exact"/>
      </w:pPr>
      <w:r>
        <w:rPr>
          <w:rFonts w:ascii="Calibri" w:hAnsi="Calibri"/>
          <w:i/>
          <w:color w:val="5C5C6C"/>
          <w:sz w:val="16"/>
        </w:rPr>
        <w:t>15-minute bar engine: signals evaluated on bar close and filled at the next bar's open, so no fill uses information from its own signal bar. 25 instruments, cap of 12 concurrent positions with no leg overlap, P&amp;L in ticks.</w:t>
      </w:r>
    </w:p>
    <w:p w14:paraId="434EA428" w14:textId="3879DDCE" w:rsidR="00FE291A" w:rsidRDefault="00E018C8">
      <w:pPr>
        <w:pStyle w:val="ListBullet"/>
        <w:spacing w:after="30" w:line="220" w:lineRule="exact"/>
        <w:ind w:left="283" w:hanging="142"/>
      </w:pPr>
      <w:r>
        <w:rPr>
          <w:rFonts w:ascii="Calibri" w:hAnsi="Calibri"/>
          <w:b/>
          <w:color w:val="141428"/>
          <w:sz w:val="17"/>
        </w:rPr>
        <w:t xml:space="preserve">Realized performance: </w:t>
      </w:r>
      <w:r>
        <w:rPr>
          <w:rFonts w:ascii="Calibri" w:hAnsi="Calibri"/>
          <w:color w:val="2B2B38"/>
          <w:sz w:val="17"/>
        </w:rPr>
        <w:t>6</w:t>
      </w:r>
      <w:r w:rsidR="00437E57">
        <w:rPr>
          <w:rFonts w:ascii="Calibri" w:hAnsi="Calibri"/>
          <w:color w:val="2B2B38"/>
          <w:sz w:val="17"/>
        </w:rPr>
        <w:t>5</w:t>
      </w:r>
      <w:r>
        <w:rPr>
          <w:rFonts w:ascii="Calibri" w:hAnsi="Calibri"/>
          <w:color w:val="2B2B38"/>
          <w:sz w:val="17"/>
        </w:rPr>
        <w:t>4 closed trades, 8</w:t>
      </w:r>
      <w:r w:rsidR="00437E57">
        <w:rPr>
          <w:rFonts w:ascii="Calibri" w:hAnsi="Calibri"/>
          <w:color w:val="2B2B38"/>
          <w:sz w:val="17"/>
        </w:rPr>
        <w:t>5</w:t>
      </w:r>
      <w:r>
        <w:rPr>
          <w:rFonts w:ascii="Calibri" w:hAnsi="Calibri"/>
          <w:color w:val="2B2B38"/>
          <w:sz w:val="17"/>
        </w:rPr>
        <w:t>.</w:t>
      </w:r>
      <w:r w:rsidR="00437E57">
        <w:rPr>
          <w:rFonts w:ascii="Calibri" w:hAnsi="Calibri"/>
          <w:color w:val="2B2B38"/>
          <w:sz w:val="17"/>
        </w:rPr>
        <w:t>7</w:t>
      </w:r>
      <w:r>
        <w:rPr>
          <w:rFonts w:ascii="Calibri" w:hAnsi="Calibri"/>
          <w:color w:val="2B2B38"/>
          <w:sz w:val="17"/>
        </w:rPr>
        <w:t>% hit rate, +1</w:t>
      </w:r>
      <w:r w:rsidR="00437E57">
        <w:rPr>
          <w:rFonts w:ascii="Calibri" w:hAnsi="Calibri"/>
          <w:color w:val="2B2B38"/>
          <w:sz w:val="17"/>
        </w:rPr>
        <w:t>4</w:t>
      </w:r>
      <w:r>
        <w:rPr>
          <w:rFonts w:ascii="Calibri" w:hAnsi="Calibri"/>
          <w:color w:val="2B2B38"/>
          <w:sz w:val="17"/>
        </w:rPr>
        <w:t>,</w:t>
      </w:r>
      <w:r w:rsidR="00437E57">
        <w:rPr>
          <w:rFonts w:ascii="Calibri" w:hAnsi="Calibri"/>
          <w:color w:val="2B2B38"/>
          <w:sz w:val="17"/>
        </w:rPr>
        <w:t>11</w:t>
      </w:r>
      <w:r>
        <w:rPr>
          <w:rFonts w:ascii="Calibri" w:hAnsi="Calibri"/>
          <w:color w:val="2B2B38"/>
          <w:sz w:val="17"/>
        </w:rPr>
        <w:t>9 ticks realized, maximum drawdown 243 ticks.</w:t>
      </w:r>
    </w:p>
    <w:p w14:paraId="3AFC7D28" w14:textId="77777777" w:rsidR="00FE291A" w:rsidRDefault="00E018C8">
      <w:pPr>
        <w:pStyle w:val="ListBullet"/>
        <w:spacing w:after="30" w:line="220" w:lineRule="exact"/>
        <w:ind w:left="283" w:hanging="142"/>
      </w:pPr>
      <w:r>
        <w:rPr>
          <w:rFonts w:ascii="Calibri" w:hAnsi="Calibri"/>
          <w:b/>
          <w:color w:val="141428"/>
          <w:sz w:val="17"/>
        </w:rPr>
        <w:t xml:space="preserve">Where the edge concentrates: </w:t>
      </w:r>
      <w:r>
        <w:rPr>
          <w:rFonts w:ascii="Calibri" w:hAnsi="Calibri"/>
          <w:color w:val="2B2B38"/>
          <w:sz w:val="17"/>
        </w:rPr>
        <w:t>deferred double-flies carry the book (WTI 7-8-9-10 +1,685 ticks, WTI 9-10-11-12 +1,818, Brent 8-9-10-11 +1,428), while front calendar spreads (1-2, 2-3) are flat to negative. Curvature in the middle of the curve mean-reverts cleanly; the front spread does not, consistent with the CFTC term-structure result in Section 5.</w:t>
      </w:r>
    </w:p>
    <w:p w14:paraId="035A2D38" w14:textId="15A668AB" w:rsidR="00FE291A" w:rsidRDefault="00E018C8">
      <w:pPr>
        <w:pBdr>
          <w:bottom w:val="single" w:sz="4" w:space="1" w:color="A8AEC0"/>
        </w:pBdr>
        <w:spacing w:before="80" w:after="20"/>
      </w:pPr>
      <w:r>
        <w:rPr>
          <w:rFonts w:ascii="Calibri" w:hAnsi="Calibri"/>
          <w:b/>
          <w:color w:val="145A8C"/>
          <w:sz w:val="21"/>
        </w:rPr>
        <w:t>4. EIA Inventory Event Study (2021 to 2026, 1-minute bars, 279 weekly releases)</w:t>
      </w:r>
    </w:p>
    <w:p w14:paraId="35856DF9" w14:textId="77777777" w:rsidR="00FE291A" w:rsidRDefault="00E018C8">
      <w:pPr>
        <w:spacing w:before="20" w:after="20" w:line="210" w:lineRule="exact"/>
      </w:pPr>
      <w:r>
        <w:rPr>
          <w:rFonts w:ascii="Calibri" w:hAnsi="Calibri"/>
          <w:i/>
          <w:color w:val="5C5C6C"/>
          <w:sz w:val="16"/>
        </w:rPr>
        <w:t>The 10:30 ET Wednesday release is the week's single most market-moving event. Surprise normalized as (actual - consensus) / mean(actual, consensus); directional reaction measured across a 10-minute window on WTI, Brent and the distillate complex.</w:t>
      </w:r>
    </w:p>
    <w:p w14:paraId="5AD8BEE0" w14:textId="77777777" w:rsidR="00FE291A" w:rsidRDefault="00E018C8">
      <w:pPr>
        <w:pStyle w:val="ListBullet"/>
        <w:spacing w:after="30" w:line="220" w:lineRule="exact"/>
        <w:ind w:left="283" w:hanging="142"/>
      </w:pPr>
      <w:r>
        <w:rPr>
          <w:rFonts w:ascii="Calibri" w:hAnsi="Calibri"/>
          <w:b/>
          <w:color w:val="141428"/>
          <w:sz w:val="17"/>
        </w:rPr>
        <w:t xml:space="preserve">Crude is efficiently priced: </w:t>
      </w:r>
      <w:r>
        <w:rPr>
          <w:rFonts w:ascii="Calibri" w:hAnsi="Calibri"/>
          <w:color w:val="2B2B38"/>
          <w:sz w:val="17"/>
        </w:rPr>
        <w:t>the surprise barely predicts WTI direction at the release (48.4%), improving to 58.8% by +10 min. A follow-small / fade-large rule reaches 58.2% versus 48.4% naive, but nets negative after costs (annualized Sharpe -0.18): the crude reaction is too fast to monetize.</w:t>
      </w:r>
    </w:p>
    <w:p w14:paraId="481F73E9" w14:textId="77777777" w:rsidR="00FE291A" w:rsidRDefault="00E018C8">
      <w:pPr>
        <w:pStyle w:val="ListBullet"/>
        <w:spacing w:after="30" w:line="220" w:lineRule="exact"/>
        <w:ind w:left="283" w:hanging="142"/>
      </w:pPr>
      <w:r>
        <w:rPr>
          <w:rFonts w:ascii="Calibri" w:hAnsi="Calibri"/>
          <w:b/>
          <w:color w:val="141428"/>
          <w:sz w:val="17"/>
        </w:rPr>
        <w:t xml:space="preserve">The tradeable edge is the less liquid distillate: </w:t>
      </w:r>
      <w:r>
        <w:rPr>
          <w:rFonts w:ascii="Calibri" w:hAnsi="Calibri"/>
          <w:color w:val="2B2B38"/>
          <w:sz w:val="17"/>
        </w:rPr>
        <w:t>gasoil, large prints, peak exit: 70.1% hit, +0.165% net per trade, annualized Sharpe 1.56; the low-drift conviction subset reaches 77.1%.</w:t>
      </w:r>
    </w:p>
    <w:p w14:paraId="79AE97FE" w14:textId="77777777" w:rsidR="00FE291A" w:rsidRDefault="00E018C8">
      <w:pPr>
        <w:pStyle w:val="ListBullet"/>
        <w:spacing w:after="30" w:line="220" w:lineRule="exact"/>
        <w:ind w:left="283" w:hanging="142"/>
      </w:pPr>
      <w:r>
        <w:rPr>
          <w:rFonts w:ascii="Calibri" w:hAnsi="Calibri"/>
          <w:b/>
          <w:color w:val="141428"/>
          <w:sz w:val="17"/>
        </w:rPr>
        <w:t xml:space="preserve">Volatility regime, not surprise magnitude, decides impact: </w:t>
      </w:r>
      <w:r>
        <w:rPr>
          <w:rFonts w:ascii="Calibri" w:hAnsi="Calibri"/>
          <w:color w:val="2B2B38"/>
          <w:sz w:val="17"/>
        </w:rPr>
        <w:t>days that moved carried ~2.6 realized volatility versus ~2.0 on muted days at the same surprise size; API/EIA disagreement (the Tuesday preview versus Wednesday official) amplifies the reaction.</w:t>
      </w:r>
    </w:p>
    <w:p w14:paraId="3A09F01F" w14:textId="2C0A37EC" w:rsidR="00FE291A" w:rsidRDefault="00E018C8">
      <w:pPr>
        <w:pBdr>
          <w:bottom w:val="single" w:sz="4" w:space="1" w:color="A8AEC0"/>
        </w:pBdr>
        <w:spacing w:before="80" w:after="20"/>
      </w:pPr>
      <w:r>
        <w:rPr>
          <w:rFonts w:ascii="Calibri" w:hAnsi="Calibri"/>
          <w:b/>
          <w:color w:val="145A8C"/>
          <w:sz w:val="21"/>
        </w:rPr>
        <w:t>5. CFTC Positioning and Term Structure (WTI 2021-2026, Brent 2016-2026)</w:t>
      </w:r>
    </w:p>
    <w:p w14:paraId="52C285B0" w14:textId="77777777" w:rsidR="002A3487" w:rsidRDefault="00E018C8" w:rsidP="00E74963">
      <w:pPr>
        <w:spacing w:before="20" w:after="20" w:line="210" w:lineRule="exact"/>
        <w:rPr>
          <w:rFonts w:ascii="Calibri" w:hAnsi="Calibri"/>
          <w:i/>
          <w:color w:val="5C5C6C"/>
          <w:sz w:val="16"/>
        </w:rPr>
      </w:pPr>
      <w:r>
        <w:rPr>
          <w:rFonts w:ascii="Calibri" w:hAnsi="Calibri"/>
          <w:i/>
          <w:color w:val="5C5C6C"/>
          <w:sz w:val="16"/>
        </w:rPr>
        <w:t xml:space="preserve">De-rolled continuous front-month returns, no look-ahead (inputs known at the Friday close), 52-week rolling z-scores, Newey-West (HAC) t-stats and block-bootstrap p-values, replicated across two independent crude markets. </w:t>
      </w:r>
    </w:p>
    <w:p w14:paraId="018E06C2" w14:textId="553E5151" w:rsidR="00FE291A" w:rsidRDefault="00E018C8" w:rsidP="002A3487">
      <w:pPr>
        <w:pStyle w:val="ListParagraph"/>
        <w:numPr>
          <w:ilvl w:val="0"/>
          <w:numId w:val="11"/>
        </w:numPr>
        <w:spacing w:before="20" w:after="20" w:line="210" w:lineRule="exact"/>
        <w:ind w:left="270" w:hanging="180"/>
      </w:pPr>
      <w:r w:rsidRPr="002A3487">
        <w:rPr>
          <w:rFonts w:ascii="Calibri" w:hAnsi="Calibri"/>
          <w:b/>
          <w:color w:val="141428"/>
          <w:sz w:val="17"/>
        </w:rPr>
        <w:t xml:space="preserve">Positioning is coincident, not predictive: </w:t>
      </w:r>
      <w:r w:rsidRPr="002A3487">
        <w:rPr>
          <w:rFonts w:ascii="Calibri" w:hAnsi="Calibri"/>
          <w:color w:val="2B2B38"/>
          <w:sz w:val="17"/>
        </w:rPr>
        <w:t>Managed Money net change versus same-week return is +0.19 (p=0.002); the position level does not predict next-week returns (corr ~0.00). Its extremes look tradeable on WTI (crowded-long -2.8% over 4 weeks) but collapse to the base rate on Brent (+1.2% vs a +1.4% baseline), so positioning is treated as WTI regime colour, not a standing signal.</w:t>
      </w:r>
    </w:p>
    <w:p w14:paraId="40A5FB72" w14:textId="64B4B416" w:rsidR="00FE291A" w:rsidRDefault="00E018C8">
      <w:pPr>
        <w:pStyle w:val="ListBullet"/>
        <w:spacing w:after="30" w:line="220" w:lineRule="exact"/>
        <w:ind w:left="283" w:hanging="142"/>
      </w:pPr>
      <w:r>
        <w:rPr>
          <w:rFonts w:ascii="Calibri" w:hAnsi="Calibri"/>
          <w:b/>
          <w:color w:val="141428"/>
          <w:sz w:val="17"/>
        </w:rPr>
        <w:t xml:space="preserve">The one durable, cross-validated price signal is the curve: </w:t>
      </w:r>
      <w:r>
        <w:rPr>
          <w:rFonts w:ascii="Calibri" w:hAnsi="Calibri"/>
          <w:color w:val="2B2B38"/>
          <w:sz w:val="17"/>
        </w:rPr>
        <w:t xml:space="preserve">sorting weeks by CL1-CL2, the most backwardated third precedes weak 4-week returns (WTI -2.6%, 29% hit; Brent -0.9%; bootstrap p&lt;0.01) while contango precedes gains (WTI +4.6%, Brent +3.1%). Monotonic on both crudes, holding on Brent's independent 543-week sample. Best conditioned cell: contango with high </w:t>
      </w:r>
      <w:r w:rsidR="00BF265B">
        <w:rPr>
          <w:rFonts w:ascii="Calibri" w:hAnsi="Calibri"/>
          <w:color w:val="2B2B38"/>
          <w:sz w:val="17"/>
        </w:rPr>
        <w:t>volatility (</w:t>
      </w:r>
      <w:r w:rsidR="007076B3">
        <w:rPr>
          <w:rFonts w:ascii="Calibri" w:hAnsi="Calibri"/>
          <w:color w:val="2B2B38"/>
          <w:sz w:val="17"/>
        </w:rPr>
        <w:t>very few samples)</w:t>
      </w:r>
      <w:r>
        <w:rPr>
          <w:rFonts w:ascii="Calibri" w:hAnsi="Calibri"/>
          <w:color w:val="2B2B38"/>
          <w:sz w:val="17"/>
        </w:rPr>
        <w:t>, WTI +3.7% / Brent +4.8%.</w:t>
      </w:r>
    </w:p>
    <w:p w14:paraId="3AAC1C62" w14:textId="715CF3A3" w:rsidR="00FE291A" w:rsidRDefault="00E018C8">
      <w:pPr>
        <w:pStyle w:val="ListBullet"/>
        <w:spacing w:after="30" w:line="220" w:lineRule="exact"/>
        <w:ind w:left="283" w:hanging="142"/>
      </w:pPr>
      <w:r>
        <w:rPr>
          <w:rFonts w:ascii="Calibri" w:hAnsi="Calibri"/>
          <w:b/>
          <w:color w:val="141428"/>
          <w:sz w:val="17"/>
        </w:rPr>
        <w:t xml:space="preserve">Structural columns add risk information: </w:t>
      </w:r>
      <w:r>
        <w:rPr>
          <w:rFonts w:ascii="Calibri" w:hAnsi="Calibri"/>
          <w:color w:val="2B2B38"/>
          <w:sz w:val="17"/>
        </w:rPr>
        <w:t xml:space="preserve">gross book per firm shows the short side is the most crowded in the sample now (~4,520 contracts/firm, squeeze-prone); on WTI, price up on rising open interest is the best continuation regime (+3.0%, 56% hit) while price up on falling open interest is a covering bounce to fade. The physical roll is net-neutral and invisible to </w:t>
      </w:r>
      <w:r w:rsidR="00772978">
        <w:rPr>
          <w:rFonts w:ascii="Calibri" w:hAnsi="Calibri"/>
          <w:color w:val="2B2B38"/>
          <w:sz w:val="17"/>
        </w:rPr>
        <w:t>COT</w:t>
      </w:r>
      <w:r>
        <w:rPr>
          <w:rFonts w:ascii="Calibri" w:hAnsi="Calibri"/>
          <w:color w:val="2B2B38"/>
          <w:sz w:val="17"/>
        </w:rPr>
        <w:t>; its risk lives in the CL1-CL2 spread</w:t>
      </w:r>
      <w:r w:rsidR="009F35BC">
        <w:rPr>
          <w:rFonts w:ascii="Calibri" w:hAnsi="Calibri"/>
          <w:color w:val="2B2B38"/>
          <w:sz w:val="17"/>
        </w:rPr>
        <w:t>.</w:t>
      </w:r>
    </w:p>
    <w:p w14:paraId="77C9A3FB" w14:textId="1F101D5F" w:rsidR="00FE291A" w:rsidRDefault="00E018C8">
      <w:pPr>
        <w:pBdr>
          <w:bottom w:val="single" w:sz="4" w:space="1" w:color="A8AEC0"/>
        </w:pBdr>
        <w:spacing w:before="80" w:after="20"/>
      </w:pPr>
      <w:r>
        <w:rPr>
          <w:rFonts w:ascii="Calibri" w:hAnsi="Calibri"/>
          <w:b/>
          <w:color w:val="145A8C"/>
          <w:sz w:val="21"/>
        </w:rPr>
        <w:t>6. News-to-Probability Framework (Strait of Hormuz brief)</w:t>
      </w:r>
    </w:p>
    <w:p w14:paraId="0DA4BFDC" w14:textId="20DC8D8C" w:rsidR="00FE291A" w:rsidRDefault="00E018C8">
      <w:pPr>
        <w:spacing w:before="20" w:after="20" w:line="210" w:lineRule="exact"/>
      </w:pPr>
      <w:r>
        <w:rPr>
          <w:rFonts w:ascii="Calibri" w:hAnsi="Calibri"/>
          <w:i/>
          <w:color w:val="5C5C6C"/>
          <w:sz w:val="16"/>
        </w:rPr>
        <w:t>Headline: Israeli strikes on Iranian energy infrastructure; Iran threatens to close the Strait of Hormuz</w:t>
      </w:r>
      <w:r w:rsidR="00BF265B">
        <w:rPr>
          <w:rFonts w:ascii="Calibri" w:hAnsi="Calibri"/>
          <w:i/>
          <w:color w:val="5C5C6C"/>
          <w:sz w:val="16"/>
        </w:rPr>
        <w:t>.</w:t>
      </w:r>
      <w:r>
        <w:rPr>
          <w:rFonts w:ascii="Calibri" w:hAnsi="Calibri"/>
          <w:i/>
          <w:color w:val="5C5C6C"/>
          <w:sz w:val="16"/>
        </w:rPr>
        <w:t xml:space="preserve"> Task: probability distributions for Brent M1-M2, M2-M4 and M1-M6 over one week. Four mutually exclusive scenarios, calibrated to 7 historical supply shocks, propagated through a 100,000-path Monte Carlo.</w:t>
      </w:r>
    </w:p>
    <w:p w14:paraId="04610F27" w14:textId="719582C6" w:rsidR="00FE291A" w:rsidRDefault="00E018C8">
      <w:pPr>
        <w:pStyle w:val="ListBullet"/>
        <w:spacing w:after="30" w:line="220" w:lineRule="exact"/>
        <w:ind w:left="283" w:hanging="142"/>
      </w:pPr>
      <w:r>
        <w:rPr>
          <w:rFonts w:ascii="Calibri" w:hAnsi="Calibri"/>
          <w:b/>
          <w:color w:val="141428"/>
          <w:sz w:val="17"/>
        </w:rPr>
        <w:t xml:space="preserve">Scenario tree: </w:t>
      </w:r>
      <w:r>
        <w:rPr>
          <w:rFonts w:ascii="Calibri" w:hAnsi="Calibri"/>
          <w:color w:val="2B2B38"/>
          <w:sz w:val="17"/>
        </w:rPr>
        <w:t>S1 rhetorical (30%), S2 tanker harassment and mining, 5-10% flow loss (35%), S3 severe, 20-30% of Hormuz blocked (25%), S4 full closure (10%). Each contributes prob x 100k draws from a severity-scaled Gaussian; the mixture reproduces the fat left tail and right skew of geopolitical shocks and the bimodal M1-M6</w:t>
      </w:r>
      <w:r w:rsidR="009F35BC">
        <w:rPr>
          <w:rFonts w:ascii="Calibri" w:hAnsi="Calibri"/>
          <w:color w:val="2B2B38"/>
          <w:sz w:val="17"/>
        </w:rPr>
        <w:t xml:space="preserve">. </w:t>
      </w:r>
      <w:r>
        <w:rPr>
          <w:rFonts w:ascii="Calibri" w:hAnsi="Calibri"/>
          <w:color w:val="2B2B38"/>
          <w:sz w:val="17"/>
        </w:rPr>
        <w:t>Priors anchored to Abqaiq 2019 (+$2.10 on M1-M6) and Russia-Ukraine 2022 (+$3.50).</w:t>
      </w:r>
    </w:p>
    <w:p w14:paraId="1A8EEF70" w14:textId="77777777" w:rsidR="00FE291A" w:rsidRDefault="00E018C8">
      <w:pPr>
        <w:pStyle w:val="ListBullet"/>
        <w:spacing w:after="30" w:line="220" w:lineRule="exact"/>
        <w:ind w:left="283" w:hanging="142"/>
      </w:pPr>
      <w:r>
        <w:rPr>
          <w:rFonts w:ascii="Calibri" w:hAnsi="Calibri"/>
          <w:b/>
          <w:color w:val="141428"/>
          <w:sz w:val="17"/>
        </w:rPr>
        <w:t xml:space="preserve">Outputs and the trade: </w:t>
      </w:r>
      <w:r>
        <w:rPr>
          <w:rFonts w:ascii="Calibri" w:hAnsi="Calibri"/>
          <w:color w:val="2B2B38"/>
          <w:sz w:val="17"/>
        </w:rPr>
        <w:t>M1-M2 EV +$1.03 (90% CI $0.05 to $3.50), M2-M4 +$0.61, M1-M6 +$2.66 (90% CI $0.23 to $8.50). M1-M6 is the primary risk barometer and carries the convexity: about $8.50 of tail upside against $0.23 downside, a right-skewed long-spread payoff. The dominant risk is time decay on a ceasefire, since diplomatic resolution mean-reverts the curve fast; SPR releases and Saudi spare (~2 Mb/d) cap the backwardation.</w:t>
      </w:r>
    </w:p>
    <w:p w14:paraId="78844BDD" w14:textId="77777777" w:rsidR="00FE291A" w:rsidRDefault="00E018C8">
      <w:pPr>
        <w:pStyle w:val="ListBullet"/>
        <w:spacing w:after="30" w:line="220" w:lineRule="exact"/>
        <w:ind w:left="283" w:hanging="142"/>
      </w:pPr>
      <w:r>
        <w:rPr>
          <w:rFonts w:ascii="Calibri" w:hAnsi="Calibri"/>
          <w:b/>
          <w:color w:val="141428"/>
          <w:sz w:val="17"/>
        </w:rPr>
        <w:t xml:space="preserve">Productized: </w:t>
      </w:r>
      <w:r>
        <w:rPr>
          <w:rFonts w:ascii="Calibri" w:hAnsi="Calibri"/>
          <w:color w:val="2B2B38"/>
          <w:sz w:val="17"/>
        </w:rPr>
        <w:t>generalized in the dashboard into an analog-retrieval plus jump-diffusion engine over the 18-node exposure matrix, with walk-forward calibration of interval coverage so the bands are honest, not just plausible.</w:t>
      </w:r>
    </w:p>
    <w:p w14:paraId="065F55A0" w14:textId="77777777" w:rsidR="00FE291A" w:rsidRDefault="00E018C8">
      <w:pPr>
        <w:pBdr>
          <w:bottom w:val="single" w:sz="4" w:space="1" w:color="A8AEC0"/>
        </w:pBdr>
        <w:spacing w:before="80" w:after="20"/>
      </w:pPr>
      <w:r>
        <w:rPr>
          <w:rFonts w:ascii="Calibri" w:hAnsi="Calibri"/>
          <w:b/>
          <w:color w:val="145A8C"/>
          <w:sz w:val="21"/>
        </w:rPr>
        <w:t>Application to Energy Market Analysis</w:t>
      </w:r>
    </w:p>
    <w:p w14:paraId="126483D0" w14:textId="77777777" w:rsidR="00FE291A" w:rsidRPr="003C0B59" w:rsidRDefault="00E018C8">
      <w:pPr>
        <w:spacing w:before="20" w:after="40" w:line="220" w:lineRule="exact"/>
        <w:rPr>
          <w:sz w:val="17"/>
          <w:szCs w:val="17"/>
        </w:rPr>
      </w:pPr>
      <w:r w:rsidRPr="003C0B59">
        <w:rPr>
          <w:rFonts w:ascii="Calibri" w:hAnsi="Calibri"/>
          <w:color w:val="2B2B38"/>
          <w:sz w:val="17"/>
          <w:szCs w:val="17"/>
        </w:rPr>
        <w:t>The pieces form an analysis engine, not a dashboard, and each design choice traces to a concept from the program. The regime read gates and weights activity off the storage-economics view of the curve; the paper engine ranks mean-reversion opportunities on the deferred curvature that actually mean-reverts; the EIA study says when a release is worth trading and in which instrument; the CFTC work gives a term-structure directional bias with an honest read on what positioning can and cannot do; and the news framework converts a supply-disruption headline into a calibrated spread distribution with a stated convexity and its main risk. The through-line is discipline about what is a signal versus what is regime-specific noise, enforced by out-of-sample and cross-instrument tests rather than in-sample fit.</w:t>
      </w:r>
    </w:p>
    <w:p w14:paraId="635AA588" w14:textId="77777777" w:rsidR="00FE291A" w:rsidRPr="003B1138" w:rsidRDefault="00E018C8">
      <w:pPr>
        <w:spacing w:after="80"/>
        <w:rPr>
          <w:sz w:val="24"/>
          <w:szCs w:val="24"/>
        </w:rPr>
      </w:pPr>
      <w:r w:rsidRPr="003B1138">
        <w:rPr>
          <w:rFonts w:ascii="Calibri" w:hAnsi="Calibri"/>
          <w:b/>
          <w:color w:val="141428"/>
          <w:sz w:val="24"/>
          <w:szCs w:val="24"/>
        </w:rPr>
        <w:lastRenderedPageBreak/>
        <w:t>Technical Appendix: Methods, Validation, and Concepts Applied</w:t>
      </w:r>
    </w:p>
    <w:p w14:paraId="278D3769" w14:textId="77777777" w:rsidR="00FE291A" w:rsidRDefault="00E018C8">
      <w:pPr>
        <w:pBdr>
          <w:bottom w:val="single" w:sz="4" w:space="1" w:color="A8AEC0"/>
        </w:pBdr>
        <w:spacing w:before="80" w:after="20"/>
      </w:pPr>
      <w:r>
        <w:rPr>
          <w:rFonts w:ascii="Calibri" w:hAnsi="Calibri"/>
          <w:b/>
          <w:color w:val="145A8C"/>
          <w:sz w:val="21"/>
        </w:rPr>
        <w:t>Statistical methods and validation discipline</w:t>
      </w:r>
    </w:p>
    <w:p w14:paraId="6F938B49" w14:textId="77777777" w:rsidR="00FE291A" w:rsidRDefault="00E018C8">
      <w:pPr>
        <w:pStyle w:val="ListBullet"/>
        <w:spacing w:after="30" w:line="220" w:lineRule="exact"/>
        <w:ind w:left="283" w:hanging="142"/>
      </w:pPr>
      <w:r>
        <w:rPr>
          <w:rFonts w:ascii="Calibri" w:hAnsi="Calibri"/>
          <w:b/>
          <w:color w:val="141428"/>
          <w:sz w:val="17"/>
        </w:rPr>
        <w:t xml:space="preserve">No look-ahead: </w:t>
      </w:r>
      <w:r>
        <w:rPr>
          <w:rFonts w:ascii="Calibri" w:hAnsi="Calibri"/>
          <w:color w:val="2B2B38"/>
          <w:sz w:val="17"/>
        </w:rPr>
        <w:t>every signal uses only information available at decision time. Positioning is lagged to the Friday CFTC release, paper fills occur on the bar after the signal, and event-study reactions are measured strictly forward of the release timestamp.</w:t>
      </w:r>
    </w:p>
    <w:p w14:paraId="0A536F0D" w14:textId="77777777" w:rsidR="00FE291A" w:rsidRDefault="00E018C8">
      <w:pPr>
        <w:pStyle w:val="ListBullet"/>
        <w:spacing w:after="30" w:line="220" w:lineRule="exact"/>
        <w:ind w:left="283" w:hanging="142"/>
      </w:pPr>
      <w:r>
        <w:rPr>
          <w:rFonts w:ascii="Calibri" w:hAnsi="Calibri"/>
          <w:b/>
          <w:color w:val="141428"/>
          <w:sz w:val="17"/>
        </w:rPr>
        <w:t xml:space="preserve">De-rolled continuous returns: </w:t>
      </w:r>
      <w:r>
        <w:rPr>
          <w:rFonts w:ascii="Calibri" w:hAnsi="Calibri"/>
          <w:color w:val="2B2B38"/>
          <w:sz w:val="17"/>
        </w:rPr>
        <w:t>front-month series are stitched so contract rolls do not create artificial jumps, which otherwise contaminate any 2- to 4-week return study. The roll's own risk is analysed separately in the CL1-CL2 spread, where it actually lives.</w:t>
      </w:r>
    </w:p>
    <w:p w14:paraId="3DD7FF31" w14:textId="77777777" w:rsidR="00FE291A" w:rsidRDefault="00E018C8">
      <w:pPr>
        <w:pStyle w:val="ListBullet"/>
        <w:spacing w:after="30" w:line="220" w:lineRule="exact"/>
        <w:ind w:left="283" w:hanging="142"/>
      </w:pPr>
      <w:r>
        <w:rPr>
          <w:rFonts w:ascii="Calibri" w:hAnsi="Calibri"/>
          <w:b/>
          <w:color w:val="141428"/>
          <w:sz w:val="17"/>
        </w:rPr>
        <w:t xml:space="preserve">Significance and robustness: </w:t>
      </w:r>
      <w:r>
        <w:rPr>
          <w:rFonts w:ascii="Calibri" w:hAnsi="Calibri"/>
          <w:color w:val="2B2B38"/>
          <w:sz w:val="17"/>
        </w:rPr>
        <w:t>Newey-West (HAC) standard errors for overlapping-window autocorrelation, and block-bootstrap p-values that preserve serial dependence. Single-market results are treated as fragile until replicated.</w:t>
      </w:r>
    </w:p>
    <w:p w14:paraId="2265E0DB" w14:textId="77777777" w:rsidR="00FE291A" w:rsidRDefault="00E018C8">
      <w:pPr>
        <w:pStyle w:val="ListBullet"/>
        <w:spacing w:after="30" w:line="220" w:lineRule="exact"/>
        <w:ind w:left="283" w:hanging="142"/>
      </w:pPr>
      <w:r>
        <w:rPr>
          <w:rFonts w:ascii="Calibri" w:hAnsi="Calibri"/>
          <w:b/>
          <w:color w:val="141428"/>
          <w:sz w:val="17"/>
        </w:rPr>
        <w:t xml:space="preserve">Cross-instrument replication: </w:t>
      </w:r>
      <w:r>
        <w:rPr>
          <w:rFonts w:ascii="Calibri" w:hAnsi="Calibri"/>
          <w:color w:val="2B2B38"/>
          <w:sz w:val="17"/>
        </w:rPr>
        <w:t>the primary filter. A WTI finding is promoted to a standing rule only if it also holds on Brent's independent, longer sample. This exposed the Managed Money positioning edges as WTI-specific and confirmed the curve signal as durable.</w:t>
      </w:r>
    </w:p>
    <w:p w14:paraId="396FF42C" w14:textId="77777777" w:rsidR="00FE291A" w:rsidRDefault="00E018C8">
      <w:pPr>
        <w:pStyle w:val="ListBullet"/>
        <w:spacing w:after="30" w:line="220" w:lineRule="exact"/>
        <w:ind w:left="283" w:hanging="142"/>
      </w:pPr>
      <w:r>
        <w:rPr>
          <w:rFonts w:ascii="Calibri" w:hAnsi="Calibri"/>
          <w:b/>
          <w:color w:val="141428"/>
          <w:sz w:val="17"/>
        </w:rPr>
        <w:t xml:space="preserve">Regime conditioning over single factors: </w:t>
      </w:r>
      <w:r>
        <w:rPr>
          <w:rFonts w:ascii="Calibri" w:hAnsi="Calibri"/>
          <w:color w:val="2B2B38"/>
          <w:sz w:val="17"/>
        </w:rPr>
        <w:t>because single-factor t-stats are weak, factors are crossed into regimes (curve x volatility, position x staleness) and only cells that beat the base rate and agree across both crudes are kept.</w:t>
      </w:r>
    </w:p>
    <w:p w14:paraId="16F701D2" w14:textId="77777777" w:rsidR="00FE291A" w:rsidRDefault="00E018C8">
      <w:pPr>
        <w:pStyle w:val="ListBullet"/>
        <w:spacing w:after="30" w:line="220" w:lineRule="exact"/>
        <w:ind w:left="283" w:hanging="142"/>
      </w:pPr>
      <w:r>
        <w:rPr>
          <w:rFonts w:ascii="Calibri" w:hAnsi="Calibri"/>
          <w:b/>
          <w:color w:val="141428"/>
          <w:sz w:val="17"/>
        </w:rPr>
        <w:t xml:space="preserve">Calibration, not just direction: </w:t>
      </w:r>
      <w:r>
        <w:rPr>
          <w:rFonts w:ascii="Calibri" w:hAnsi="Calibri"/>
          <w:color w:val="2B2B38"/>
          <w:sz w:val="17"/>
        </w:rPr>
        <w:t>the news engine is scored by probability-integral-transform and 50/80 interval coverage on a walk-forward basis, so the distributions are honest about their own uncertainty.</w:t>
      </w:r>
    </w:p>
    <w:p w14:paraId="1D0D93DB" w14:textId="63C3DADB" w:rsidR="00FE291A" w:rsidRDefault="00E018C8">
      <w:pPr>
        <w:pBdr>
          <w:bottom w:val="single" w:sz="4" w:space="1" w:color="A8AEC0"/>
        </w:pBdr>
        <w:spacing w:before="80" w:after="20"/>
      </w:pPr>
      <w:r>
        <w:rPr>
          <w:rFonts w:ascii="Calibri" w:hAnsi="Calibri"/>
          <w:b/>
          <w:color w:val="145A8C"/>
          <w:sz w:val="21"/>
        </w:rPr>
        <w:t>Market concepts applied</w:t>
      </w:r>
    </w:p>
    <w:p w14:paraId="2CEE05BC" w14:textId="77777777" w:rsidR="00FE291A" w:rsidRDefault="00E018C8">
      <w:pPr>
        <w:pStyle w:val="ListBullet"/>
        <w:spacing w:after="30" w:line="220" w:lineRule="exact"/>
        <w:ind w:left="283" w:hanging="142"/>
      </w:pPr>
      <w:r>
        <w:rPr>
          <w:rFonts w:ascii="Calibri" w:hAnsi="Calibri"/>
          <w:b/>
          <w:color w:val="141428"/>
          <w:sz w:val="17"/>
        </w:rPr>
        <w:t xml:space="preserve">Forward curve and storage economics: </w:t>
      </w:r>
      <w:r>
        <w:rPr>
          <w:rFonts w:ascii="Calibri" w:hAnsi="Calibri"/>
          <w:color w:val="2B2B38"/>
          <w:sz w:val="17"/>
        </w:rPr>
        <w:t>the curve as the market's clearing mechanism, with contango bounded by full carry (~$1.5-3/bbl per month) and roll yield as the regime state variable. This is the backbone of the regime classifier and the curve analytics.</w:t>
      </w:r>
    </w:p>
    <w:p w14:paraId="425EDA95" w14:textId="77777777" w:rsidR="00FE291A" w:rsidRDefault="00E018C8">
      <w:pPr>
        <w:pStyle w:val="ListBullet"/>
        <w:spacing w:after="30" w:line="220" w:lineRule="exact"/>
        <w:ind w:left="283" w:hanging="142"/>
      </w:pPr>
      <w:r>
        <w:rPr>
          <w:rFonts w:ascii="Calibri" w:hAnsi="Calibri"/>
          <w:b/>
          <w:color w:val="141428"/>
          <w:sz w:val="17"/>
        </w:rPr>
        <w:t xml:space="preserve">Inventory system and the measurement layer: </w:t>
      </w:r>
      <w:r>
        <w:rPr>
          <w:rFonts w:ascii="Calibri" w:hAnsi="Calibri"/>
          <w:color w:val="2B2B38"/>
          <w:sz w:val="17"/>
        </w:rPr>
        <w:t>OECD stocks versus the 5-year average, days of forward demand cover (below ~54 days historically maps to $90+ Brent), the EIA Wednesday release as the top scheduled event, and the API Tuesday preview. This is the design basis of the EIA event study and the API/EIA divergence signal.</w:t>
      </w:r>
    </w:p>
    <w:p w14:paraId="4BF46570" w14:textId="77777777" w:rsidR="00FE291A" w:rsidRDefault="00E018C8">
      <w:pPr>
        <w:pStyle w:val="ListBullet"/>
        <w:spacing w:after="30" w:line="220" w:lineRule="exact"/>
        <w:ind w:left="283" w:hanging="142"/>
      </w:pPr>
      <w:r>
        <w:rPr>
          <w:rFonts w:ascii="Calibri" w:hAnsi="Calibri"/>
          <w:b/>
          <w:color w:val="141428"/>
          <w:sz w:val="17"/>
        </w:rPr>
        <w:t xml:space="preserve">Refining and crack spreads: </w:t>
      </w:r>
      <w:r>
        <w:rPr>
          <w:rFonts w:ascii="Calibri" w:hAnsi="Calibri"/>
          <w:color w:val="2B2B38"/>
          <w:sz w:val="17"/>
        </w:rPr>
        <w:t>the 3-2-1 crack as the US refining margin and the gasoil crack (GO in $/MT converted at ~7.45 bbl/MT) as the European one. The distillate focus is why the tradeable EIA edge showed up in gasoil rather than crude.</w:t>
      </w:r>
    </w:p>
    <w:p w14:paraId="79E45552" w14:textId="77777777" w:rsidR="00FE291A" w:rsidRDefault="00E018C8">
      <w:pPr>
        <w:pStyle w:val="ListBullet"/>
        <w:spacing w:after="30" w:line="220" w:lineRule="exact"/>
        <w:ind w:left="283" w:hanging="142"/>
      </w:pPr>
      <w:r>
        <w:rPr>
          <w:rFonts w:ascii="Calibri" w:hAnsi="Calibri"/>
          <w:b/>
          <w:color w:val="141428"/>
          <w:sz w:val="17"/>
        </w:rPr>
        <w:t xml:space="preserve">Benchmark relationships: </w:t>
      </w:r>
      <w:r>
        <w:rPr>
          <w:rFonts w:ascii="Calibri" w:hAnsi="Calibri"/>
          <w:color w:val="2B2B38"/>
          <w:sz w:val="17"/>
        </w:rPr>
        <w:t>Brent-WTI driven by Cushing stocks and US export capacity, and Brent-Dubai by light-heavy quality and Atlantic-Pacific arbitrage. This frames the WTI-Brent spread work and the cross-instrument replication logic.</w:t>
      </w:r>
    </w:p>
    <w:p w14:paraId="47AA309C" w14:textId="77777777" w:rsidR="00FE291A" w:rsidRDefault="00E018C8">
      <w:pPr>
        <w:pStyle w:val="ListBullet"/>
        <w:spacing w:after="30" w:line="220" w:lineRule="exact"/>
        <w:ind w:left="283" w:hanging="142"/>
      </w:pPr>
      <w:r>
        <w:rPr>
          <w:rFonts w:ascii="Calibri" w:hAnsi="Calibri"/>
          <w:b/>
          <w:color w:val="141428"/>
          <w:sz w:val="17"/>
        </w:rPr>
        <w:t xml:space="preserve">Geopolitics and risk premia: </w:t>
      </w:r>
      <w:r>
        <w:rPr>
          <w:rFonts w:ascii="Calibri" w:hAnsi="Calibri"/>
          <w:color w:val="2B2B38"/>
          <w:sz w:val="17"/>
        </w:rPr>
        <w:t>spare capacity as the denominator that converts a disruption into a price move, and the risk-premium fade pattern (largely reversed once supply reroutes, persistent when physical loss is confirmed). This is the conceptual core of the Hormuz scenario tree and the node exposure matrix.</w:t>
      </w:r>
    </w:p>
    <w:p w14:paraId="6717BA65" w14:textId="77777777" w:rsidR="00FE291A" w:rsidRDefault="00E018C8">
      <w:pPr>
        <w:pStyle w:val="ListBullet"/>
        <w:spacing w:after="30" w:line="220" w:lineRule="exact"/>
        <w:ind w:left="283" w:hanging="142"/>
      </w:pPr>
      <w:r>
        <w:rPr>
          <w:rFonts w:ascii="Calibri" w:hAnsi="Calibri"/>
          <w:b/>
          <w:color w:val="141428"/>
          <w:sz w:val="17"/>
        </w:rPr>
        <w:t xml:space="preserve">Statistics, regression and contract mechanics: </w:t>
      </w:r>
      <w:r>
        <w:rPr>
          <w:rFonts w:ascii="Calibri" w:hAnsi="Calibri"/>
          <w:color w:val="2B2B38"/>
          <w:sz w:val="17"/>
        </w:rPr>
        <w:t>cointegration versus correlation for spread validity, rolling and regime-specific regression for time-varying relationships, and the contract specifications (WTI physical delivery at Cushing versus cash-settled Brent) that make the no-look-ahead fill rule and the roll analysis matter.</w:t>
      </w:r>
    </w:p>
    <w:p w14:paraId="145699D9" w14:textId="77777777" w:rsidR="00FE291A" w:rsidRDefault="00E018C8">
      <w:pPr>
        <w:pBdr>
          <w:bottom w:val="single" w:sz="4" w:space="1" w:color="A8AEC0"/>
        </w:pBdr>
        <w:spacing w:before="80" w:after="20"/>
      </w:pPr>
      <w:r>
        <w:rPr>
          <w:rFonts w:ascii="Calibri" w:hAnsi="Calibri"/>
          <w:b/>
          <w:color w:val="145A8C"/>
          <w:sz w:val="21"/>
        </w:rPr>
        <w:t>Data, reproducibility, and stated limitations</w:t>
      </w:r>
    </w:p>
    <w:p w14:paraId="5958D58C" w14:textId="77777777" w:rsidR="00FE291A" w:rsidRDefault="00E018C8">
      <w:pPr>
        <w:pStyle w:val="ListBullet"/>
        <w:spacing w:after="30" w:line="220" w:lineRule="exact"/>
        <w:ind w:left="283" w:hanging="142"/>
      </w:pPr>
      <w:r>
        <w:rPr>
          <w:rFonts w:ascii="Calibri" w:hAnsi="Calibri"/>
          <w:b/>
          <w:color w:val="141428"/>
          <w:sz w:val="17"/>
        </w:rPr>
        <w:t xml:space="preserve">Data: </w:t>
      </w:r>
      <w:r>
        <w:rPr>
          <w:rFonts w:ascii="Calibri" w:hAnsi="Calibri"/>
          <w:color w:val="2B2B38"/>
          <w:sz w:val="17"/>
        </w:rPr>
        <w:t>local 1-minute WTI/Brent curves, ICE Brent settle history to 2016, CFTC Disaggregated (Managed Money and Other Reportables), EIA weekly petroleum status, and a curated historical event-impact table. Brent positioning uses the CFTC NYMEX Brent Last Day series as a proxy because the ICE COT is gated.</w:t>
      </w:r>
    </w:p>
    <w:p w14:paraId="40055325" w14:textId="77777777" w:rsidR="00FE291A" w:rsidRDefault="00E018C8">
      <w:pPr>
        <w:pStyle w:val="ListBullet"/>
        <w:spacing w:after="30" w:line="220" w:lineRule="exact"/>
        <w:ind w:left="283" w:hanging="142"/>
      </w:pPr>
      <w:r>
        <w:rPr>
          <w:rFonts w:ascii="Calibri" w:hAnsi="Calibri"/>
          <w:b/>
          <w:color w:val="141428"/>
          <w:sz w:val="17"/>
        </w:rPr>
        <w:t xml:space="preserve">Reproducibility: </w:t>
      </w:r>
      <w:r>
        <w:rPr>
          <w:rFonts w:ascii="Calibri" w:hAnsi="Calibri"/>
          <w:color w:val="2B2B38"/>
          <w:sz w:val="17"/>
        </w:rPr>
        <w:t>each study is scripted end to end (fetch, build, analyze, chart, deck) with results serialized to JSON/CSV, so every figure traces to code and a fixed sample.</w:t>
      </w:r>
    </w:p>
    <w:p w14:paraId="275392E0" w14:textId="77777777" w:rsidR="00FE291A" w:rsidRDefault="00E018C8">
      <w:pPr>
        <w:pStyle w:val="ListBullet"/>
        <w:spacing w:after="30" w:line="220" w:lineRule="exact"/>
        <w:ind w:left="283" w:hanging="142"/>
      </w:pPr>
      <w:r>
        <w:rPr>
          <w:rFonts w:ascii="Calibri" w:hAnsi="Calibri"/>
          <w:b/>
          <w:color w:val="141428"/>
          <w:sz w:val="17"/>
        </w:rPr>
        <w:t xml:space="preserve">Limitations, stated up front: </w:t>
      </w:r>
      <w:r>
        <w:rPr>
          <w:rFonts w:ascii="Calibri" w:hAnsi="Calibri"/>
          <w:color w:val="2B2B38"/>
          <w:sz w:val="17"/>
        </w:rPr>
        <w:t>the WTI positioning window excludes the 2020 dislocation, episode counts at the extremes are small, the curve edge partly reflects 2021-2026 regimes, transaction costs are modelled only in the EIA backtest, and the Hormuz scenario probabilities are judgemental priors. The conclusions are framed as overlays and calibrated priors, not standalone triggers.</w:t>
      </w:r>
    </w:p>
    <w:sectPr w:rsidR="00FE291A" w:rsidSect="00305374">
      <w:pgSz w:w="12240" w:h="15840"/>
      <w:pgMar w:top="270" w:right="720" w:bottom="27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701F4B"/>
    <w:multiLevelType w:val="hybridMultilevel"/>
    <w:tmpl w:val="8342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434CA4"/>
    <w:multiLevelType w:val="hybridMultilevel"/>
    <w:tmpl w:val="CCCAE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8542625">
    <w:abstractNumId w:val="8"/>
  </w:num>
  <w:num w:numId="2" w16cid:durableId="1700163184">
    <w:abstractNumId w:val="6"/>
  </w:num>
  <w:num w:numId="3" w16cid:durableId="1774279719">
    <w:abstractNumId w:val="5"/>
  </w:num>
  <w:num w:numId="4" w16cid:durableId="1419673385">
    <w:abstractNumId w:val="4"/>
  </w:num>
  <w:num w:numId="5" w16cid:durableId="1627196491">
    <w:abstractNumId w:val="7"/>
  </w:num>
  <w:num w:numId="6" w16cid:durableId="420758457">
    <w:abstractNumId w:val="3"/>
  </w:num>
  <w:num w:numId="7" w16cid:durableId="1409305391">
    <w:abstractNumId w:val="2"/>
  </w:num>
  <w:num w:numId="8" w16cid:durableId="639698678">
    <w:abstractNumId w:val="1"/>
  </w:num>
  <w:num w:numId="9" w16cid:durableId="316810776">
    <w:abstractNumId w:val="0"/>
  </w:num>
  <w:num w:numId="10" w16cid:durableId="1557542569">
    <w:abstractNumId w:val="9"/>
  </w:num>
  <w:num w:numId="11" w16cid:durableId="6146052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DFA"/>
    <w:rsid w:val="00034616"/>
    <w:rsid w:val="0006063C"/>
    <w:rsid w:val="0015074B"/>
    <w:rsid w:val="0029639D"/>
    <w:rsid w:val="002A3487"/>
    <w:rsid w:val="00305374"/>
    <w:rsid w:val="00326F90"/>
    <w:rsid w:val="00355EEA"/>
    <w:rsid w:val="003B1138"/>
    <w:rsid w:val="003C0B59"/>
    <w:rsid w:val="00437E57"/>
    <w:rsid w:val="007076B3"/>
    <w:rsid w:val="00772978"/>
    <w:rsid w:val="009F35BC"/>
    <w:rsid w:val="00AA1D8D"/>
    <w:rsid w:val="00B47730"/>
    <w:rsid w:val="00BF265B"/>
    <w:rsid w:val="00C565A4"/>
    <w:rsid w:val="00CB0664"/>
    <w:rsid w:val="00E018C8"/>
    <w:rsid w:val="00E74963"/>
    <w:rsid w:val="00FC693F"/>
    <w:rsid w:val="00FD6163"/>
    <w:rsid w:val="00FE29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695A8CD-CA73-4036-B787-76785665F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1683</Words>
  <Characters>9700</Characters>
  <Application>Microsoft Office Word</Application>
  <DocSecurity>0</DocSecurity>
  <Lines>101</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Aayush Jhawar</cp:lastModifiedBy>
  <cp:revision>13</cp:revision>
  <dcterms:created xsi:type="dcterms:W3CDTF">2013-12-23T23:15:00Z</dcterms:created>
  <dcterms:modified xsi:type="dcterms:W3CDTF">2026-07-02T02:37:00Z</dcterms:modified>
  <cp:category/>
</cp:coreProperties>
</file>