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2EA8" w14:textId="77777777" w:rsidR="00E34F89" w:rsidRDefault="00000000">
      <w:pPr>
        <w:spacing w:after="20"/>
        <w:jc w:val="center"/>
      </w:pPr>
      <w:r>
        <w:rPr>
          <w:rFonts w:ascii="Calibri" w:hAnsi="Calibri"/>
          <w:b/>
          <w:color w:val="141428"/>
          <w:sz w:val="30"/>
        </w:rPr>
        <w:t>Internship Technical Summary</w:t>
      </w:r>
    </w:p>
    <w:p w14:paraId="294F9695" w14:textId="77777777" w:rsidR="00E34F89" w:rsidRDefault="00000000">
      <w:pPr>
        <w:spacing w:after="80"/>
        <w:jc w:val="center"/>
      </w:pPr>
      <w:r>
        <w:rPr>
          <w:rFonts w:ascii="Calibri" w:hAnsi="Calibri"/>
          <w:color w:val="145A8C"/>
          <w:sz w:val="19"/>
        </w:rPr>
        <w:t>Energy Markets Program, Summer 2026  |  Aayush Jhawar  |  Mentor: Nikita Nijhawan</w:t>
      </w:r>
    </w:p>
    <w:p w14:paraId="6D50AAC4" w14:textId="77777777" w:rsidR="00E34F89" w:rsidRDefault="00000000">
      <w:pPr>
        <w:pBdr>
          <w:bottom w:val="single" w:sz="4" w:space="1" w:color="AAB0C0"/>
        </w:pBdr>
        <w:spacing w:before="100" w:after="20"/>
      </w:pPr>
      <w:r>
        <w:rPr>
          <w:rFonts w:ascii="Calibri" w:hAnsi="Calibri"/>
          <w:b/>
          <w:color w:val="145A8C"/>
          <w:sz w:val="21"/>
        </w:rPr>
        <w:t>1. Energy Analytics Dashboard (Phase 1 + Phase 2)</w:t>
      </w:r>
    </w:p>
    <w:p w14:paraId="4AB41CD6" w14:textId="77777777" w:rsidR="00E34F89" w:rsidRDefault="00000000">
      <w:pPr>
        <w:spacing w:before="20" w:after="20" w:line="220" w:lineRule="exact"/>
      </w:pPr>
      <w:r>
        <w:rPr>
          <w:rFonts w:ascii="Calibri" w:hAnsi="Calibri"/>
          <w:i/>
          <w:color w:val="333340"/>
          <w:sz w:val="17"/>
        </w:rPr>
        <w:t>Stack: FastAPI backend, React/TypeScript frontend, SQLite + Parquet store (3.6 GB of 1-min and 15-min bars), 8+ live feeds over WebSocket (WTI, Brent, RBOB, HO, GO, DXY, SPX, VIX).</w:t>
      </w:r>
    </w:p>
    <w:p w14:paraId="7AC30C7D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Market structure: </w:t>
      </w:r>
      <w:r>
        <w:rPr>
          <w:rFonts w:ascii="Calibri" w:hAnsi="Calibri"/>
          <w:color w:val="333340"/>
          <w:sz w:val="18"/>
        </w:rPr>
        <w:t>live M1 to M12 forward curves for WTI and Brent with backwardation/contango detection; crack (3-2-1, 5-3-2), calendar, butterfly and double-fly analytics computed in real time.</w:t>
      </w:r>
    </w:p>
    <w:p w14:paraId="27C313F1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Signal engine: </w:t>
      </w:r>
      <w:r>
        <w:rPr>
          <w:rFonts w:ascii="Calibri" w:hAnsi="Calibri"/>
          <w:color w:val="333340"/>
          <w:sz w:val="18"/>
        </w:rPr>
        <w:t>12-factor composite (trend EMA/MACD/ADX, volatility Bollinger/ATR, mean-reversion z-score/RSI, momentum, macro) with regime-adaptive weights, scored in [-100, +100].</w:t>
      </w:r>
    </w:p>
    <w:p w14:paraId="01E0DA33" w14:textId="0B359AD3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Event layer: </w:t>
      </w:r>
      <w:r>
        <w:rPr>
          <w:rFonts w:ascii="Calibri" w:hAnsi="Calibri"/>
          <w:color w:val="333340"/>
          <w:sz w:val="18"/>
        </w:rPr>
        <w:t>supply-disruption monitor over 18 oil nodes with a structural exposure matrix, FinBERT news sentiment, and ACLED event ingestion.</w:t>
      </w:r>
    </w:p>
    <w:p w14:paraId="2A1F7B3E" w14:textId="77777777" w:rsidR="00E34F89" w:rsidRDefault="00000000">
      <w:pPr>
        <w:pBdr>
          <w:bottom w:val="single" w:sz="4" w:space="1" w:color="AAB0C0"/>
        </w:pBdr>
        <w:spacing w:before="100" w:after="20"/>
      </w:pPr>
      <w:r>
        <w:rPr>
          <w:rFonts w:ascii="Calibri" w:hAnsi="Calibri"/>
          <w:b/>
          <w:color w:val="145A8C"/>
          <w:sz w:val="21"/>
        </w:rPr>
        <w:t>2. Regime Classification Framework</w:t>
      </w:r>
    </w:p>
    <w:p w14:paraId="14C7D385" w14:textId="77777777" w:rsidR="00E34F89" w:rsidRDefault="00000000">
      <w:pPr>
        <w:spacing w:before="20" w:after="20" w:line="220" w:lineRule="exact"/>
      </w:pPr>
      <w:r>
        <w:rPr>
          <w:rFonts w:ascii="Calibri" w:hAnsi="Calibri"/>
          <w:i/>
          <w:color w:val="333340"/>
          <w:sz w:val="17"/>
        </w:rPr>
        <w:t>Five states from annualized M1 to M6 roll yield (Extreme Backwardation to Extreme Contango), with candidate-state persistence to suppress false flips; used as a hard position gate and a signal-weight modifier.</w:t>
      </w:r>
    </w:p>
    <w:p w14:paraId="510A3F33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Live read (1 Jul 2026): </w:t>
      </w:r>
      <w:r>
        <w:rPr>
          <w:rFonts w:ascii="Calibri" w:hAnsi="Calibri"/>
          <w:color w:val="333340"/>
          <w:sz w:val="18"/>
        </w:rPr>
        <w:t>WTI Neutral (roll yield 1.9%), Brent Neutral (-0.7%), HO Backwardation (21.8%), GO Extreme Backwardation. Extreme Contango blocks new longs.</w:t>
      </w:r>
    </w:p>
    <w:p w14:paraId="112775FA" w14:textId="77777777" w:rsidR="00E34F89" w:rsidRDefault="00000000">
      <w:pPr>
        <w:pBdr>
          <w:bottom w:val="single" w:sz="4" w:space="1" w:color="AAB0C0"/>
        </w:pBdr>
        <w:spacing w:before="100" w:after="20"/>
      </w:pPr>
      <w:r>
        <w:rPr>
          <w:rFonts w:ascii="Calibri" w:hAnsi="Calibri"/>
          <w:b/>
          <w:color w:val="145A8C"/>
          <w:sz w:val="21"/>
        </w:rPr>
        <w:t>3. Live Paper-Trading Engine (zero look-ahead)</w:t>
      </w:r>
    </w:p>
    <w:p w14:paraId="31E5A142" w14:textId="77777777" w:rsidR="00E34F89" w:rsidRDefault="00000000">
      <w:pPr>
        <w:spacing w:before="20" w:after="20" w:line="220" w:lineRule="exact"/>
      </w:pPr>
      <w:r>
        <w:rPr>
          <w:rFonts w:ascii="Calibri" w:hAnsi="Calibri"/>
          <w:i/>
          <w:color w:val="333340"/>
          <w:sz w:val="17"/>
        </w:rPr>
        <w:t>15-min bar engine: signal on bar close, fill at the next bar's open. 25 instruments, max 12 concurrent, P&amp;L tracked in ticks.</w:t>
      </w:r>
    </w:p>
    <w:p w14:paraId="5168259C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Result: </w:t>
      </w:r>
      <w:r>
        <w:rPr>
          <w:rFonts w:ascii="Calibri" w:hAnsi="Calibri"/>
          <w:color w:val="333340"/>
          <w:sz w:val="18"/>
        </w:rPr>
        <w:t>640 closed trades, 84.8% hit rate, +13,980 ticks realized, max drawdown only 243 ticks.</w:t>
      </w:r>
    </w:p>
    <w:p w14:paraId="2377BA33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Where the edge lives: </w:t>
      </w:r>
      <w:r>
        <w:rPr>
          <w:rFonts w:ascii="Calibri" w:hAnsi="Calibri"/>
          <w:color w:val="333340"/>
          <w:sz w:val="18"/>
        </w:rPr>
        <w:t>deferred double-flies dominate (WTI 9-10-11-12 +1,818 ticks, Brent 8-9-10-11 +1,428, WTI 7-8-9-10 +1,685); front calendar spreads (1-2, 2-3) are flat to negative. Curve curvature mean-reverts cleanly; the front spread does not.</w:t>
      </w:r>
    </w:p>
    <w:p w14:paraId="432EF8EA" w14:textId="77777777" w:rsidR="00E34F89" w:rsidRDefault="00000000">
      <w:pPr>
        <w:pBdr>
          <w:bottom w:val="single" w:sz="4" w:space="1" w:color="AAB0C0"/>
        </w:pBdr>
        <w:spacing w:before="100" w:after="20"/>
      </w:pPr>
      <w:r>
        <w:rPr>
          <w:rFonts w:ascii="Calibri" w:hAnsi="Calibri"/>
          <w:b/>
          <w:color w:val="145A8C"/>
          <w:sz w:val="21"/>
        </w:rPr>
        <w:t>4. EIA Inventory Event Study (2021 to 2026, 1-min bars, 279 releases)</w:t>
      </w:r>
    </w:p>
    <w:p w14:paraId="7C10004C" w14:textId="77777777" w:rsidR="00E34F89" w:rsidRDefault="00000000">
      <w:pPr>
        <w:spacing w:before="20" w:after="20" w:line="220" w:lineRule="exact"/>
      </w:pPr>
      <w:r>
        <w:rPr>
          <w:rFonts w:ascii="Calibri" w:hAnsi="Calibri"/>
          <w:i/>
          <w:color w:val="333340"/>
          <w:sz w:val="17"/>
        </w:rPr>
        <w:t>Normalized surprise = (actual - consensus) / mean(actual, consensus); reaction measured across a 10-min window around the 10:30 ET release.</w:t>
      </w:r>
    </w:p>
    <w:p w14:paraId="0CE854E8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Crude is hard to trade: </w:t>
      </w:r>
      <w:r>
        <w:rPr>
          <w:rFonts w:ascii="Calibri" w:hAnsi="Calibri"/>
          <w:color w:val="333340"/>
          <w:sz w:val="18"/>
        </w:rPr>
        <w:t>surprise barely predicts WTI direction at release (48.4%), rising to 58.8% by +10 min. Best rule, follow small / fade large, hits 58.2% vs 48.4% naive, but nets negative after costs (Sharpe -0.18): the crude reaction is too fast and efficient.</w:t>
      </w:r>
    </w:p>
    <w:p w14:paraId="480DEDF8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The edge is in the distillate: </w:t>
      </w:r>
      <w:r>
        <w:rPr>
          <w:rFonts w:ascii="Calibri" w:hAnsi="Calibri"/>
          <w:color w:val="333340"/>
          <w:sz w:val="18"/>
        </w:rPr>
        <w:t>gas oil, large prints, peak exit, 70.1% hit, +0.165% per trade, Sharpe 1.56 (conviction subset 77.1%). Less liquid, slower to price the print.</w:t>
      </w:r>
    </w:p>
    <w:p w14:paraId="596F2AF1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Volatility, not surprise size, decides: </w:t>
      </w:r>
      <w:r>
        <w:rPr>
          <w:rFonts w:ascii="Calibri" w:hAnsi="Calibri"/>
          <w:color w:val="333340"/>
          <w:sz w:val="18"/>
        </w:rPr>
        <w:t>days that moved had 2.6 realized vol vs 2.0 on muted days at the same surprise magnitude; API/EIA disagreement also amplifies the reaction.</w:t>
      </w:r>
    </w:p>
    <w:p w14:paraId="18CF5651" w14:textId="77777777" w:rsidR="00E34F89" w:rsidRDefault="00000000">
      <w:pPr>
        <w:pBdr>
          <w:bottom w:val="single" w:sz="4" w:space="1" w:color="AAB0C0"/>
        </w:pBdr>
        <w:spacing w:before="100" w:after="20"/>
      </w:pPr>
      <w:r>
        <w:rPr>
          <w:rFonts w:ascii="Calibri" w:hAnsi="Calibri"/>
          <w:b/>
          <w:color w:val="145A8C"/>
          <w:sz w:val="21"/>
        </w:rPr>
        <w:t>5. CFTC Positioning Study, WTI and Brent (2016 to 2026)</w:t>
      </w:r>
    </w:p>
    <w:p w14:paraId="652F1114" w14:textId="77777777" w:rsidR="00E34F89" w:rsidRDefault="00000000">
      <w:pPr>
        <w:spacing w:before="20" w:after="20" w:line="220" w:lineRule="exact"/>
      </w:pPr>
      <w:r>
        <w:rPr>
          <w:rFonts w:ascii="Calibri" w:hAnsi="Calibri"/>
          <w:i/>
          <w:color w:val="333340"/>
          <w:sz w:val="17"/>
        </w:rPr>
        <w:t>Verified the supplied file was Other Reportables (100% match, 545 weeks), then pulled true Managed Money. Roll-adjusted returns, 52-week z-scores, Newey-West and bootstrap significance.</w:t>
      </w:r>
    </w:p>
    <w:p w14:paraId="59AF1A2F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Positioning is coincident, not predictive: </w:t>
      </w:r>
      <w:r>
        <w:rPr>
          <w:rFonts w:ascii="Calibri" w:hAnsi="Calibri"/>
          <w:color w:val="333340"/>
          <w:sz w:val="18"/>
        </w:rPr>
        <w:t>Managed Money change vs same-week return +0.19 (p=0.002); the position level does not predict next-week returns (corr ~0.00). It confirms moves, it does not lead them.</w:t>
      </w:r>
    </w:p>
    <w:p w14:paraId="2D8C68D3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The term structure is the durable signal: </w:t>
      </w:r>
      <w:r>
        <w:rPr>
          <w:rFonts w:ascii="Calibri" w:hAnsi="Calibri"/>
          <w:color w:val="333340"/>
          <w:sz w:val="18"/>
        </w:rPr>
        <w:t>sorting by C1 minus C2, contango precedes +4.6% (WTI) / +3.1% (Brent) over 4 weeks and backwardation precedes -2.6% / -0.9%; monotonic on both and holding on Brent's independent 543-week sample. Best conditioned cell: contango + high vol, +3.7% (WTI) / +4.8% (Brent, bootstrap p=0.02).</w:t>
      </w:r>
    </w:p>
    <w:p w14:paraId="7E9E21C4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Cross-validation matters: </w:t>
      </w:r>
      <w:r>
        <w:rPr>
          <w:rFonts w:ascii="Calibri" w:hAnsi="Calibri"/>
          <w:color w:val="333340"/>
          <w:sz w:val="18"/>
        </w:rPr>
        <w:t>the positioning edge does not travel from WTI to Brent, so it is treated as regime context and risk rather than a contrarian timing signal. Structural crowding: long book peaked mid-2020 (~8,130 contracts/firm); the short side is at its sample maximum in 2026 (~4,520/firm), squeeze-prone.</w:t>
      </w:r>
    </w:p>
    <w:p w14:paraId="13826879" w14:textId="77777777" w:rsidR="00E34F89" w:rsidRDefault="00000000">
      <w:pPr>
        <w:pBdr>
          <w:bottom w:val="single" w:sz="4" w:space="1" w:color="AAB0C0"/>
        </w:pBdr>
        <w:spacing w:before="100" w:after="20"/>
      </w:pPr>
      <w:r>
        <w:rPr>
          <w:rFonts w:ascii="Calibri" w:hAnsi="Calibri"/>
          <w:b/>
          <w:color w:val="145A8C"/>
          <w:sz w:val="21"/>
        </w:rPr>
        <w:t>6. News-to-Probability and Disruption Framework</w:t>
      </w:r>
    </w:p>
    <w:p w14:paraId="0CEE9EA3" w14:textId="77777777" w:rsidR="00E34F89" w:rsidRDefault="00000000">
      <w:pPr>
        <w:spacing w:before="20" w:after="20" w:line="220" w:lineRule="exact"/>
      </w:pPr>
      <w:r>
        <w:rPr>
          <w:rFonts w:ascii="Calibri" w:hAnsi="Calibri"/>
          <w:i/>
          <w:color w:val="333340"/>
          <w:sz w:val="17"/>
        </w:rPr>
        <w:t>Converts a geopolitical headline into scenario-weighted spread distributions for Brent calendars (M1-M2, M2-M4, M1-M6): model the physical supply channel first, then weight scenarios and report 50% and 90% ranges.</w:t>
      </w:r>
    </w:p>
    <w:p w14:paraId="39487AED" w14:textId="77777777" w:rsidR="00E34F89" w:rsidRDefault="00000000">
      <w:pPr>
        <w:pStyle w:val="ListBullet"/>
        <w:spacing w:after="20" w:line="220" w:lineRule="exact"/>
        <w:ind w:left="283" w:hanging="142"/>
      </w:pPr>
      <w:r>
        <w:rPr>
          <w:rFonts w:ascii="Calibri" w:hAnsi="Calibri"/>
          <w:b/>
          <w:color w:val="141428"/>
          <w:sz w:val="18"/>
        </w:rPr>
        <w:t xml:space="preserve">Productized: </w:t>
      </w:r>
      <w:r>
        <w:rPr>
          <w:rFonts w:ascii="Calibri" w:hAnsi="Calibri"/>
          <w:color w:val="333340"/>
          <w:sz w:val="18"/>
        </w:rPr>
        <w:t>an 18-node exposure matrix (Strait of Hormuz 21 Mb/d, about 20% of world supply, criticality normalized to 100) maps each disruption to the products and spreads most exposed.</w:t>
      </w:r>
    </w:p>
    <w:p w14:paraId="2CA0BA47" w14:textId="77777777" w:rsidR="00E34F89" w:rsidRDefault="00000000">
      <w:pPr>
        <w:pBdr>
          <w:bottom w:val="single" w:sz="4" w:space="1" w:color="AAB0C0"/>
        </w:pBdr>
        <w:spacing w:before="100" w:after="20"/>
      </w:pPr>
      <w:r>
        <w:rPr>
          <w:rFonts w:ascii="Calibri" w:hAnsi="Calibri"/>
          <w:b/>
          <w:color w:val="145A8C"/>
          <w:sz w:val="21"/>
        </w:rPr>
        <w:t>Application to Energy Market Analysis</w:t>
      </w:r>
    </w:p>
    <w:p w14:paraId="2D170A04" w14:textId="77777777" w:rsidR="00E34F89" w:rsidRDefault="00000000">
      <w:pPr>
        <w:spacing w:before="20" w:after="0" w:line="220" w:lineRule="exact"/>
      </w:pPr>
      <w:r>
        <w:rPr>
          <w:rFonts w:ascii="Calibri" w:hAnsi="Calibri"/>
          <w:color w:val="333340"/>
          <w:sz w:val="18"/>
        </w:rPr>
        <w:t>The pieces combine into an analysis engine, not just an information platform: a live regime read gates activity, a mean-reversion book validated at 84.8% ranks opportunities on deferred curve structure, a distillate-focused inventory playbook says when a release is tradeable, a term-structure signal that cross-validates across WTI and Brent drives directional bias, and the disruption framework turns supply news into concrete spread views.</w:t>
      </w:r>
    </w:p>
    <w:sectPr w:rsidR="00E34F89" w:rsidSect="00E748B6">
      <w:pgSz w:w="12240" w:h="15840"/>
      <w:pgMar w:top="450" w:right="72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115794">
    <w:abstractNumId w:val="8"/>
  </w:num>
  <w:num w:numId="2" w16cid:durableId="713430574">
    <w:abstractNumId w:val="6"/>
  </w:num>
  <w:num w:numId="3" w16cid:durableId="1096561474">
    <w:abstractNumId w:val="5"/>
  </w:num>
  <w:num w:numId="4" w16cid:durableId="1936933995">
    <w:abstractNumId w:val="4"/>
  </w:num>
  <w:num w:numId="5" w16cid:durableId="1818572138">
    <w:abstractNumId w:val="7"/>
  </w:num>
  <w:num w:numId="6" w16cid:durableId="1997763318">
    <w:abstractNumId w:val="3"/>
  </w:num>
  <w:num w:numId="7" w16cid:durableId="1306861170">
    <w:abstractNumId w:val="2"/>
  </w:num>
  <w:num w:numId="8" w16cid:durableId="1413813392">
    <w:abstractNumId w:val="1"/>
  </w:num>
  <w:num w:numId="9" w16cid:durableId="68232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878"/>
    <w:rsid w:val="0015074B"/>
    <w:rsid w:val="0029639D"/>
    <w:rsid w:val="00326F90"/>
    <w:rsid w:val="00AA1D8D"/>
    <w:rsid w:val="00B47730"/>
    <w:rsid w:val="00CB0664"/>
    <w:rsid w:val="00E34F89"/>
    <w:rsid w:val="00E74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82FCA2-C82A-4228-883D-954CF538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684</Words>
  <Characters>3966</Characters>
  <Application>Microsoft Office Word</Application>
  <DocSecurity>0</DocSecurity>
  <Lines>50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Aayush Jhawar</cp:lastModifiedBy>
  <cp:revision>2</cp:revision>
  <dcterms:created xsi:type="dcterms:W3CDTF">2013-12-23T23:15:00Z</dcterms:created>
  <dcterms:modified xsi:type="dcterms:W3CDTF">2026-07-02T01:01:00Z</dcterms:modified>
  <cp:category/>
</cp:coreProperties>
</file>