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4"/>
          <w:szCs w:val="24"/>
        </w:rPr>
      </w:pPr>
      <w:r>
        <w:rPr>
          <w:sz w:val="24"/>
          <w:szCs w:val="24"/>
          <w:rtl w:val="0"/>
          <w:lang w:val="en-US"/>
        </w:rPr>
        <w:t xml:space="preserve">TOFU-MOFU-BOFU: </w:t>
      </w:r>
      <w:r>
        <w:rPr>
          <w:sz w:val="24"/>
          <w:szCs w:val="24"/>
        </w:rPr>
        <w:br w:type="textWrapping"/>
      </w:r>
      <w:r>
        <w:rPr>
          <w:sz w:val="24"/>
          <w:szCs w:val="24"/>
          <w:rtl w:val="0"/>
          <w:lang w:val="en-US"/>
        </w:rPr>
        <w:t>TOFU: covers wide no of people, in this stage large no of people get aware about your product . All these people are your lead potential customers.(AWARENESS RANGE). Focus on common issues of people</w:t>
      </w:r>
    </w:p>
    <w:p>
      <w:pPr>
        <w:pStyle w:val="Body A"/>
        <w:rPr>
          <w:sz w:val="24"/>
          <w:szCs w:val="24"/>
        </w:rPr>
      </w:pPr>
      <w:r>
        <w:rPr>
          <w:sz w:val="24"/>
          <w:szCs w:val="24"/>
          <w:rtl w:val="0"/>
          <w:lang w:val="en-US"/>
        </w:rPr>
        <w:t xml:space="preserve">MOFU:(CONSIDERATION STAGE). Focus on your brand and problem  </w:t>
      </w:r>
    </w:p>
    <w:p>
      <w:pPr>
        <w:pStyle w:val="Body A"/>
        <w:rPr>
          <w:sz w:val="24"/>
          <w:szCs w:val="24"/>
        </w:rPr>
      </w:pPr>
      <w:r>
        <w:rPr>
          <w:sz w:val="24"/>
          <w:szCs w:val="24"/>
          <w:rtl w:val="0"/>
          <w:lang w:val="en-US"/>
        </w:rPr>
        <w:t>BOFU: Only few leads who become your customers(DECISION STAGE)</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page">
              <wp:posOffset>399345</wp:posOffset>
            </wp:positionH>
            <wp:positionV relativeFrom="line">
              <wp:posOffset>188799</wp:posOffset>
            </wp:positionV>
            <wp:extent cx="6120058" cy="2558364"/>
            <wp:effectExtent l="0" t="0" r="0" b="0"/>
            <wp:wrapTopAndBottom distT="152400" distB="152400"/>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rcRect l="0" t="23148" r="0" b="0"/>
                    <a:stretch>
                      <a:fillRect/>
                    </a:stretch>
                  </pic:blipFill>
                  <pic:spPr>
                    <a:xfrm>
                      <a:off x="0" y="0"/>
                      <a:ext cx="6120058" cy="2558364"/>
                    </a:xfrm>
                    <a:prstGeom prst="rect">
                      <a:avLst/>
                    </a:prstGeom>
                    <a:ln w="12700" cap="flat">
                      <a:noFill/>
                      <a:miter lim="400000"/>
                    </a:ln>
                    <a:effectLst/>
                  </pic:spPr>
                </pic:pic>
              </a:graphicData>
            </a:graphic>
          </wp:anchor>
        </w:drawing>
      </w:r>
    </w:p>
    <w:p>
      <w:pPr>
        <w:pStyle w:val="Default"/>
        <w:spacing w:before="0" w:after="480" w:line="240" w:lineRule="auto"/>
        <w:rPr>
          <w:rFonts w:ascii="Helvetica" w:cs="Helvetica" w:hAnsi="Helvetica" w:eastAsia="Helvetica"/>
          <w:outline w:val="0"/>
          <w:color w:val="232a31"/>
          <w:u w:color="232a31"/>
          <w:shd w:val="clear" w:color="auto" w:fill="ffffff"/>
          <w14:textFill>
            <w14:solidFill>
              <w14:srgbClr w14:val="232A31"/>
            </w14:solidFill>
          </w14:textFill>
        </w:rPr>
      </w:pPr>
      <w:r>
        <w:rPr>
          <w:rFonts w:ascii="Helvetica" w:hAnsi="Helvetica"/>
          <w:outline w:val="0"/>
          <w:color w:val="232a31"/>
          <w:u w:color="232a31"/>
          <w:shd w:val="clear" w:color="auto" w:fill="ffffff"/>
          <w:rtl w:val="0"/>
          <w:lang w:val="en-US"/>
          <w14:textFill>
            <w14:solidFill>
              <w14:srgbClr w14:val="232A31"/>
            </w14:solidFill>
          </w14:textFill>
        </w:rPr>
        <w:t xml:space="preserve">Online gaming is simply the playing of a video game over the internet, usually single-player or multiplayer. A wide range of devices, including PCs, laptops, mobile phones, and specialized video game consoles like PlayStations, Xboxes, and Nintendo Switches, can be used to play online games. The popularity of esports, increased internet access, and advancements in technology have all contributed to the exponential growth of the online gaming industry. Market trends indicate a move toward mobile gaming, which can be attributed to smartphones' convenience of use. Games performed over a computer network are referred to as online games; these games are typically played for accessibility and use. The industry's revenue streams include game downloads, in-app purchases, and subscription services. Free-to-play games depend significantly on microtransactions as a revenue stream. Furthermore, the market is growing owing to the incorporation of modern technologies like augmented reality (AR) and virtual reality (VR), which offer immersive gaming experiences. As governments across a range of countries start to recognize the potential and popularity of online games, they are providing incentives to gaming companies to invest in both initiatives targeted at attracting foreign talent and keeping their local workers and creative assets. </w:t>
      </w:r>
      <w:r>
        <w:rPr>
          <w:rFonts w:ascii="Helvetica" w:hAnsi="Helvetica" w:hint="default"/>
          <w:outline w:val="0"/>
          <w:color w:val="232a31"/>
          <w:u w:color="232a31"/>
          <w:shd w:val="clear" w:color="auto" w:fill="ffffff"/>
          <w:rtl w:val="0"/>
          <w:lang w:val="en-US"/>
          <w14:textFill>
            <w14:solidFill>
              <w14:srgbClr w14:val="232A31"/>
            </w14:solidFill>
          </w14:textFill>
        </w:rPr>
        <w:t> </w:t>
      </w:r>
      <w:r>
        <w:rPr>
          <w:rFonts w:ascii="Helvetica" w:hAnsi="Helvetica"/>
          <w:outline w:val="0"/>
          <w:color w:val="232a31"/>
          <w:u w:color="232a31"/>
          <w:shd w:val="clear" w:color="auto" w:fill="ffffff"/>
          <w:rtl w:val="0"/>
          <w:lang w:val="en-US"/>
          <w14:textFill>
            <w14:solidFill>
              <w14:srgbClr w14:val="232A31"/>
            </w14:solidFill>
          </w14:textFill>
        </w:rPr>
        <w:t>Furthermore, several gaming industries have integrated AI algorithms into their online games that reduce the likelihood of cheating and encourage a trend toward fair gaming. Similar to this, AI interprets player behavior in games and renders relevant conclusions. In the online gaming space, mobile gaming has emerged as the leader, changing its dynamics and offering developers and other stakeholders enormous potential. to lead the market for the duration of the projection. However, growth in the sector is impacted by the challenge of online gambling and the potential for cybercrime.</w:t>
      </w:r>
      <w:r>
        <w:rPr>
          <w:rFonts w:ascii="Helvetica" w:cs="Helvetica" w:hAnsi="Helvetica" w:eastAsia="Helvetica"/>
          <w:outline w:val="0"/>
          <w:color w:val="232a31"/>
          <w:u w:color="232a31"/>
          <w:shd w:val="clear" w:color="auto" w:fill="ffffff"/>
          <w14:textFill>
            <w14:solidFill>
              <w14:srgbClr w14:val="232A31"/>
            </w14:solidFill>
          </w14:textFill>
        </w:rPr>
        <w:br w:type="textWrapping"/>
        <w:br w:type="textWrapping"/>
        <w:br w:type="textWrapping"/>
      </w:r>
      <w:r>
        <w:rPr>
          <w:rFonts w:ascii="Helvetica" w:hAnsi="Helvetica"/>
          <w:outline w:val="0"/>
          <w:color w:val="232a31"/>
          <w:u w:color="232a31"/>
          <w:shd w:val="clear" w:color="auto" w:fill="ffffff"/>
          <w:rtl w:val="0"/>
          <w:lang w:val="en-US"/>
          <w14:textFill>
            <w14:solidFill>
              <w14:srgbClr w14:val="232A31"/>
            </w14:solidFill>
          </w14:textFill>
        </w:rPr>
        <w:t>Major vendors in the global online gaming market include Sony Group Corp., Alphabet Inc., Tencent Holdings Ltd., Sega Corp., PopReach Corp., Bandai Namco Holdings Inc., Nintendo Co. Ltd., Square Enix Holdings Co. Ltd., Ubisoft Entertainment, GungHo Online Entertainment Inc., Electronic Arts Inc., Capcom Co. Ltd., Zeptolab Ltd, Microsoft Corp., NEXON Co Ltd., Apple Inc.,</w:t>
      </w:r>
    </w:p>
    <w:p>
      <w:pPr>
        <w:pStyle w:val="Default"/>
        <w:spacing w:before="0" w:after="480" w:line="240" w:lineRule="auto"/>
        <w:rPr>
          <w:rFonts w:ascii="Helvetica" w:cs="Helvetica" w:hAnsi="Helvetica" w:eastAsia="Helvetica"/>
          <w:outline w:val="0"/>
          <w:color w:val="232a31"/>
          <w:u w:color="232a31"/>
          <w:shd w:val="clear" w:color="auto" w:fill="ffffff"/>
          <w14:textFill>
            <w14:solidFill>
              <w14:srgbClr w14:val="232A31"/>
            </w14:solidFill>
          </w14:textFill>
        </w:rPr>
      </w:pPr>
      <w:r>
        <w:rPr>
          <w:rFonts w:ascii="Helvetica" w:cs="Helvetica" w:hAnsi="Helvetica" w:eastAsia="Helvetica"/>
          <w:outline w:val="0"/>
          <w:color w:val="232a31"/>
          <w:u w:color="232a31"/>
          <w:shd w:val="clear" w:color="auto" w:fill="ffffff"/>
          <w:rtl w:val="0"/>
          <w14:textFill>
            <w14:solidFill>
              <w14:srgbClr w14:val="232A31"/>
            </w14:solidFill>
          </w14:textFill>
        </w:rPr>
        <w:br w:type="textWrapping"/>
        <w:t xml:space="preserve"> </w:t>
      </w:r>
      <w:r>
        <w:rPr>
          <w:rFonts w:ascii="Helvetica" w:hAnsi="Helvetica"/>
          <w:outline w:val="0"/>
          <w:color w:val="232a31"/>
          <w:u w:color="232a31"/>
          <w:shd w:val="clear" w:color="auto" w:fill="ffffff"/>
          <w:rtl w:val="0"/>
          <w:lang w:val="en-US"/>
          <w14:textFill>
            <w14:solidFill>
              <w14:srgbClr w14:val="232A31"/>
            </w14:solidFill>
          </w14:textFill>
        </w:rPr>
        <w:t>SEO: Your website should be as captivating as the neon lights of an arcade cabinet screen. Search Engine Optimization (SEO) is crucial; use keywords that potential customers might type into Google when looking for a place to play games or host parties. Keep the site updated with news on upcoming events, high score boards, and special promotions. A well-maintained blog can also position you as an authoritative source on gaming and entertainment topics.</w:t>
      </w:r>
    </w:p>
    <w:p>
      <w:pPr>
        <w:pStyle w:val="Default"/>
        <w:spacing w:before="0" w:after="480" w:line="240" w:lineRule="auto"/>
        <w:rPr>
          <w:rFonts w:ascii="Helvetica" w:cs="Helvetica" w:hAnsi="Helvetica" w:eastAsia="Helvetica"/>
          <w:outline w:val="0"/>
          <w:color w:val="232a31"/>
          <w:u w:color="232a31"/>
          <w:shd w:val="clear" w:color="auto" w:fill="ffffff"/>
          <w14:textFill>
            <w14:solidFill>
              <w14:srgbClr w14:val="232A31"/>
            </w14:solidFill>
          </w14:textFill>
        </w:rPr>
      </w:pPr>
      <w:r>
        <w:rPr>
          <w:rFonts w:ascii="Helvetica" w:cs="Helvetica" w:hAnsi="Helvetica" w:eastAsia="Helvetica"/>
          <w:outline w:val="0"/>
          <w:color w:val="232a31"/>
          <w:u w:color="232a31"/>
          <w:shd w:val="clear" w:color="auto" w:fill="ffffff"/>
          <w14:textFill>
            <w14:solidFill>
              <w14:srgbClr w14:val="232A31"/>
            </w14:solidFill>
          </w14:textFill>
        </w:rPr>
        <w:br w:type="textWrapping"/>
        <w:br w:type="textWrapping"/>
        <w:br w:type="textWrapping"/>
      </w:r>
    </w:p>
    <w:p>
      <w:pPr>
        <w:pStyle w:val="Default"/>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 Marketing Strategy</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a. Traditional Marketing (</w:t>
      </w:r>
      <w:r>
        <w:rPr>
          <w:rFonts w:ascii="Times Roman" w:hAnsi="Times Roman"/>
          <w:b w:val="1"/>
          <w:bCs w:val="1"/>
          <w:rtl w:val="0"/>
          <w:lang w:val="en-US"/>
        </w:rPr>
        <w:t>17.4</w:t>
      </w:r>
      <w:r>
        <w:rPr>
          <w:rFonts w:ascii="Times Roman" w:hAnsi="Times Roman"/>
          <w:b w:val="1"/>
          <w:bCs w:val="1"/>
          <w:rtl w:val="0"/>
          <w:lang w:val="en-US"/>
        </w:rPr>
        <w:t>%)</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Local Media Advertising</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Radio and Print Ads</w:t>
      </w:r>
      <w:r>
        <w:rPr>
          <w:rFonts w:ascii="Times Roman" w:hAnsi="Times Roman"/>
          <w:rtl w:val="0"/>
          <w:lang w:val="en-US"/>
        </w:rPr>
        <w:t>: Run ads in local newspapers, magazines, and on popular radio stations that cater to tech enthusiasts, automotive lovers, and gamers.</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Billboards and Posters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Place eye-catching billboards near popular areas like malls, cinemas, and tech hubs. Use high-impact visuals showcasing the AR/VR experience to draw attention.</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Flyers and Brochures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Distribute brochures and flyers in malls, car clubs, tech expos, and universities highlighting the AR/VR experiences available at your arcades and racing schools.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b. Digital Marketing (2</w:t>
      </w:r>
      <w:r>
        <w:rPr>
          <w:rFonts w:ascii="Times Roman" w:hAnsi="Times Roman"/>
          <w:b w:val="1"/>
          <w:bCs w:val="1"/>
          <w:rtl w:val="0"/>
          <w:lang w:val="en-US"/>
        </w:rPr>
        <w:t>7.8</w:t>
      </w:r>
      <w:r>
        <w:rPr>
          <w:rFonts w:ascii="Times Roman" w:hAnsi="Times Roman"/>
          <w:b w:val="1"/>
          <w:bCs w:val="1"/>
          <w:rtl w:val="0"/>
          <w:lang w:val="en-US"/>
        </w:rPr>
        <w:t>%)</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Search Engine Optimization (SEO) and Content Marketing</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Optimize the website with targeted keywords related to AR/VR experiences, immersive racing, and arcade gaming to drive organic traffic.</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Regularly publish blogs, articles, and guides on topics such as the future of racing with AR/VR, immersive gaming tips, and new technological advancements.</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PPC Advertising</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Invest in Google Ads to target individuals searching for entertainment, gaming, and racing experiences.</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Social Media Advertising</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Run targeted ads on platforms like Instagram, Facebook, and YouTube, focusing on video content that highlights the excitement and uniqueness of your AR/VR offerings.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c. Content Creation (2</w:t>
      </w:r>
      <w:r>
        <w:rPr>
          <w:rFonts w:ascii="Times Roman" w:hAnsi="Times Roman"/>
          <w:b w:val="1"/>
          <w:bCs w:val="1"/>
          <w:rtl w:val="0"/>
          <w:lang w:val="en-US"/>
        </w:rPr>
        <w:t>5</w:t>
      </w:r>
      <w:r>
        <w:rPr>
          <w:rFonts w:ascii="Times Roman" w:hAnsi="Times Roman"/>
          <w:b w:val="1"/>
          <w:bCs w:val="1"/>
          <w:rtl w:val="0"/>
          <w:lang w:val="en-US"/>
        </w:rPr>
        <w:t>%)</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Engaging Videos and Tutorials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Produce high-quality video content that showcases the immersive nature of the AR/VR experience, customer testimonials, and behind-the-scenes footage of the arcade setup.</w:t>
      </w:r>
    </w:p>
    <w:p>
      <w:pPr>
        <w:pStyle w:val="Default"/>
        <w:numPr>
          <w:ilvl w:val="0"/>
          <w:numId w:val="2"/>
        </w:numPr>
        <w:bidi w:val="0"/>
        <w:spacing w:before="0" w:line="240" w:lineRule="auto"/>
        <w:ind w:right="0"/>
        <w:jc w:val="left"/>
        <w:rPr>
          <w:rFonts w:ascii="Times Roman" w:hAnsi="Times Roman"/>
          <w:b w:val="1"/>
          <w:bCs w:val="1"/>
          <w:rtl w:val="0"/>
          <w:lang w:val="it-IT"/>
        </w:rPr>
      </w:pPr>
      <w:r>
        <w:rPr>
          <w:rFonts w:ascii="Times Roman" w:hAnsi="Times Roman"/>
          <w:b w:val="1"/>
          <w:bCs w:val="1"/>
          <w:rtl w:val="0"/>
          <w:lang w:val="it-IT"/>
        </w:rPr>
        <w:t>Social Media Content</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Develop visually appealing and engaging posts for platforms like Instagram and Facebook to keep the audience informed and excited about upcoming events, promotions, and new features.</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Blogs and Articles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Write articles and blogs that provide insights into AR/VR technology, the thrill of immersive racing, and tips for maximizing the experience.</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pt-PT"/>
        </w:rPr>
        <w:t>d. Social Media Influencers (</w:t>
      </w:r>
      <w:r>
        <w:rPr>
          <w:rFonts w:ascii="Times Roman" w:hAnsi="Times Roman"/>
          <w:b w:val="1"/>
          <w:bCs w:val="1"/>
          <w:rtl w:val="0"/>
          <w:lang w:val="pt-PT"/>
        </w:rPr>
        <w:t>18</w:t>
      </w:r>
      <w:r>
        <w:rPr>
          <w:rFonts w:ascii="Times Roman" w:hAnsi="Times Roman"/>
          <w:b w:val="1"/>
          <w:bCs w:val="1"/>
          <w:rtl w:val="0"/>
          <w:lang w:val="en-US"/>
        </w:rPr>
        <w:t>%)</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Influencer Partnerships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Collaborate with influencers in the gaming, tech, and automotive niches who have a strong following. Provide them with exclusive access to your AR/VR experiences, and have them create content that they share with their audience.</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Influencer Events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Host exclusive events for influencers at your arcade or racing school. Encourage them to livestream their experience, post real-time updates, and create vlogs or review videos.</w:t>
      </w:r>
    </w:p>
    <w:p>
      <w:pPr>
        <w:pStyle w:val="Default"/>
        <w:spacing w:before="0" w:after="319" w:line="240" w:lineRule="auto"/>
        <w:rPr>
          <w:rFonts w:ascii="Times Roman" w:cs="Times Roman" w:hAnsi="Times Roman" w:eastAsia="Times Roman"/>
          <w:b w:val="1"/>
          <w:bCs w:val="1"/>
        </w:rPr>
      </w:pPr>
      <w:r>
        <w:rPr>
          <w:rFonts w:ascii="Times Roman" w:hAnsi="Times Roman"/>
          <w:b w:val="1"/>
          <w:bCs w:val="1"/>
          <w:rtl w:val="0"/>
          <w:lang w:val="en-US"/>
        </w:rPr>
        <w:t>e. Experiential Marketing (1</w:t>
      </w:r>
      <w:r>
        <w:rPr>
          <w:rFonts w:ascii="Times Roman" w:hAnsi="Times Roman"/>
          <w:b w:val="1"/>
          <w:bCs w:val="1"/>
          <w:rtl w:val="0"/>
          <w:lang w:val="en-US"/>
        </w:rPr>
        <w:t>1.8</w:t>
      </w:r>
      <w:r>
        <w:rPr>
          <w:rFonts w:ascii="Times Roman" w:hAnsi="Times Roman"/>
          <w:b w:val="1"/>
          <w:bCs w:val="1"/>
          <w:rtl w:val="0"/>
          <w:lang w:val="en-US"/>
        </w:rPr>
        <w:t>%)</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In-Arcade and Racing School Events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Organize themed events, tournaments, or special nights where customers can experience the AR/VR setups. Offer prizes, discounts, or loyalty points to encourage participation.</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Pop-Up Demonstrations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Set up temporary AR/VR stations at high-traffic locations like shopping malls, tech expos, and automotive shows. Allow passersby to experience the thrill, and provide them with discount vouchers for future visits.</w:t>
      </w:r>
    </w:p>
    <w:p>
      <w:pPr>
        <w:pStyle w:val="Default"/>
        <w:numPr>
          <w:ilvl w:val="0"/>
          <w:numId w:val="2"/>
        </w:numPr>
        <w:bidi w:val="0"/>
        <w:spacing w:before="0" w:line="240" w:lineRule="auto"/>
        <w:ind w:right="0"/>
        <w:jc w:val="left"/>
        <w:rPr>
          <w:rFonts w:ascii="Times Roman" w:hAnsi="Times Roman"/>
          <w:b w:val="1"/>
          <w:bCs w:val="1"/>
          <w:rtl w:val="0"/>
          <w:lang w:val="en-US"/>
        </w:rPr>
      </w:pPr>
      <w:r>
        <w:rPr>
          <w:rFonts w:ascii="Times Roman" w:hAnsi="Times Roman"/>
          <w:b w:val="1"/>
          <w:bCs w:val="1"/>
          <w:rtl w:val="0"/>
          <w:lang w:val="en-US"/>
        </w:rPr>
        <w:t>Partnerships with Automotive and Tech Brands</w:t>
      </w:r>
      <w:r>
        <w:rPr>
          <w:rFonts w:ascii="Times Roman" w:hAnsi="Times Roman"/>
          <w:b w:val="0"/>
          <w:bCs w:val="0"/>
          <w:rtl w:val="0"/>
          <w:lang w:val="en-US"/>
        </w:rPr>
        <w:t>:</w:t>
      </w:r>
    </w:p>
    <w:p>
      <w:pPr>
        <w:pStyle w:val="Default"/>
        <w:numPr>
          <w:ilvl w:val="1"/>
          <w:numId w:val="2"/>
        </w:numPr>
        <w:bidi w:val="0"/>
        <w:spacing w:before="0" w:line="240" w:lineRule="auto"/>
        <w:ind w:right="0"/>
        <w:jc w:val="left"/>
        <w:rPr>
          <w:rFonts w:ascii="Times Roman" w:hAnsi="Times Roman"/>
          <w:rtl w:val="0"/>
          <w:lang w:val="en-US"/>
        </w:rPr>
      </w:pPr>
      <w:r>
        <w:rPr>
          <w:rFonts w:ascii="Times Roman" w:hAnsi="Times Roman"/>
          <w:rtl w:val="0"/>
          <w:lang w:val="en-US"/>
        </w:rPr>
        <w:t>Partner with car manufacturers, racing teams, or tech companies to co-host events or offer branded AR/VR experiences. This can enhance credibility and draw in more enthusiasts.</w:t>
      </w:r>
    </w:p>
    <w:p>
      <w:pPr>
        <w:pStyle w:val="Default"/>
        <w:tabs>
          <w:tab w:val="left" w:pos="940"/>
          <w:tab w:val="left" w:pos="1440"/>
        </w:tabs>
        <w:spacing w:before="0" w:line="240" w:lineRule="auto"/>
        <w:ind w:left="1440" w:hanging="1440"/>
        <w:rPr>
          <w:rFonts w:ascii="Times Roman" w:cs="Times Roman" w:hAnsi="Times Roman" w:eastAsia="Times Roman"/>
        </w:rPr>
      </w:pPr>
    </w:p>
    <w:p>
      <w:pPr>
        <w:pStyle w:val="Body A"/>
      </w:pPr>
    </w:p>
    <w:p>
      <w:pPr>
        <w:pStyle w:val="Body A"/>
        <w:rPr>
          <w:sz w:val="24"/>
          <w:szCs w:val="24"/>
        </w:rPr>
      </w:pPr>
    </w:p>
    <w:p>
      <w:pPr>
        <w:pStyle w:val="Body A"/>
        <w:rPr>
          <w:sz w:val="24"/>
          <w:szCs w:val="24"/>
        </w:rPr>
      </w:pPr>
    </w:p>
    <w:p>
      <w:pPr>
        <w:pStyle w:val="Body A"/>
        <w:rPr>
          <w:rFonts w:ascii="Calibri" w:cs="Calibri" w:hAnsi="Calibri" w:eastAsia="Calibri"/>
          <w:sz w:val="24"/>
          <w:szCs w:val="24"/>
        </w:rPr>
      </w:pPr>
      <w:r>
        <w:rPr>
          <w:rFonts w:ascii="Calibri" w:hAnsi="Calibri"/>
          <w:b w:val="1"/>
          <w:bCs w:val="1"/>
          <w:sz w:val="24"/>
          <w:szCs w:val="24"/>
          <w:rtl w:val="0"/>
          <w:lang w:val="en-US"/>
        </w:rPr>
        <w:t>Balanced Approach</w:t>
      </w:r>
      <w:r>
        <w:rPr>
          <w:rFonts w:ascii="Calibri" w:hAnsi="Calibri"/>
          <w:sz w:val="24"/>
          <w:szCs w:val="24"/>
          <w:rtl w:val="0"/>
          <w:lang w:val="en-US"/>
        </w:rPr>
        <w:t>: The distribution is designed to cover all essential marketing avenues</w:t>
      </w:r>
      <w:r>
        <w:rPr>
          <w:rFonts w:ascii="Calibri" w:hAnsi="Calibri" w:hint="default"/>
          <w:sz w:val="24"/>
          <w:szCs w:val="24"/>
          <w:rtl w:val="0"/>
          <w:lang w:val="en-US"/>
        </w:rPr>
        <w:t>—</w:t>
      </w:r>
      <w:r>
        <w:rPr>
          <w:rFonts w:ascii="Calibri" w:hAnsi="Calibri"/>
          <w:sz w:val="24"/>
          <w:szCs w:val="24"/>
          <w:rtl w:val="0"/>
          <w:lang w:val="en-US"/>
        </w:rPr>
        <w:t>digital for immediate reach, content creation for sustained interest, traditional media for broad coverage, and partnerships for strategic growth.</w:t>
      </w:r>
    </w:p>
    <w:p>
      <w:pPr>
        <w:pStyle w:val="Default"/>
        <w:spacing w:before="0" w:line="240" w:lineRule="auto"/>
        <w:rPr>
          <w:rFonts w:ascii="Calibri" w:cs="Calibri" w:hAnsi="Calibri" w:eastAsia="Calibri"/>
          <w:outline w:val="0"/>
          <w:color w:val="cc503e"/>
          <w:u w:val="single"/>
          <w14:textFill>
            <w14:solidFill>
              <w14:srgbClr w14:val="CC503E"/>
            </w14:solidFill>
          </w14:textFill>
        </w:rPr>
      </w:pPr>
      <w:r>
        <w:rPr>
          <w:rFonts w:ascii="Calibri" w:hAnsi="Calibri"/>
          <w:b w:val="1"/>
          <w:bCs w:val="1"/>
          <w:rtl w:val="0"/>
          <w:lang w:val="en-US"/>
        </w:rPr>
        <w:t>Flexibility</w:t>
      </w:r>
      <w:r>
        <w:rPr>
          <w:rFonts w:ascii="Calibri" w:hAnsi="Calibri"/>
          <w:rtl w:val="0"/>
          <w:lang w:val="en-US"/>
        </w:rPr>
        <w:t xml:space="preserve">: Each allocation complements the others. For example, content created for digital marketing can also be used in traditional media or during local events, </w:t>
      </w:r>
      <w:r>
        <w:rPr>
          <w:rFonts w:ascii="Calibri" w:hAnsi="Calibri"/>
          <w:outline w:val="0"/>
          <w:color w:val="cc503e"/>
          <w:u w:val="single"/>
          <w:rtl w:val="0"/>
          <w:lang w:val="en-US"/>
          <w14:textFill>
            <w14:solidFill>
              <w14:srgbClr w14:val="CC503E"/>
            </w14:solidFill>
          </w14:textFill>
        </w:rPr>
        <w:t xml:space="preserve">maximizing the return on investment. </w:t>
      </w:r>
    </w:p>
    <w:p>
      <w:pPr>
        <w:pStyle w:val="Default"/>
        <w:spacing w:before="0" w:line="240" w:lineRule="auto"/>
        <w:rPr>
          <w:rFonts w:ascii="Calibri" w:cs="Calibri" w:hAnsi="Calibri" w:eastAsia="Calibri"/>
        </w:rPr>
      </w:pPr>
      <w:r>
        <w:rPr>
          <w:rFonts w:ascii="Calibri" w:hAnsi="Calibri"/>
          <w:b w:val="1"/>
          <w:bCs w:val="1"/>
          <w:rtl w:val="0"/>
          <w:lang w:val="en-US"/>
        </w:rPr>
        <w:t>Risk Mitigation</w:t>
      </w:r>
      <w:r>
        <w:rPr>
          <w:rFonts w:ascii="Calibri" w:hAnsi="Calibri"/>
          <w:rtl w:val="0"/>
          <w:lang w:val="en-US"/>
        </w:rPr>
        <w:t>: By spreading the budget across different channels, you reduce the risk of over-relying on any single platform or method. This diversification ensures that even if one area underperforms, the overall marketing strategy remains robust.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TOFU, MOFU, and BOFU Strategy for Marketing Budget Allocation (AR/VR Racing Arcade)</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To create a successful marketing funnel for your AR/VR racing arcade, you can align **Top of Funnel (TOFU)**, **Middle of Funnel (MOFU)**, and **Bottom of Funnel (BOFU)** strategies with your proposed budget allocations.</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**1. Top of Funnel (TOFU) Strategy:**</w:t>
      </w:r>
    </w:p>
    <w:p>
      <w:pPr>
        <w:pStyle w:val="Default"/>
        <w:spacing w:before="0" w:line="240" w:lineRule="auto"/>
        <w:rPr>
          <w:rFonts w:ascii="Calibri" w:cs="Calibri" w:hAnsi="Calibri" w:eastAsia="Calibri"/>
        </w:rPr>
      </w:pPr>
      <w:r>
        <w:rPr>
          <w:rFonts w:ascii="Calibri" w:hAnsi="Calibri"/>
          <w:rtl w:val="0"/>
          <w:lang w:val="en-US"/>
        </w:rPr>
        <w:t xml:space="preserve">   - **Objective**: Build brand awareness and reach a wide audience.</w:t>
      </w:r>
    </w:p>
    <w:p>
      <w:pPr>
        <w:pStyle w:val="Default"/>
        <w:spacing w:before="0" w:line="240" w:lineRule="auto"/>
        <w:rPr>
          <w:rFonts w:ascii="Calibri" w:cs="Calibri" w:hAnsi="Calibri" w:eastAsia="Calibri"/>
        </w:rPr>
      </w:pPr>
      <w:r>
        <w:rPr>
          <w:rFonts w:ascii="Calibri" w:hAnsi="Calibri"/>
          <w:rtl w:val="0"/>
          <w:lang w:val="en-US"/>
        </w:rPr>
        <w:t xml:space="preserve">   - **Channels**: Digital marketing, traditional marketing, and social media influencers.</w:t>
      </w:r>
    </w:p>
    <w:p>
      <w:pPr>
        <w:pStyle w:val="Default"/>
        <w:spacing w:before="0" w:line="240" w:lineRule="auto"/>
        <w:rPr>
          <w:rFonts w:ascii="Calibri" w:cs="Calibri" w:hAnsi="Calibri" w:eastAsia="Calibri"/>
        </w:rPr>
      </w:pPr>
      <w:r>
        <w:rPr>
          <w:rFonts w:ascii="Calibri" w:hAnsi="Calibri"/>
          <w:rtl w:val="0"/>
          <w:lang w:val="en-US"/>
        </w:rPr>
        <w:t xml:space="preserve">   - **Budget Allocation**: 45</w:t>
      </w:r>
      <w:r>
        <w:rPr>
          <w:rFonts w:ascii="Calibri" w:hAnsi="Calibri"/>
          <w:rtl w:val="0"/>
          <w:lang w:val="en-US"/>
        </w:rPr>
        <w:t>.2</w:t>
      </w:r>
      <w:r>
        <w:rPr>
          <w:rFonts w:ascii="Calibri" w:hAnsi="Calibri"/>
          <w:rtl w:val="0"/>
          <w:lang w:val="en-US"/>
        </w:rPr>
        <w:t>% (Digital Marketing</w:t>
      </w:r>
      <w:r>
        <w:rPr>
          <w:rFonts w:ascii="Calibri" w:hAnsi="Calibri"/>
          <w:rtl w:val="0"/>
          <w:lang w:val="en-US"/>
        </w:rPr>
        <w:t>,</w:t>
      </w:r>
      <w:r>
        <w:rPr>
          <w:rFonts w:ascii="Calibri" w:hAnsi="Calibri"/>
          <w:rtl w:val="0"/>
          <w:lang w:val="en-US"/>
        </w:rPr>
        <w:t>Traditional Marketing)</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**TOFU Tactics**:</w:t>
      </w:r>
    </w:p>
    <w:p>
      <w:pPr>
        <w:pStyle w:val="Default"/>
        <w:spacing w:before="0" w:line="240" w:lineRule="auto"/>
        <w:rPr>
          <w:rFonts w:ascii="Calibri" w:cs="Calibri" w:hAnsi="Calibri" w:eastAsia="Calibri"/>
        </w:rPr>
      </w:pPr>
      <w:r>
        <w:rPr>
          <w:rFonts w:ascii="Calibri" w:hAnsi="Calibri"/>
          <w:rtl w:val="0"/>
          <w:lang w:val="en-US"/>
        </w:rPr>
        <w:t xml:space="preserve">   - **Digital Marketing**: Run ads on Google, Facebook, and Instagram to capture attention from young adults and gamers. Leverage SEO and PPC strategies to appear in searches related to VR experiences and gaming.</w:t>
      </w:r>
    </w:p>
    <w:p>
      <w:pPr>
        <w:pStyle w:val="Default"/>
        <w:spacing w:before="0" w:line="240" w:lineRule="auto"/>
        <w:rPr>
          <w:rFonts w:ascii="Calibri" w:cs="Calibri" w:hAnsi="Calibri" w:eastAsia="Calibri"/>
        </w:rPr>
      </w:pPr>
      <w:r>
        <w:rPr>
          <w:rFonts w:ascii="Calibri" w:hAnsi="Calibri"/>
          <w:rtl w:val="0"/>
          <w:lang w:val="en-US"/>
        </w:rPr>
        <w:t xml:space="preserve">   - **Social Media Ads**: Create engaging video content and targeted ads that showcase the immersive nature of your AR/VR racing experience.</w:t>
      </w:r>
    </w:p>
    <w:p>
      <w:pPr>
        <w:pStyle w:val="Default"/>
        <w:spacing w:before="0" w:line="240" w:lineRule="auto"/>
        <w:rPr>
          <w:rFonts w:ascii="Calibri" w:cs="Calibri" w:hAnsi="Calibri" w:eastAsia="Calibri"/>
        </w:rPr>
      </w:pPr>
      <w:r>
        <w:rPr>
          <w:rFonts w:ascii="Calibri" w:hAnsi="Calibri"/>
          <w:rtl w:val="0"/>
          <w:lang w:val="en-US"/>
        </w:rPr>
        <w:t xml:space="preserve">   - **Traditional Marketing **: Use billboards, radio ads, and flyers in malls and tech hubs to target local audiences who may not be as active on digital platforms. These traditional methods will broaden your audience base and create a recognizable brand presence in physical spaces.</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**Justification**: TOFU strategies focus on creating awareness. A larger portion of the budget (45</w:t>
      </w:r>
      <w:r>
        <w:rPr>
          <w:rFonts w:ascii="Calibri" w:hAnsi="Calibri"/>
          <w:rtl w:val="0"/>
          <w:lang w:val="en-US"/>
        </w:rPr>
        <w:t>.2</w:t>
      </w:r>
      <w:r>
        <w:rPr>
          <w:rFonts w:ascii="Calibri" w:hAnsi="Calibri"/>
          <w:rtl w:val="0"/>
          <w:lang w:val="en-US"/>
        </w:rPr>
        <w:t>%) is allocated here because the main goal at this stage is to build visibility and attract as many potential customers as possible. Digital marketing enables precise targeting and scalable outreach, while traditional marketing captures demographics less engaged in digital spaces.</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**2. Middle of Funnel (MOFU) Strategy:**</w:t>
      </w:r>
    </w:p>
    <w:p>
      <w:pPr>
        <w:pStyle w:val="Default"/>
        <w:spacing w:before="0" w:line="240" w:lineRule="auto"/>
        <w:rPr>
          <w:rFonts w:ascii="Calibri" w:cs="Calibri" w:hAnsi="Calibri" w:eastAsia="Calibri"/>
        </w:rPr>
      </w:pPr>
      <w:r>
        <w:rPr>
          <w:rFonts w:ascii="Calibri" w:hAnsi="Calibri"/>
          <w:rtl w:val="0"/>
          <w:lang w:val="en-US"/>
        </w:rPr>
        <w:t xml:space="preserve">   - **Objective**: Engage and nurture leads who are interested in learning more about your AR/VR racing arcade.</w:t>
      </w:r>
    </w:p>
    <w:p>
      <w:pPr>
        <w:pStyle w:val="Default"/>
        <w:spacing w:before="0" w:line="240" w:lineRule="auto"/>
        <w:rPr>
          <w:rFonts w:ascii="Calibri" w:cs="Calibri" w:hAnsi="Calibri" w:eastAsia="Calibri"/>
        </w:rPr>
      </w:pPr>
      <w:r>
        <w:rPr>
          <w:rFonts w:ascii="Calibri" w:hAnsi="Calibri"/>
          <w:rtl w:val="0"/>
          <w:lang w:val="en-US"/>
        </w:rPr>
        <w:t xml:space="preserve">   - **Channels**: Content creation and social media influencers.</w:t>
      </w:r>
    </w:p>
    <w:p>
      <w:pPr>
        <w:pStyle w:val="Default"/>
        <w:spacing w:before="0" w:line="240" w:lineRule="auto"/>
        <w:rPr>
          <w:rFonts w:ascii="Calibri" w:cs="Calibri" w:hAnsi="Calibri" w:eastAsia="Calibri"/>
        </w:rPr>
      </w:pPr>
      <w:r>
        <w:rPr>
          <w:rFonts w:ascii="Calibri" w:hAnsi="Calibri"/>
          <w:rtl w:val="0"/>
          <w:lang w:val="en-US"/>
        </w:rPr>
        <w:t xml:space="preserve">   - **Budget Allocation**: </w:t>
      </w:r>
      <w:r>
        <w:rPr>
          <w:rFonts w:ascii="Calibri" w:hAnsi="Calibri"/>
          <w:rtl w:val="0"/>
          <w:lang w:val="en-US"/>
        </w:rPr>
        <w:t>43</w:t>
      </w:r>
      <w:r>
        <w:rPr>
          <w:rFonts w:ascii="Calibri" w:hAnsi="Calibri"/>
          <w:rtl w:val="0"/>
          <w:lang w:val="en-US"/>
        </w:rPr>
        <w:t>% (Content Creation, Social Media Influencers)</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**MOFU Tactics**:</w:t>
      </w:r>
    </w:p>
    <w:p>
      <w:pPr>
        <w:pStyle w:val="Default"/>
        <w:spacing w:before="0" w:line="240" w:lineRule="auto"/>
        <w:rPr>
          <w:rFonts w:ascii="Calibri" w:cs="Calibri" w:hAnsi="Calibri" w:eastAsia="Calibri"/>
        </w:rPr>
      </w:pPr>
      <w:r>
        <w:rPr>
          <w:rFonts w:ascii="Calibri" w:hAnsi="Calibri"/>
          <w:rtl w:val="0"/>
          <w:lang w:val="en-US"/>
        </w:rPr>
        <w:t xml:space="preserve">   - **Content Creation**: Develop engaging content, such as blog posts, videos, and infographics, that highlight the benefits of VR racing, the technical aspects of the arcade, and customer testimonials. Create tutorials, behind-the-scenes footage, and sneak peeks to showcase what your arcade offers.</w:t>
      </w:r>
    </w:p>
    <w:p>
      <w:pPr>
        <w:pStyle w:val="Default"/>
        <w:spacing w:before="0" w:line="240" w:lineRule="auto"/>
        <w:rPr>
          <w:rFonts w:ascii="Calibri" w:cs="Calibri" w:hAnsi="Calibri" w:eastAsia="Calibri"/>
        </w:rPr>
      </w:pPr>
      <w:r>
        <w:rPr>
          <w:rFonts w:ascii="Calibri" w:hAnsi="Calibri"/>
          <w:rtl w:val="0"/>
          <w:lang w:val="en-US"/>
        </w:rPr>
        <w:t xml:space="preserve">   - **Social Media Influencers**: Partner with influencers who have a strong following in the gaming and automotive sectors. These influencers can create unboxing-style videos or livestream their racing experiences, helping to build trust and credibility with your audience.</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**Justification**: MOFU strategies focus on nurturing leads by providing more detailed content that demonstrates the value of your AR/VR arcade. Content creation (20%) is essential here because it educates and informs interested customers, guiding them closer to a purchase decision. Social media influencers (15%) provide authentic endorsements, which is key for building trust and encouraging middle-stage leads to take the next step.</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**3. Bottom of Funnel (BOFU) Strategy:**</w:t>
      </w:r>
    </w:p>
    <w:p>
      <w:pPr>
        <w:pStyle w:val="Default"/>
        <w:spacing w:before="0" w:line="240" w:lineRule="auto"/>
        <w:rPr>
          <w:rFonts w:ascii="Calibri" w:cs="Calibri" w:hAnsi="Calibri" w:eastAsia="Calibri"/>
        </w:rPr>
      </w:pPr>
      <w:r>
        <w:rPr>
          <w:rFonts w:ascii="Calibri" w:hAnsi="Calibri"/>
          <w:rtl w:val="0"/>
          <w:lang w:val="en-US"/>
        </w:rPr>
        <w:t xml:space="preserve">   - **Objective**: Convert leads into customers by offering direct and tangible incentives.</w:t>
      </w:r>
    </w:p>
    <w:p>
      <w:pPr>
        <w:pStyle w:val="Default"/>
        <w:spacing w:before="0" w:line="240" w:lineRule="auto"/>
        <w:rPr>
          <w:rFonts w:ascii="Calibri" w:cs="Calibri" w:hAnsi="Calibri" w:eastAsia="Calibri"/>
        </w:rPr>
      </w:pPr>
      <w:r>
        <w:rPr>
          <w:rFonts w:ascii="Calibri" w:hAnsi="Calibri"/>
          <w:rtl w:val="0"/>
          <w:lang w:val="en-US"/>
        </w:rPr>
        <w:t xml:space="preserve">   - **Channels**: Experiential marketing.</w:t>
      </w:r>
    </w:p>
    <w:p>
      <w:pPr>
        <w:pStyle w:val="Default"/>
        <w:spacing w:before="0" w:line="240" w:lineRule="auto"/>
        <w:rPr>
          <w:rFonts w:ascii="Calibri" w:cs="Calibri" w:hAnsi="Calibri" w:eastAsia="Calibri"/>
        </w:rPr>
      </w:pPr>
      <w:r>
        <w:rPr>
          <w:rFonts w:ascii="Calibri" w:hAnsi="Calibri"/>
          <w:rtl w:val="0"/>
          <w:lang w:val="en-US"/>
        </w:rPr>
        <w:t xml:space="preserve">   - **Budget Allocation**: </w:t>
      </w:r>
      <w:r>
        <w:rPr>
          <w:rFonts w:ascii="Calibri" w:hAnsi="Calibri"/>
          <w:rtl w:val="0"/>
          <w:lang w:val="en-US"/>
        </w:rPr>
        <w:t>11.8</w:t>
      </w:r>
      <w:r>
        <w:rPr>
          <w:rFonts w:ascii="Calibri" w:hAnsi="Calibri"/>
          <w:rtl w:val="0"/>
          <w:lang w:val="en-US"/>
        </w:rPr>
        <w:t xml:space="preserve"> (Experiential Marketing</w:t>
      </w:r>
      <w:r>
        <w:rPr>
          <w:rFonts w:ascii="Calibri" w:hAnsi="Calibri"/>
          <w:rtl w:val="0"/>
          <w:lang w:val="en-US"/>
        </w:rPr>
        <w:t>)</w:t>
      </w:r>
    </w:p>
    <w:p>
      <w:pPr>
        <w:pStyle w:val="Default"/>
        <w:spacing w:before="0" w:line="240" w:lineRule="auto"/>
        <w:rPr>
          <w:rFonts w:ascii="Calibri" w:cs="Calibri" w:hAnsi="Calibri" w:eastAsia="Calibri"/>
        </w:rPr>
      </w:pPr>
      <w:r>
        <w:rPr>
          <w:rFonts w:ascii="Calibri" w:hAnsi="Calibri"/>
          <w:rtl w:val="0"/>
          <w:lang w:val="en-US"/>
        </w:rPr>
        <w:t>#### **BOFU Tactics**:</w:t>
      </w:r>
    </w:p>
    <w:p>
      <w:pPr>
        <w:pStyle w:val="Default"/>
        <w:spacing w:before="0" w:line="240" w:lineRule="auto"/>
        <w:rPr>
          <w:rFonts w:ascii="Calibri" w:cs="Calibri" w:hAnsi="Calibri" w:eastAsia="Calibri"/>
        </w:rPr>
      </w:pPr>
      <w:r>
        <w:rPr>
          <w:rFonts w:ascii="Calibri" w:hAnsi="Calibri"/>
          <w:rtl w:val="0"/>
          <w:lang w:val="en-US"/>
        </w:rPr>
        <w:t xml:space="preserve">   - **Experiential Marketing (15%)**: Host special events or pop-up experiences in high-traffic areas where customers can try out the AR/VR racing firsthand. Offer limited-time promotions, discounts, or loyalty programs to encourage immediate conversions. Engage with automotive brands to co-host events and offer prizes, creating memorable experiences that drive engagement.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**Justification**: BOFU strategies focus on conversion. Experiential marketing allows potential customers to physically engage with the product, which is key to converting them into paying customers. Offering promotions and building loyalty through community engagement increases the likelihood of repeat business and sustained engagement.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 **Summary of TOFU-MOFU-BOFU Alignment**</w:t>
      </w:r>
    </w:p>
    <w:p>
      <w:pPr>
        <w:pStyle w:val="Default"/>
        <w:spacing w:before="0" w:line="240" w:lineRule="auto"/>
        <w:rPr>
          <w:rFonts w:ascii="Calibri" w:cs="Calibri" w:hAnsi="Calibri" w:eastAsia="Calibri"/>
        </w:rPr>
      </w:pPr>
      <w:r>
        <w:rPr>
          <w:rFonts w:ascii="Calibri" w:hAnsi="Calibri"/>
          <w:rtl w:val="0"/>
          <w:lang w:val="en-US"/>
        </w:rPr>
        <w:t>- **TOFU** (Awareness) gets the largest allocation (45</w:t>
      </w:r>
      <w:r>
        <w:rPr>
          <w:rFonts w:ascii="Calibri" w:hAnsi="Calibri"/>
          <w:rtl w:val="0"/>
          <w:lang w:val="en-US"/>
        </w:rPr>
        <w:t>.2</w:t>
      </w:r>
      <w:r>
        <w:rPr>
          <w:rFonts w:ascii="Calibri" w:hAnsi="Calibri"/>
          <w:rtl w:val="0"/>
          <w:lang w:val="en-US"/>
        </w:rPr>
        <w:t>%) because generating initial interest and reaching a wide audience is essential for a new arcade business.</w:t>
      </w:r>
    </w:p>
    <w:p>
      <w:pPr>
        <w:pStyle w:val="Default"/>
        <w:spacing w:before="0" w:line="240" w:lineRule="auto"/>
        <w:rPr>
          <w:rFonts w:ascii="Calibri" w:cs="Calibri" w:hAnsi="Calibri" w:eastAsia="Calibri"/>
        </w:rPr>
      </w:pPr>
      <w:r>
        <w:rPr>
          <w:rFonts w:ascii="Calibri" w:hAnsi="Calibri"/>
          <w:rtl w:val="0"/>
          <w:lang w:val="en-US"/>
        </w:rPr>
        <w:t xml:space="preserve">- **MOFU** (Engagement) gets </w:t>
      </w:r>
      <w:r>
        <w:rPr>
          <w:rFonts w:ascii="Calibri" w:hAnsi="Calibri"/>
          <w:rtl w:val="0"/>
          <w:lang w:val="en-US"/>
        </w:rPr>
        <w:t>43</w:t>
      </w:r>
      <w:r>
        <w:rPr>
          <w:rFonts w:ascii="Calibri" w:hAnsi="Calibri"/>
          <w:rtl w:val="0"/>
          <w:lang w:val="en-US"/>
        </w:rPr>
        <w:t>, as nurturing leads and building relationships is crucial for guiding potential customers through the decision-making process.</w:t>
      </w:r>
    </w:p>
    <w:p>
      <w:pPr>
        <w:pStyle w:val="Default"/>
        <w:spacing w:before="0" w:line="240" w:lineRule="auto"/>
        <w:rPr>
          <w:rFonts w:ascii="Calibri" w:cs="Calibri" w:hAnsi="Calibri" w:eastAsia="Calibri"/>
        </w:rPr>
      </w:pPr>
      <w:r>
        <w:rPr>
          <w:rFonts w:ascii="Calibri" w:hAnsi="Calibri"/>
          <w:rtl w:val="0"/>
          <w:lang w:val="en-US"/>
        </w:rPr>
        <w:t xml:space="preserve">- **BOFU** (Conversion) gets </w:t>
      </w:r>
      <w:r>
        <w:rPr>
          <w:rFonts w:ascii="Calibri" w:hAnsi="Calibri"/>
          <w:rtl w:val="0"/>
          <w:lang w:val="en-US"/>
        </w:rPr>
        <w:t>11.8</w:t>
      </w:r>
      <w:r>
        <w:rPr>
          <w:rFonts w:ascii="Calibri" w:hAnsi="Calibri"/>
          <w:rtl w:val="0"/>
          <w:lang w:val="en-US"/>
        </w:rPr>
        <w:t>%, with a focus on turning leads into paying customers through hands-on experiences and loyalty programs.</w:t>
      </w:r>
    </w:p>
    <w:p>
      <w:pPr>
        <w:pStyle w:val="Default"/>
        <w:spacing w:before="0" w:line="240" w:lineRule="auto"/>
        <w:rPr>
          <w:rFonts w:ascii="Calibri" w:cs="Calibri" w:hAnsi="Calibri" w:eastAsia="Calibri"/>
        </w:rPr>
      </w:pPr>
    </w:p>
    <w:p>
      <w:pPr>
        <w:pStyle w:val="Default"/>
        <w:spacing w:before="0" w:line="240" w:lineRule="auto"/>
        <w:rPr>
          <w:rFonts w:ascii="Calibri" w:cs="Calibri" w:hAnsi="Calibri" w:eastAsia="Calibri"/>
        </w:rPr>
      </w:pPr>
      <w:r>
        <w:rPr>
          <w:rFonts w:ascii="Calibri" w:hAnsi="Calibri"/>
          <w:rtl w:val="0"/>
          <w:lang w:val="en-US"/>
        </w:rPr>
        <w:t>This strategic allocation aligns with the customer journey and ensures a balanced marketing funnel to attract, engage, and convert your target audience.</w:t>
      </w:r>
      <w:r>
        <w:rPr>
          <w:rFonts w:ascii="Calibri" w:cs="Calibri" w:hAnsi="Calibri" w:eastAsia="Calibri"/>
        </w:rPr>
        <w:br w:type="textWrapping"/>
        <w:br w:type="textWrapping"/>
        <w:br w:type="textWrapping"/>
        <w:br w:type="textWrapping"/>
        <w:br w:type="textWrapping"/>
      </w:r>
      <w:r>
        <w:rPr>
          <w:rFonts w:ascii="Calibri" w:hAnsi="Calibri"/>
          <w:rtl w:val="0"/>
          <w:lang w:val="en-US"/>
        </w:rPr>
        <w:t>Why digital marketing with highest percentage?</w:t>
      </w:r>
    </w:p>
    <w:p>
      <w:pPr>
        <w:pStyle w:val="Default"/>
        <w:spacing w:before="0" w:line="240" w:lineRule="auto"/>
        <w:rPr>
          <w:rFonts w:ascii="Calibri" w:cs="Calibri" w:hAnsi="Calibri" w:eastAsia="Calibri"/>
        </w:rPr>
      </w:pPr>
      <w:r>
        <w:rPr>
          <w:rFonts w:ascii="Calibri" w:hAnsi="Calibri"/>
          <w:rtl w:val="0"/>
          <w:lang w:val="en-US"/>
        </w:rPr>
        <w:t xml:space="preserve">**Digital marketing** is allocated the **highest percentage** because it offers broad reach, precise targeting, and cost-effectiveness. For a tech-savvy audience like gamers and young adults, platforms like Google, Instagram, and YouTube allow you to engage them where they spend most of their time. </w:t>
      </w:r>
    </w:p>
    <w:p>
      <w:pPr>
        <w:pStyle w:val="Default"/>
        <w:spacing w:before="0" w:line="240" w:lineRule="auto"/>
        <w:rPr>
          <w:rFonts w:ascii="Calibri" w:cs="Calibri" w:hAnsi="Calibri" w:eastAsia="Calibri"/>
        </w:rPr>
      </w:pPr>
    </w:p>
    <w:p>
      <w:pPr>
        <w:pStyle w:val="Default"/>
        <w:spacing w:before="0" w:line="240" w:lineRule="auto"/>
      </w:pPr>
      <w:r>
        <w:rPr>
          <w:rFonts w:ascii="Calibri" w:hAnsi="Calibri"/>
          <w:rtl w:val="0"/>
          <w:lang w:val="en-US"/>
        </w:rPr>
        <w:t>Digital marketing provides real-time analytics, enabling you to adjust campaigns based on performance for maximum ROI. Its scalability allows you to reach a large audience at the top of the funnel (TOFU) while retargeting helps convert leads. The flexibility, performance tracking, and alignment with modern consumer behavior make it essential for building awareness and driving conversions, especially for immersive experiences like AR/VR racing.</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