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idai-data-hackathon-2026"/>
    <w:p>
      <w:pPr>
        <w:pStyle w:val="Heading1"/>
      </w:pPr>
      <w:r>
        <w:t xml:space="preserve">UIDAI Data Hackathon 2026</w:t>
      </w:r>
    </w:p>
    <w:bookmarkEnd w:id="20"/>
    <w:bookmarkStart w:id="43" w:name="X37c48895c131ab458e70dafb451ff2f46c9d071"/>
    <w:p>
      <w:pPr>
        <w:pStyle w:val="Heading1"/>
      </w:pPr>
      <w:r>
        <w:t xml:space="preserve">Aadhaar Lifecycle Risk &amp; Intervention Dashboard</w:t>
      </w:r>
    </w:p>
    <w:bookmarkStart w:id="21" w:name="Xa4220a850c8dbae125fb34a06b2eda9bd180f92"/>
    <w:p>
      <w:pPr>
        <w:pStyle w:val="Heading3"/>
      </w:pPr>
      <w:r>
        <w:t xml:space="preserve">A Lifecycle‑Based Early‑Warning and Decision Intelligence Framework for UIDAI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Aadhaar has evolved from a one‑time enrolment initiative into a</w:t>
      </w:r>
      <w:r>
        <w:t xml:space="preserve"> </w:t>
      </w:r>
      <w:r>
        <w:rPr>
          <w:b/>
          <w:bCs/>
        </w:rPr>
        <w:t xml:space="preserve">long‑term national identity infrastructure</w:t>
      </w:r>
      <w:r>
        <w:t xml:space="preserve"> </w:t>
      </w:r>
      <w:r>
        <w:t xml:space="preserve">that must remain accurate, inclusive, and reliable across an individual’s entire life. While UIDAI has successfully scaled enrolment nationwide, the larger and more complex challenge today lies in managing</w:t>
      </w:r>
      <w:r>
        <w:t xml:space="preserve"> </w:t>
      </w:r>
      <w:r>
        <w:rPr>
          <w:b/>
          <w:bCs/>
        </w:rPr>
        <w:t xml:space="preserve">change over time</w:t>
      </w:r>
      <w:r>
        <w:t xml:space="preserve">—including demographic updates, migration‑driven corrections, and mandatory biometric renewals.</w:t>
      </w:r>
    </w:p>
    <w:p>
      <w:pPr>
        <w:pStyle w:val="BodyText"/>
      </w:pPr>
      <w:r>
        <w:t xml:space="preserve">Current monitoring practices analyse enrolment, demographic updates, and biometric updates as</w:t>
      </w:r>
      <w:r>
        <w:t xml:space="preserve"> </w:t>
      </w:r>
      <w:r>
        <w:rPr>
          <w:b/>
          <w:bCs/>
        </w:rPr>
        <w:t xml:space="preserve">separate operational streams</w:t>
      </w:r>
      <w:r>
        <w:t xml:space="preserve">. This siloed view delays the detection of systemic risk and allows structural weaknesses to surface only after they manifest as authentication failures, service denial, or infrastructure overload.</w:t>
      </w:r>
    </w:p>
    <w:p>
      <w:pPr>
        <w:pStyle w:val="BodyText"/>
      </w:pPr>
      <w:r>
        <w:t xml:space="preserve">This project introduces a</w:t>
      </w:r>
      <w:r>
        <w:t xml:space="preserve"> </w:t>
      </w:r>
      <w:r>
        <w:rPr>
          <w:b/>
          <w:bCs/>
        </w:rPr>
        <w:t xml:space="preserve">Lifecycle‑Based Risk Intelligence Framework</w:t>
      </w:r>
      <w:r>
        <w:t xml:space="preserve"> </w:t>
      </w:r>
      <w:r>
        <w:t xml:space="preserve">that integrates all three domains into a single, district‑level analytical system. The resulting</w:t>
      </w:r>
      <w:r>
        <w:t xml:space="preserve"> </w:t>
      </w:r>
      <w:r>
        <w:rPr>
          <w:b/>
          <w:bCs/>
        </w:rPr>
        <w:t xml:space="preserve">Risk &amp; Intervention Dashboard</w:t>
      </w:r>
      <w:r>
        <w:t xml:space="preserve"> </w:t>
      </w:r>
      <w:r>
        <w:t xml:space="preserve">enables UIDAI to move from reactive monitoring toward</w:t>
      </w:r>
      <w:r>
        <w:t xml:space="preserve"> </w:t>
      </w:r>
      <w:r>
        <w:rPr>
          <w:b/>
          <w:bCs/>
        </w:rPr>
        <w:t xml:space="preserve">predictive, preventive, and evidence‑driven governance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problem-statement"/>
    <w:p>
      <w:pPr>
        <w:pStyle w:val="Heading2"/>
      </w:pPr>
      <w:r>
        <w:t xml:space="preserve">2. Problem Statement</w:t>
      </w:r>
    </w:p>
    <w:bookmarkStart w:id="23" w:name="core-challenge"/>
    <w:p>
      <w:pPr>
        <w:pStyle w:val="Heading3"/>
      </w:pPr>
      <w:r>
        <w:t xml:space="preserve">2.1 Core Challenge</w:t>
      </w:r>
    </w:p>
    <w:p>
      <w:pPr>
        <w:pStyle w:val="FirstParagraph"/>
      </w:pPr>
      <w:r>
        <w:t xml:space="preserve">UIDAI currently faces three interlinked but analytically disconnected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 or uneven enrolment</w:t>
      </w:r>
      <w:r>
        <w:t xml:space="preserve">, which creates long‑term demographic and biometric instability.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Demographic updates</w:t>
      </w:r>
      <w:r>
        <w:t xml:space="preserve">, which reflect migration, youth transitions, and administrative friction but are largely analysed only as raw volumes.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Biometric updates</w:t>
      </w:r>
      <w:r>
        <w:t xml:space="preserve">, which are monitored after stress has already manifested, rather than being anticipated in advance.</w:t>
      </w:r>
    </w:p>
    <w:p>
      <w:pPr>
        <w:pStyle w:val="FirstParagraph"/>
      </w:pPr>
      <w:r>
        <w:t xml:space="preserve">Because these signals are not analysed together, UIDAI lacks the ability to:</w:t>
      </w:r>
      <w:r>
        <w:t xml:space="preserve"> </w:t>
      </w:r>
      <w:r>
        <w:t xml:space="preserve">- Detect silent or delayed exclusion early</w:t>
      </w:r>
      <w:r>
        <w:t xml:space="preserve"> </w:t>
      </w:r>
      <w:r>
        <w:t xml:space="preserve">- Anticipate infrastructure stress before service quality degrades</w:t>
      </w:r>
      <w:r>
        <w:t xml:space="preserve"> </w:t>
      </w:r>
      <w:r>
        <w:t xml:space="preserve">- Identify structurally failing districts prior to crisis onset</w:t>
      </w:r>
    </w:p>
    <w:bookmarkEnd w:id="23"/>
    <w:bookmarkStart w:id="24" w:name="key-insight"/>
    <w:p>
      <w:pPr>
        <w:pStyle w:val="Heading3"/>
      </w:pPr>
      <w:r>
        <w:t xml:space="preserve">2.2 Key Insight</w:t>
      </w:r>
    </w:p>
    <w:p>
      <w:pPr>
        <w:pStyle w:val="FirstParagraph"/>
      </w:pPr>
      <w:r>
        <w:t xml:space="preserve">Failures in Aadhaar are</w:t>
      </w:r>
      <w:r>
        <w:t xml:space="preserve"> </w:t>
      </w:r>
      <w:r>
        <w:rPr>
          <w:b/>
          <w:bCs/>
        </w:rPr>
        <w:t xml:space="preserve">lifecycle‑propagated</w:t>
      </w:r>
      <w:r>
        <w:t xml:space="preserve">. Weaknesses at early stages—particularly enrolment—do not disappear; instead, they compound and re‑emerge later as demographic churn and biometric overload. Any effective monitoring system must therefore evaluate Aadhaar</w:t>
      </w:r>
      <w:r>
        <w:t xml:space="preserve"> </w:t>
      </w:r>
      <w:r>
        <w:rPr>
          <w:b/>
          <w:bCs/>
        </w:rPr>
        <w:t xml:space="preserve">as a continuous lifecycle, not as isolated operational events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ae39ab755b2f8193b82804a0676f4f0d24ebdb3"/>
    <w:p>
      <w:pPr>
        <w:pStyle w:val="Heading2"/>
      </w:pPr>
      <w:r>
        <w:t xml:space="preserve">3. Conceptual Framework: Aadhaar as a Lifecycle System</w:t>
      </w:r>
    </w:p>
    <w:p>
      <w:pPr>
        <w:pStyle w:val="FirstParagraph"/>
      </w:pPr>
      <w:r>
        <w:t xml:space="preserve">The project models Aadhaar as a sequential, interdependent lifecycle comprising three stages: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</w:pPr>
            <w:r>
              <w:t xml:space="preserve">Analytical Focus</w:t>
            </w:r>
          </w:p>
        </w:tc>
        <w:tc>
          <w:tcPr/>
          <w:p>
            <w:pPr>
              <w:pStyle w:val="Compact"/>
            </w:pPr>
            <w:r>
              <w:t xml:space="preserve">Risk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Enrolment</w:t>
            </w:r>
          </w:p>
        </w:tc>
        <w:tc>
          <w:tcPr/>
          <w:p>
            <w:pPr>
              <w:pStyle w:val="Compact"/>
            </w:pPr>
            <w:r>
              <w:t xml:space="preserve">Timing and completeness of system entry</w:t>
            </w:r>
          </w:p>
        </w:tc>
        <w:tc>
          <w:tcPr/>
          <w:p>
            <w:pPr>
              <w:pStyle w:val="Compact"/>
            </w:pPr>
            <w:r>
              <w:t xml:space="preserve">Late onboarding, access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 Stability</w:t>
            </w:r>
          </w:p>
        </w:tc>
        <w:tc>
          <w:tcPr/>
          <w:p>
            <w:pPr>
              <w:pStyle w:val="Compact"/>
            </w:pPr>
            <w:r>
              <w:t xml:space="preserve">Identity corrections and mobility</w:t>
            </w:r>
          </w:p>
        </w:tc>
        <w:tc>
          <w:tcPr/>
          <w:p>
            <w:pPr>
              <w:pStyle w:val="Compact"/>
            </w:pPr>
            <w:r>
              <w:t xml:space="preserve">Migration stress, administrative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Compliance</w:t>
            </w:r>
          </w:p>
        </w:tc>
        <w:tc>
          <w:tcPr/>
          <w:p>
            <w:pPr>
              <w:pStyle w:val="Compact"/>
            </w:pPr>
            <w:r>
              <w:t xml:space="preserve">Mandatory biometric updates</w:t>
            </w:r>
          </w:p>
        </w:tc>
        <w:tc>
          <w:tcPr/>
          <w:p>
            <w:pPr>
              <w:pStyle w:val="Compact"/>
            </w:pPr>
            <w:r>
              <w:t xml:space="preserve">Authentication failure, infrastructure overload</w:t>
            </w:r>
          </w:p>
        </w:tc>
      </w:tr>
    </w:tbl>
    <w:p>
      <w:pPr>
        <w:pStyle w:val="BodyText"/>
      </w:pPr>
      <w:r>
        <w:t xml:space="preserve">Risk is assumed to</w:t>
      </w:r>
      <w:r>
        <w:t xml:space="preserve"> </w:t>
      </w:r>
      <w:r>
        <w:rPr>
          <w:b/>
          <w:bCs/>
        </w:rPr>
        <w:t xml:space="preserve">flow forward through the lifecycle</w:t>
      </w:r>
      <w:r>
        <w:t xml:space="preserve">: early‑stage weaknesses increase the probability and severity of downstream breakdowns.</w:t>
      </w:r>
    </w:p>
    <w:p>
      <w:r>
        <w:pict>
          <v:rect style="width:0;height:1.5pt" o:hralign="center" o:hrstd="t" o:hr="t"/>
        </w:pict>
      </w:r>
    </w:p>
    <w:bookmarkEnd w:id="26"/>
    <w:bookmarkStart w:id="27" w:name="datasets-used"/>
    <w:p>
      <w:pPr>
        <w:pStyle w:val="Heading2"/>
      </w:pPr>
      <w:r>
        <w:t xml:space="preserve">4. Datasets Used</w:t>
      </w:r>
    </w:p>
    <w:p>
      <w:pPr>
        <w:pStyle w:val="FirstParagraph"/>
      </w:pPr>
      <w:r>
        <w:t xml:space="preserve">The analysis uses only UIDAI‑provided, privacy‑preserving, aggregated datasets: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Enrolment Data</w:t>
      </w:r>
      <w:r>
        <w:t xml:space="preserve"> </w:t>
      </w:r>
      <w:r>
        <w:t xml:space="preserve">– Age‑wise onboarding and coverage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Demographic Update Data</w:t>
      </w:r>
      <w:r>
        <w:t xml:space="preserve"> </w:t>
      </w:r>
      <w:r>
        <w:t xml:space="preserve">– Identity corrections and migration signals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Biometric Update Data</w:t>
      </w:r>
      <w:r>
        <w:t xml:space="preserve"> </w:t>
      </w:r>
      <w:r>
        <w:t xml:space="preserve">– Compliance behaviour and infrastructure load</w:t>
      </w:r>
    </w:p>
    <w:p>
      <w:pPr>
        <w:pStyle w:val="FirstParagraph"/>
      </w:pPr>
      <w:r>
        <w:t xml:space="preserve">All datasets are aggregated at the</w:t>
      </w:r>
      <w:r>
        <w:t xml:space="preserve"> </w:t>
      </w:r>
      <w:r>
        <w:rPr>
          <w:b/>
          <w:bCs/>
        </w:rPr>
        <w:t xml:space="preserve">district × month</w:t>
      </w:r>
      <w:r>
        <w:t xml:space="preserve"> </w:t>
      </w:r>
      <w:r>
        <w:t xml:space="preserve">level to ensure comparability, operational relevance, and privacy compliance.</w:t>
      </w:r>
    </w:p>
    <w:p>
      <w:r>
        <w:pict>
          <v:rect style="width:0;height:1.5pt" o:hralign="center" o:hrstd="t" o:hr="t"/>
        </w:pict>
      </w:r>
    </w:p>
    <w:bookmarkEnd w:id="27"/>
    <w:bookmarkStart w:id="30" w:name="data-engineering-preprocessing"/>
    <w:p>
      <w:pPr>
        <w:pStyle w:val="Heading2"/>
      </w:pPr>
      <w:r>
        <w:t xml:space="preserve">5. Data Engineering &amp; Preprocessing</w:t>
      </w:r>
    </w:p>
    <w:bookmarkStart w:id="28" w:name="X597493abdb7f0efd18e433df14e3029997893ba"/>
    <w:p>
      <w:pPr>
        <w:pStyle w:val="Heading3"/>
      </w:pPr>
      <w:r>
        <w:t xml:space="preserve">5.1 Geospatial Standardisation (Pincode Strategy)</w:t>
      </w:r>
    </w:p>
    <w:p>
      <w:pPr>
        <w:pStyle w:val="FirstParagraph"/>
      </w:pPr>
      <w:r>
        <w:t xml:space="preserve">Raw administrative data often contains inconsistent district spellings, which can fragment analysis and distort results. To eliminate this risk:</w:t>
      </w:r>
    </w:p>
    <w:p>
      <w:pPr>
        <w:pStyle w:val="Compact"/>
        <w:numPr>
          <w:ilvl w:val="0"/>
          <w:numId w:val="1003"/>
        </w:numPr>
      </w:pPr>
      <w:r>
        <w:t xml:space="preserve">Pincode prefixes (first three digits) were used as stable geographic anchors.</w:t>
      </w:r>
    </w:p>
    <w:p>
      <w:pPr>
        <w:pStyle w:val="Compact"/>
        <w:numPr>
          <w:ilvl w:val="0"/>
          <w:numId w:val="1003"/>
        </w:numPr>
      </w:pPr>
      <w:r>
        <w:t xml:space="preserve">District names were standardised using a</w:t>
      </w:r>
      <w:r>
        <w:t xml:space="preserve"> </w:t>
      </w:r>
      <w:r>
        <w:rPr>
          <w:b/>
          <w:bCs/>
        </w:rPr>
        <w:t xml:space="preserve">mode‑based voting mechanism</w:t>
      </w:r>
      <w:r>
        <w:t xml:space="preserve"> </w:t>
      </w:r>
      <w:r>
        <w:t xml:space="preserve">within each prefix.</w:t>
      </w:r>
    </w:p>
    <w:p>
      <w:pPr>
        <w:pStyle w:val="Compact"/>
        <w:numPr>
          <w:ilvl w:val="0"/>
          <w:numId w:val="1003"/>
        </w:numPr>
      </w:pPr>
      <w:r>
        <w:t xml:space="preserve">Invalid or missing pincodes were safely coerced and handled.</w:t>
      </w:r>
    </w:p>
    <w:p>
      <w:pPr>
        <w:pStyle w:val="FirstParagraph"/>
      </w:pPr>
      <w:r>
        <w:t xml:space="preserve">This ensured that each district produced a</w:t>
      </w:r>
      <w:r>
        <w:t xml:space="preserve"> </w:t>
      </w:r>
      <w:r>
        <w:rPr>
          <w:b/>
          <w:bCs/>
        </w:rPr>
        <w:t xml:space="preserve">single, coherent analytical signal</w:t>
      </w:r>
      <w:r>
        <w:t xml:space="preserve">.</w:t>
      </w:r>
    </w:p>
    <w:bookmarkEnd w:id="28"/>
    <w:bookmarkStart w:id="29" w:name="temporal-aggregation"/>
    <w:p>
      <w:pPr>
        <w:pStyle w:val="Heading3"/>
      </w:pPr>
      <w:r>
        <w:t xml:space="preserve">5.2 Temporal Aggregation</w:t>
      </w:r>
    </w:p>
    <w:p>
      <w:pPr>
        <w:pStyle w:val="FirstParagraph"/>
      </w:pPr>
      <w:r>
        <w:t xml:space="preserve">Daily operational data is inherently noisy due to holidays, reporting delays, and weekly closures. Since UIDAI plans capacity at monthly or quarterly horizons:</w:t>
      </w:r>
    </w:p>
    <w:p>
      <w:pPr>
        <w:pStyle w:val="Compact"/>
        <w:numPr>
          <w:ilvl w:val="0"/>
          <w:numId w:val="1004"/>
        </w:numPr>
      </w:pPr>
      <w:r>
        <w:t xml:space="preserve">Dates were cleaned and validated.</w:t>
      </w:r>
    </w:p>
    <w:p>
      <w:pPr>
        <w:pStyle w:val="Compact"/>
        <w:numPr>
          <w:ilvl w:val="0"/>
          <w:numId w:val="1004"/>
        </w:numPr>
      </w:pPr>
      <w:r>
        <w:t xml:space="preserve">All datasets were aggregated to monthly district‑level metrics.</w:t>
      </w:r>
    </w:p>
    <w:p>
      <w:pPr>
        <w:pStyle w:val="FirstParagraph"/>
      </w:pPr>
      <w:r>
        <w:t xml:space="preserve">This approach was applied consistently across enrolment, demographic, and biometric pipelines.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abc48ea88755162e8aa4e0e3b499d081ad3b62"/>
    <w:p>
      <w:pPr>
        <w:pStyle w:val="Heading2"/>
      </w:pPr>
      <w:r>
        <w:t xml:space="preserve">6. Solution Design: How the Problem Is Tackled End‑to‑End</w:t>
      </w:r>
    </w:p>
    <w:p>
      <w:pPr>
        <w:pStyle w:val="FirstParagraph"/>
      </w:pPr>
      <w:r>
        <w:t xml:space="preserve">The solution transforms fragmented operational records into</w:t>
      </w:r>
      <w:r>
        <w:t xml:space="preserve"> </w:t>
      </w:r>
      <w:r>
        <w:rPr>
          <w:b/>
          <w:bCs/>
        </w:rPr>
        <w:t xml:space="preserve">interpretable, comparable, and decision‑ready lifecycle intelligence</w:t>
      </w:r>
      <w:r>
        <w:t xml:space="preserve">. Rather than relying on simple counts, every metric is designed to answer a specific governance or operational question relevant to UIDAI.</w:t>
      </w:r>
    </w:p>
    <w:p>
      <w:pPr>
        <w:pStyle w:val="BodyText"/>
      </w:pPr>
      <w:r>
        <w:t xml:space="preserve">The analytical flow is:</w:t>
      </w:r>
    </w:p>
    <w:p>
      <w:pPr>
        <w:pStyle w:val="BodyText"/>
      </w:pPr>
      <w:r>
        <w:rPr>
          <w:b/>
          <w:bCs/>
        </w:rPr>
        <w:t xml:space="preserve">Raw Data → Normalised Signals → Advanced Metrics → Domain Indices → Lifecycle Risk → Intervention Priority</w:t>
      </w:r>
    </w:p>
    <w:p>
      <w:pPr>
        <w:pStyle w:val="BodyText"/>
      </w:pPr>
      <w:r>
        <w:t xml:space="preserve">All final metrics feeding the dashboard are consolidated in the</w:t>
      </w:r>
      <w:r>
        <w:t xml:space="preserve"> </w:t>
      </w:r>
      <w:r>
        <w:rPr>
          <w:b/>
          <w:bCs/>
        </w:rPr>
        <w:t xml:space="preserve">Final Metrics Excel Workbook</w:t>
      </w:r>
      <w:r>
        <w:t xml:space="preserve">, which serves as the single source of analytical truth.</w:t>
      </w:r>
    </w:p>
    <w:p>
      <w:r>
        <w:pict>
          <v:rect style="width:0;height:1.5pt" o:hralign="center" o:hrstd="t" o:hr="t"/>
        </w:pict>
      </w:r>
    </w:p>
    <w:bookmarkEnd w:id="31"/>
    <w:bookmarkStart w:id="36" w:name="X0a6bc7d9dfe6f2b66aa25aae3dd015e02f486cf"/>
    <w:p>
      <w:pPr>
        <w:pStyle w:val="Heading2"/>
      </w:pPr>
      <w:r>
        <w:t xml:space="preserve">7. Advanced Metric Design: Uneasy Signals That Reveal Hidden Risk</w:t>
      </w:r>
    </w:p>
    <w:p>
      <w:pPr>
        <w:pStyle w:val="FirstParagraph"/>
      </w:pPr>
      <w:r>
        <w:t xml:space="preserve">This project intentionally de‑emphasises obvious descriptive metrics (such as totals or averages) and instead focuses on</w:t>
      </w:r>
      <w:r>
        <w:t xml:space="preserve"> </w:t>
      </w:r>
      <w:r>
        <w:rPr>
          <w:b/>
          <w:bCs/>
        </w:rPr>
        <w:t xml:space="preserve">second‑order, interaction‑driven metrics</w:t>
      </w:r>
      <w:r>
        <w:t xml:space="preserve">. These metrics expose</w:t>
      </w:r>
      <w:r>
        <w:t xml:space="preserve"> </w:t>
      </w:r>
      <w:r>
        <w:rPr>
          <w:i/>
          <w:iCs/>
        </w:rPr>
        <w:t xml:space="preserve">latent structural weakness</w:t>
      </w:r>
      <w:r>
        <w:t xml:space="preserve">,</w:t>
      </w:r>
      <w:r>
        <w:t xml:space="preserve"> </w:t>
      </w:r>
      <w:r>
        <w:rPr>
          <w:i/>
          <w:iCs/>
        </w:rPr>
        <w:t xml:space="preserve">future stress</w:t>
      </w:r>
      <w:r>
        <w:t xml:space="preserve">, and</w:t>
      </w:r>
      <w:r>
        <w:t xml:space="preserve"> </w:t>
      </w:r>
      <w:r>
        <w:rPr>
          <w:i/>
          <w:iCs/>
        </w:rPr>
        <w:t xml:space="preserve">failure precursors</w:t>
      </w:r>
      <w:r>
        <w:t xml:space="preserve">—even when headline numbers appear healthy.</w:t>
      </w:r>
    </w:p>
    <w:p>
      <w:pPr>
        <w:pStyle w:val="BodyText"/>
      </w:pPr>
      <w:r>
        <w:t xml:space="preserve">Each metric exists because it answers a question that raw data alone cannot answer.</w:t>
      </w:r>
    </w:p>
    <w:p>
      <w:r>
        <w:pict>
          <v:rect style="width:0;height:1.5pt" o:hralign="center" o:hrstd="t" o:hr="t"/>
        </w:pict>
      </w:r>
    </w:p>
    <w:bookmarkStart w:id="32" w:name="X7e4f32f74874a7958d16b449dc88209fcc8bb64"/>
    <w:p>
      <w:pPr>
        <w:pStyle w:val="Heading3"/>
      </w:pPr>
      <w:r>
        <w:t xml:space="preserve">7.1 Enrolment Asymmetry Metrics (Hidden Entry‑Point Failure)</w:t>
      </w:r>
    </w:p>
    <w:p>
      <w:pPr>
        <w:pStyle w:val="FirstParagraph"/>
      </w:pPr>
      <w:r>
        <w:t xml:space="preserve">These metrics ask not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enrolment occurred, but: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“Is the system enrolling the right population, at the right point in the lifecycle?”</w:t>
      </w:r>
    </w:p>
    <w:p>
      <w:pPr>
        <w:pStyle w:val="BodyText"/>
      </w:pPr>
      <w:r>
        <w:rPr>
          <w:b/>
          <w:bCs/>
        </w:rPr>
        <w:t xml:space="preserve">Late‑Entry Bias Index (Adult Dominance Score)</w:t>
      </w:r>
      <w:r>
        <w:br/>
      </w:r>
      <w:r>
        <w:t xml:space="preserve">Captures structural dependence on delayed enrolment. High values indicate districts where apparent activity masks accumulated future instability driven by adult catch‑up enrolments.</w:t>
      </w:r>
    </w:p>
    <w:p>
      <w:pPr>
        <w:pStyle w:val="BodyText"/>
      </w:pPr>
      <w:r>
        <w:rPr>
          <w:b/>
          <w:bCs/>
        </w:rPr>
        <w:t xml:space="preserve">Early‑Life Capture Deficit (ELCD)</w:t>
      </w:r>
      <w:r>
        <w:br/>
      </w:r>
      <w:r>
        <w:t xml:space="preserve">Identifies districts failing to create identities at birth despite ongoing enrolment activity. ELCD exposes</w:t>
      </w:r>
      <w:r>
        <w:t xml:space="preserve"> </w:t>
      </w:r>
      <w:r>
        <w:rPr>
          <w:b/>
          <w:bCs/>
        </w:rPr>
        <w:t xml:space="preserve">silent exclusion</w:t>
      </w:r>
      <w:r>
        <w:t xml:space="preserve"> </w:t>
      </w:r>
      <w:r>
        <w:t xml:space="preserve">that does not appear as an operational failure until years later.</w:t>
      </w:r>
    </w:p>
    <w:p>
      <w:r>
        <w:pict>
          <v:rect style="width:0;height:1.5pt" o:hralign="center" o:hrstd="t" o:hr="t"/>
        </w:pict>
      </w:r>
    </w:p>
    <w:bookmarkEnd w:id="32"/>
    <w:bookmarkStart w:id="33" w:name="Xfe7f813ff377b9ead7739cce2527dd7061da9ec"/>
    <w:p>
      <w:pPr>
        <w:pStyle w:val="Heading3"/>
      </w:pPr>
      <w:r>
        <w:t xml:space="preserve">7.2 Demographic Stress Propagation Metrics (Instability That Travels Forward)</w:t>
      </w:r>
    </w:p>
    <w:p>
      <w:pPr>
        <w:pStyle w:val="FirstParagraph"/>
      </w:pPr>
      <w:r>
        <w:t xml:space="preserve">These metrics interpret demographic updates as</w:t>
      </w:r>
      <w:r>
        <w:t xml:space="preserve"> </w:t>
      </w:r>
      <w:r>
        <w:rPr>
          <w:b/>
          <w:bCs/>
        </w:rPr>
        <w:t xml:space="preserve">stress signals</w:t>
      </w:r>
      <w:r>
        <w:t xml:space="preserve">, not activity measures.</w:t>
      </w:r>
    </w:p>
    <w:p>
      <w:pPr>
        <w:pStyle w:val="BodyText"/>
      </w:pPr>
      <w:r>
        <w:rPr>
          <w:b/>
          <w:bCs/>
        </w:rPr>
        <w:t xml:space="preserve">Identity Volatility Coefficient (IVC)</w:t>
      </w:r>
      <w:r>
        <w:br/>
      </w:r>
      <w:r>
        <w:t xml:space="preserve">Measures unpredictability in identity updates over time. High volatility indicates operational instability that average volumes conceal.</w:t>
      </w:r>
    </w:p>
    <w:p>
      <w:pPr>
        <w:pStyle w:val="BodyText"/>
      </w:pPr>
      <w:r>
        <w:rPr>
          <w:b/>
          <w:bCs/>
        </w:rPr>
        <w:t xml:space="preserve">Youth‑Led Instability Gradient (YLIG)</w:t>
      </w:r>
      <w:r>
        <w:br/>
      </w:r>
      <w:r>
        <w:t xml:space="preserve">Detects youth update surges that precede adult instability, acting as a forward‑looking warning signal.</w:t>
      </w:r>
    </w:p>
    <w:p>
      <w:pPr>
        <w:pStyle w:val="BodyText"/>
      </w:pPr>
      <w:r>
        <w:rPr>
          <w:b/>
          <w:bCs/>
        </w:rPr>
        <w:t xml:space="preserve">Persistent Friction Density (PFD)</w:t>
      </w:r>
      <w:r>
        <w:br/>
      </w:r>
      <w:r>
        <w:t xml:space="preserve">Identifies districts exhibiting sustained instability across most months, indicating structural administrative failure rather than seasonal effects.</w:t>
      </w:r>
    </w:p>
    <w:p>
      <w:r>
        <w:pict>
          <v:rect style="width:0;height:1.5pt" o:hralign="center" o:hrstd="t" o:hr="t"/>
        </w:pict>
      </w:r>
    </w:p>
    <w:bookmarkEnd w:id="33"/>
    <w:bookmarkStart w:id="34" w:name="X48f35b1a4630407ccac9cb133a0bea639d608a3"/>
    <w:p>
      <w:pPr>
        <w:pStyle w:val="Heading3"/>
      </w:pPr>
      <w:r>
        <w:t xml:space="preserve">7.3 Biometric Failure‑Precursor Metrics (Predicting Service Breakdown)</w:t>
      </w:r>
    </w:p>
    <w:p>
      <w:pPr>
        <w:pStyle w:val="FirstParagraph"/>
      </w:pPr>
      <w:r>
        <w:t xml:space="preserve">These metrics are designed to answer: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“Where will authentication failures occur next—even if nothing has failed yet?”</w:t>
      </w:r>
    </w:p>
    <w:p>
      <w:pPr>
        <w:pStyle w:val="BodyText"/>
      </w:pPr>
      <w:r>
        <w:rPr>
          <w:b/>
          <w:bCs/>
        </w:rPr>
        <w:t xml:space="preserve">Child Biometric Compliance Gap (CBCG)</w:t>
      </w:r>
      <w:r>
        <w:br/>
      </w:r>
      <w:r>
        <w:t xml:space="preserve">Measures the depth of delayed mandatory child biometric updates, exposing future authentication risk well before failure occurs.</w:t>
      </w:r>
    </w:p>
    <w:p>
      <w:pPr>
        <w:pStyle w:val="BodyText"/>
      </w:pPr>
      <w:r>
        <w:rPr>
          <w:b/>
          <w:bCs/>
        </w:rPr>
        <w:t xml:space="preserve">Catch‑Up Shock Indicator (CSI)</w:t>
      </w:r>
      <w:r>
        <w:br/>
      </w:r>
      <w:r>
        <w:t xml:space="preserve">Flags sudden adult biometric surges caused by delayed compliance that can overwhelm infrastructure.</w:t>
      </w:r>
    </w:p>
    <w:p>
      <w:pPr>
        <w:pStyle w:val="BodyText"/>
      </w:pPr>
      <w:r>
        <w:rPr>
          <w:b/>
          <w:bCs/>
        </w:rPr>
        <w:t xml:space="preserve">Infrastructure Overhang Index (IOI)</w:t>
      </w:r>
      <w:r>
        <w:br/>
      </w:r>
      <w:r>
        <w:t xml:space="preserve">Identifies districts operating beyond sustainable biometric capacity, where service quality degrades before visible failure.</w:t>
      </w:r>
    </w:p>
    <w:p>
      <w:r>
        <w:pict>
          <v:rect style="width:0;height:1.5pt" o:hralign="center" o:hrstd="t" o:hr="t"/>
        </w:pict>
      </w:r>
    </w:p>
    <w:bookmarkEnd w:id="34"/>
    <w:bookmarkStart w:id="35" w:name="Xb3295b49b47ca88332ce913f6ffb88a5fe47a73"/>
    <w:p>
      <w:pPr>
        <w:pStyle w:val="Heading3"/>
      </w:pPr>
      <w:r>
        <w:t xml:space="preserve">7.4 Lifecycle Interaction Metrics (Where Risk Truly Emerges)</w:t>
      </w:r>
    </w:p>
    <w:p>
      <w:pPr>
        <w:pStyle w:val="FirstParagraph"/>
      </w:pPr>
      <w:r>
        <w:t xml:space="preserve">These metrics exist only because lifecycle integration exists.</w:t>
      </w:r>
    </w:p>
    <w:p>
      <w:pPr>
        <w:pStyle w:val="BodyText"/>
      </w:pPr>
      <w:r>
        <w:rPr>
          <w:b/>
          <w:bCs/>
        </w:rPr>
        <w:t xml:space="preserve">Downstream Risk Multiplier (DRM)</w:t>
      </w:r>
      <w:r>
        <w:br/>
      </w:r>
      <w:r>
        <w:t xml:space="preserve">Quantifies how early enrolment and demographic weaknesses amplify biometric risk downstream.</w:t>
      </w:r>
    </w:p>
    <w:p>
      <w:pPr>
        <w:pStyle w:val="BodyText"/>
      </w:pPr>
      <w:r>
        <w:rPr>
          <w:b/>
          <w:bCs/>
        </w:rPr>
        <w:t xml:space="preserve">Aadhaar Lifecycle Health Score (ALHS)</w:t>
      </w:r>
      <w:r>
        <w:br/>
      </w:r>
      <w:r>
        <w:t xml:space="preserve">A single, interpretable measure of cumulative lifecycle risk. ALHS can be elevated even when individual metrics appear acceptable in isolation.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y-these-metrics-solve-the-problem"/>
    <w:p>
      <w:pPr>
        <w:pStyle w:val="Heading2"/>
      </w:pPr>
      <w:r>
        <w:t xml:space="preserve">8. Why These Metrics Solve the Problem</w:t>
      </w:r>
    </w:p>
    <w:p>
      <w:pPr>
        <w:pStyle w:val="FirstParagraph"/>
      </w:pPr>
      <w:r>
        <w:t xml:space="preserve">Collectively, these metrics:</w:t>
      </w:r>
      <w:r>
        <w:t xml:space="preserve"> </w:t>
      </w:r>
      <w:r>
        <w:t xml:space="preserve">- Detect silent and delayed exclusion</w:t>
      </w:r>
      <w:r>
        <w:t xml:space="preserve"> </w:t>
      </w:r>
      <w:r>
        <w:t xml:space="preserve">- Predict overload before it manifests</w:t>
      </w:r>
      <w:r>
        <w:t xml:space="preserve"> </w:t>
      </w:r>
      <w:r>
        <w:t xml:space="preserve">-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district is risky, not just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it is risky</w:t>
      </w:r>
      <w:r>
        <w:t xml:space="preserve"> </w:t>
      </w:r>
      <w:r>
        <w:t xml:space="preserve">- Enable stage‑specific, evidence‑based intervention</w:t>
      </w:r>
    </w:p>
    <w:p>
      <w:pPr>
        <w:pStyle w:val="BodyText"/>
      </w:pPr>
      <w:r>
        <w:t xml:space="preserve">This is not monitoring—it is</w:t>
      </w:r>
      <w:r>
        <w:t xml:space="preserve"> </w:t>
      </w:r>
      <w:r>
        <w:rPr>
          <w:b/>
          <w:bCs/>
        </w:rPr>
        <w:t xml:space="preserve">anticipatory governance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8508f064014a618cdde7701077f840ea388663c"/>
    <w:p>
      <w:pPr>
        <w:pStyle w:val="Heading2"/>
      </w:pPr>
      <w:r>
        <w:t xml:space="preserve">9. Composite Indices &amp; Lifecycle Risk Resolution</w:t>
      </w:r>
    </w:p>
    <w:p>
      <w:pPr>
        <w:pStyle w:val="FirstParagraph"/>
      </w:pPr>
      <w:r>
        <w:t xml:space="preserve">All metrics are normalised using Z‑scores and combined into three domain indices:</w:t>
      </w:r>
      <w:r>
        <w:t xml:space="preserve"> </w:t>
      </w:r>
      <w:r>
        <w:t xml:space="preserve">- Enrolment Health Index (EHI)</w:t>
      </w:r>
      <w:r>
        <w:t xml:space="preserve"> </w:t>
      </w:r>
      <w:r>
        <w:t xml:space="preserve">- Demographic Stability Index (DSI)</w:t>
      </w:r>
      <w:r>
        <w:t xml:space="preserve"> </w:t>
      </w:r>
      <w:r>
        <w:t xml:space="preserve">- Biometric Compliance Index (BCI)</w:t>
      </w:r>
    </w:p>
    <w:p>
      <w:pPr>
        <w:pStyle w:val="BodyText"/>
      </w:pPr>
      <w:r>
        <w:t xml:space="preserve">These indices are combined into the</w:t>
      </w:r>
      <w:r>
        <w:t xml:space="preserve"> </w:t>
      </w:r>
      <w:r>
        <w:rPr>
          <w:b/>
          <w:bCs/>
        </w:rPr>
        <w:t xml:space="preserve">Aadhaar Lifecycle Health Score (ALHS)</w:t>
      </w:r>
      <w:r>
        <w:t xml:space="preserve">, producing a single, policy‑ready risk signal per district.</w:t>
      </w:r>
    </w:p>
    <w:p>
      <w:r>
        <w:pict>
          <v:rect style="width:0;height:1.5pt" o:hralign="center" o:hrstd="t" o:hr="t"/>
        </w:pict>
      </w:r>
    </w:p>
    <w:bookmarkEnd w:id="38"/>
    <w:bookmarkStart w:id="39" w:name="risk-classification-intervention-logic"/>
    <w:p>
      <w:pPr>
        <w:pStyle w:val="Heading2"/>
      </w:pPr>
      <w:r>
        <w:t xml:space="preserve">10. Risk Classification &amp; Intervention Logic</w:t>
      </w:r>
    </w:p>
    <w:p>
      <w:pPr>
        <w:pStyle w:val="FirstParagraph"/>
      </w:pPr>
      <w:r>
        <w:t xml:space="preserve">Each district is assigned: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Lifecycle Risk Level</w:t>
      </w:r>
      <w:r>
        <w:t xml:space="preserve">: Healthy / Watch / High Risk / Critical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Failure Domain</w:t>
      </w:r>
      <w:r>
        <w:t xml:space="preserve">: Enrolment, Demographic, or Biometric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Intervention Priority</w:t>
      </w:r>
      <w:r>
        <w:t xml:space="preserve">: Routine / Monitor / Immediate</w:t>
      </w:r>
    </w:p>
    <w:p>
      <w:pPr>
        <w:pStyle w:val="BodyText"/>
      </w:pPr>
      <w:r>
        <w:t xml:space="preserve">This enables UIDAI to apply</w:t>
      </w:r>
      <w:r>
        <w:t xml:space="preserve"> </w:t>
      </w:r>
      <w:r>
        <w:rPr>
          <w:b/>
          <w:bCs/>
        </w:rPr>
        <w:t xml:space="preserve">the right intervention, at the right stage, in the right location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operational-and-policy-impact"/>
    <w:p>
      <w:pPr>
        <w:pStyle w:val="Heading2"/>
      </w:pPr>
      <w:r>
        <w:t xml:space="preserve">11. Operational and Policy Impact</w:t>
      </w:r>
    </w:p>
    <w:p>
      <w:pPr>
        <w:pStyle w:val="FirstParagraph"/>
      </w:pPr>
      <w:r>
        <w:rPr>
          <w:b/>
          <w:bCs/>
        </w:rPr>
        <w:t xml:space="preserve">Operational Impact</w:t>
      </w:r>
      <w:r>
        <w:t xml:space="preserve"> </w:t>
      </w:r>
      <w:r>
        <w:t xml:space="preserve">- Predictive capacity and staffing planning</w:t>
      </w:r>
      <w:r>
        <w:t xml:space="preserve"> </w:t>
      </w:r>
      <w:r>
        <w:t xml:space="preserve">- Early‑warning dashboards for proactive response</w:t>
      </w:r>
      <w:r>
        <w:t xml:space="preserve"> </w:t>
      </w:r>
      <w:r>
        <w:t xml:space="preserve">- Targeted deployment of mobile units and infrastructure</w:t>
      </w:r>
    </w:p>
    <w:p>
      <w:pPr>
        <w:pStyle w:val="BodyText"/>
      </w:pPr>
      <w:r>
        <w:rPr>
          <w:b/>
          <w:bCs/>
        </w:rPr>
        <w:t xml:space="preserve">Policy Impact</w:t>
      </w:r>
      <w:r>
        <w:t xml:space="preserve"> </w:t>
      </w:r>
      <w:r>
        <w:t xml:space="preserve">- Shift from reactive to preventive administration</w:t>
      </w:r>
      <w:r>
        <w:t xml:space="preserve"> </w:t>
      </w:r>
      <w:r>
        <w:t xml:space="preserve">- Evidence‑based district tiering</w:t>
      </w:r>
      <w:r>
        <w:t xml:space="preserve"> </w:t>
      </w:r>
      <w:r>
        <w:t xml:space="preserve">- Reduced exclusion, disruption, and authentication failure risk</w:t>
      </w:r>
    </w:p>
    <w:p>
      <w:r>
        <w:pict>
          <v:rect style="width:0;height:1.5pt" o:hralign="center" o:hrstd="t" o:hr="t"/>
        </w:pict>
      </w:r>
    </w:p>
    <w:bookmarkEnd w:id="40"/>
    <w:bookmarkStart w:id="41" w:name="project-status"/>
    <w:p>
      <w:pPr>
        <w:pStyle w:val="Heading2"/>
      </w:pPr>
      <w:r>
        <w:t xml:space="preserve">12. Project Status</w:t>
      </w:r>
    </w:p>
    <w:p>
      <w:pPr>
        <w:pStyle w:val="Compact"/>
        <w:numPr>
          <w:ilvl w:val="0"/>
          <w:numId w:val="1005"/>
        </w:numPr>
      </w:pPr>
      <w:r>
        <w:t xml:space="preserve">Data cleaning and standardisation completed</w:t>
      </w:r>
    </w:p>
    <w:p>
      <w:pPr>
        <w:pStyle w:val="Compact"/>
        <w:numPr>
          <w:ilvl w:val="0"/>
          <w:numId w:val="1005"/>
        </w:numPr>
      </w:pPr>
      <w:r>
        <w:t xml:space="preserve">Advanced metrics and indices derived</w:t>
      </w:r>
    </w:p>
    <w:p>
      <w:pPr>
        <w:pStyle w:val="Compact"/>
        <w:numPr>
          <w:ilvl w:val="0"/>
          <w:numId w:val="1005"/>
        </w:numPr>
      </w:pPr>
      <w:r>
        <w:t xml:space="preserve">Early‑warning signals generated</w:t>
      </w:r>
    </w:p>
    <w:p>
      <w:pPr>
        <w:pStyle w:val="Compact"/>
        <w:numPr>
          <w:ilvl w:val="0"/>
          <w:numId w:val="1005"/>
        </w:numPr>
      </w:pPr>
      <w:r>
        <w:t xml:space="preserve">Lifecycle scoring implemented</w:t>
      </w:r>
    </w:p>
    <w:p>
      <w:pPr>
        <w:pStyle w:val="Compact"/>
        <w:numPr>
          <w:ilvl w:val="0"/>
          <w:numId w:val="1005"/>
        </w:numPr>
      </w:pPr>
      <w:r>
        <w:t xml:space="preserve">Dashboard‑ready outputs available</w:t>
      </w:r>
    </w:p>
    <w:p>
      <w:pPr>
        <w:pStyle w:val="FirstParagraph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auditable, reproducible, scalable, and policy‑aligned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This project demonstrates that UIDAI already possesses the data required to anticipate systemic risk. What was missing was</w:t>
      </w:r>
      <w:r>
        <w:t xml:space="preserve"> </w:t>
      </w:r>
      <w:r>
        <w:rPr>
          <w:b/>
          <w:bCs/>
        </w:rPr>
        <w:t xml:space="preserve">lifecycle integration and forward‑looking interpretation</w:t>
      </w:r>
      <w:r>
        <w:t xml:space="preserve">.</w:t>
      </w:r>
    </w:p>
    <w:p>
      <w:pPr>
        <w:pStyle w:val="BodyText"/>
      </w:pPr>
      <w:r>
        <w:t xml:space="preserve">By adopting this framework, UIDAI can manage Aadhaar not merely as a database, but as a</w:t>
      </w:r>
      <w:r>
        <w:t xml:space="preserve"> </w:t>
      </w:r>
      <w:r>
        <w:rPr>
          <w:b/>
          <w:bCs/>
        </w:rPr>
        <w:t xml:space="preserve">healthy, evolving national identity system</w:t>
      </w:r>
      <w:r>
        <w:t xml:space="preserve">—one that remains reliable, inclusive, and resilient over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2"/>
    <w:bookmarkEnd w:id="43"/>
    <w:p>
      <w:pPr>
        <w:pStyle w:val="Heading1"/>
      </w:pPr>
      <w:r>
        <w:t>Appendix A: Metric Interpretation, Legends &amp; Dashboard Tooltips</w:t>
      </w:r>
    </w:p>
    <w:p>
      <w:r>
        <w:br/>
        <w:t xml:space="preserve">This appendix documents the final derived district-level metrics included in the Aadhaar Lifecycle Risk &amp; Intervention Dashboard. </w:t>
        <w:br/>
        <w:t>Each metric is designed to support policy interpretation, operational prioritisation, and preventive governance.</w:t>
        <w:br/>
        <w:br/>
        <w:t>All metrics are aggregated, privacy-preserving, and computed at the State × District level.</w:t>
        <w:br/>
        <w:br/>
        <w:t>Aadhaar Lifecycle Health Score (ALHS):</w:t>
        <w:br/>
        <w:t>A composite lifecycle risk score integrating enrolment health, demographic stability, and biometric compliance.</w:t>
        <w:br/>
        <w:t>Higher values indicate cumulative structural risk across the Aadhaar lifecycle.</w:t>
        <w:br/>
        <w:t>Low values represent healthy lifecycle behaviour.</w:t>
        <w:br/>
        <w:br/>
        <w:t>Early-Life Capture Deficit (ELCD):</w:t>
        <w:br/>
        <w:t>Measures failure to enrol individuals early in life despite enrolment activity.</w:t>
        <w:br/>
        <w:t>High values indicate silent exclusion of newborns and children, leading to future instability.</w:t>
        <w:br/>
        <w:br/>
        <w:t>Identity Volatility Coefficient (IVC):</w:t>
        <w:br/>
        <w:t>Captures month-to-month variability in demographic update demand.</w:t>
        <w:br/>
        <w:t>High values indicate unpredictable administrative load and planning risk.</w:t>
        <w:br/>
        <w:br/>
        <w:t>Persistent Friction Density (PFD):</w:t>
        <w:br/>
        <w:t>Represents the proportion of months exhibiting high demographic stress.</w:t>
        <w:br/>
        <w:t>Values close to 1 indicate chronic administrative failure rather than seasonal fluctuation.</w:t>
        <w:br/>
        <w:br/>
        <w:t>Child Biometric Compliance Gap (CBCG):</w:t>
        <w:br/>
        <w:t>Quantifies delayed mandatory biometric updates among children.</w:t>
        <w:br/>
        <w:t>High values indicate future authentication and compliance risk.</w:t>
        <w:br/>
        <w:br/>
        <w:t>Catch-Up Shock Indicator (CSI):</w:t>
        <w:br/>
        <w:t>Binary indicator identifying sudden adult biometric surges caused by delayed compliance.</w:t>
        <w:br/>
        <w:t>A value of 1 signals imminent or ongoing overload risk.</w:t>
        <w:br/>
        <w:br/>
        <w:t>Downstream Risk Multiplier (DRM):</w:t>
        <w:br/>
        <w:t>Measures how early enrolment and demographic weaknesses amplify biometric stress downstream.</w:t>
        <w:br/>
        <w:t>High values indicate strong lifecycle propagation of risk.</w:t>
        <w:br/>
        <w:br/>
        <w:t>Future Risk Score:</w:t>
        <w:br/>
        <w:t>A forward-looking composite score predicting future deterioration of Aadhaar system health.</w:t>
        <w:br/>
        <w:t>Used for anticipatory intervention planning.</w:t>
        <w:br/>
        <w:br/>
        <w:t>Lifecycle Risk Level:</w:t>
        <w:br/>
        <w:t>Categorical classification (Healthy, Stable, Stressed, Critical) derived from composite risk scores.</w:t>
        <w:br/>
        <w:t>Supports non-technical policy interpretation.</w:t>
        <w:br/>
        <w:br/>
        <w:t>Primary Failure Domain:</w:t>
        <w:br/>
        <w:t xml:space="preserve">Identifies the dominant lifecycle stage contributing to district-level risk </w:t>
        <w:br/>
        <w:t>(Enrolment Failure, Demographic Instability, Biometric Delay).</w:t>
        <w:br/>
        <w:br/>
        <w:t>Together, these metrics enable UIDAI to detect silent exclusion, predict infrastructure overload,</w:t>
        <w:br/>
        <w:t>and apply targeted, lifecycle-appropriate interventions.</w:t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2026-01-12T19:37:21Z</dcterms:created>
  <dcterms:modified xsi:type="dcterms:W3CDTF">2026-01-12T19:37:21Z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