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Enrolment Data Cleaning &amp; Preprocessing Methodology</w:t>
      </w:r>
    </w:p>
    <w:p>
      <w:r>
        <w:t>1. Purpose of This Process</w:t>
        <w:br/>
        <w:br/>
        <w:t>The enrolment dataset provided by the Unique Identification Authority of India (UIDAI) captures Aadhaar enrolment activity across districts and age groups. While the data accurately reflects enrolment transactions, it cannot be directly used for policy analysis or governance decisions without structured cleaning, standardisation, and contextualisation.</w:t>
        <w:br/>
        <w:br/>
        <w:t>The objective of this methodology is to transform raw enrolment records into a clean, district-level analytical dataset that enables UIDAI to:</w:t>
        <w:br/>
        <w:t>- Detect delayed and late Aadhaar enrolment</w:t>
        <w:br/>
        <w:t>- Identify districts where enrolment activity is structurally weak</w:t>
        <w:br/>
        <w:t>- Detect silent exclusion masked by low but stable activity</w:t>
        <w:br/>
        <w:t>- Enable fair comparison across districts within states</w:t>
        <w:br/>
        <w:br/>
        <w:t>2. Nature of the Raw Data</w:t>
        <w:br/>
        <w:br/>
        <w:t>The enrolment dataset was received as multiple large files due to volume constraints. Each file follows an identical schema and contains aggregated, anonymised enrolment counts. No personal identifiers or Aadhaar numbers are present or used at any stage.</w:t>
        <w:br/>
        <w:br/>
        <w:t>Core fields used include date of enrolment, state, district, pincode, and age-wise enrolment counts (0–5, 5–17, and 18+ years).</w:t>
        <w:br/>
        <w:br/>
        <w:t>3. Key Design Decisions</w:t>
        <w:br/>
        <w:br/>
        <w:t>Two major design challenges were addressed during preprocessing:</w:t>
        <w:br/>
        <w:br/>
        <w:t>a) Inconsistent district naming across raw records due to spelling variations</w:t>
        <w:br/>
        <w:t>b) High-frequency daily data unsuitable for trend and policy analysis</w:t>
        <w:br/>
        <w:br/>
        <w:t>To address these challenges, the pipeline was designed with explicit geospatial consolidation and temporal aggregation steps.</w:t>
        <w:br/>
        <w:br/>
        <w:t>4. Stage 1: Geospatial Standardisation (Pincode Strategy)</w:t>
        <w:br/>
        <w:br/>
        <w:t>District names in raw government data are often inconsistently entered, leading to artificial fragmentation of records. To ensure geographic correctness, pincode-based consolidation was applied.</w:t>
        <w:br/>
        <w:br/>
        <w:t>Methodology:</w:t>
        <w:br/>
        <w:t>- Pincode values were cleaned and standardised</w:t>
        <w:br/>
        <w:t>- The first three digits of the pincode (sorting district) were extracted</w:t>
        <w:br/>
        <w:t>- For each pincode prefix, the most frequently occurring district name was selected</w:t>
        <w:br/>
        <w:t>- All spelling variants were standardised to this dominant district name</w:t>
        <w:br/>
        <w:br/>
        <w:t>This approach ensures that enrolment activity is not incorrectly split across multiple district labels.</w:t>
        <w:br/>
        <w:br/>
        <w:t>5. Stage 2: Temporal Aggregation</w:t>
        <w:br/>
        <w:br/>
        <w:t>Daily enrolment data is subject to operational noise caused by weekends, holidays, and reporting delays. Since UIDAI planning operates at monthly and quarterly horizons, daily granularity was intentionally removed.</w:t>
        <w:br/>
        <w:br/>
        <w:t>Data was aggregated to State × District × Month granularity. This enables stable trend detection while preserving geographic resolution.</w:t>
        <w:br/>
        <w:br/>
        <w:t>6. Stage 3: Activity Signal Creation</w:t>
        <w:br/>
        <w:br/>
        <w:t>To represent overall enrolment activity, age-wise enrolment counts were combined into a single activity signal:</w:t>
        <w:br/>
        <w:br/>
        <w:t>Total Enrolments = Age (0–5) + Age (5–17) + Age (18+)</w:t>
        <w:br/>
        <w:br/>
        <w:t>This metric represents the total enrolment workload handled by a district in a given month.</w:t>
        <w:br/>
        <w:br/>
        <w:t>7. Stage 4: Demographic Composition Analysis</w:t>
        <w:br/>
        <w:br/>
        <w:t>Raw totals do not reveal who is enrolling. Therefore, age-share ratios were derived to understand enrolment behaviour:</w:t>
        <w:br/>
        <w:br/>
        <w:t>- Child Share (0–5): Indicates early-life Aadhaar capture</w:t>
        <w:br/>
        <w:t>- School-age Share (5–17): Indicates institutional or school-driven enrolment</w:t>
        <w:br/>
        <w:t>- Adult Share (18+): Indicates late enrolment, migration-driven enrolment, or catch-up activity</w:t>
        <w:br/>
        <w:br/>
        <w:t>Division-by-zero scenarios were explicitly handled to avoid distortion in low-activity districts.</w:t>
        <w:br/>
        <w:br/>
        <w:t>8. Stage 5: Momentum Analysis (Growth Rate)</w:t>
        <w:br/>
        <w:br/>
        <w:t>To assess whether enrolment activity is improving or stagnating, month-over-month growth rates were computed for each district.</w:t>
        <w:br/>
        <w:br/>
        <w:t>This enables identification of:</w:t>
        <w:br/>
        <w:t>- Sustained improvement in inclusion</w:t>
        <w:br/>
        <w:t>- Flat or declining enrolment indicating possible access or awareness gaps</w:t>
        <w:br/>
        <w:br/>
        <w:t>First-month and zero-baseline cases were safely handled to avoid misleading infinite values.</w:t>
        <w:br/>
        <w:br/>
        <w:t>9. Stage 6: Benchmarking &amp; Saturation Analysis</w:t>
        <w:br/>
        <w:br/>
        <w:t>Direct comparison of enrolment volumes across districts is misleading due to population differences. To ensure fair comparison, each district was benchmarked against its own state.</w:t>
        <w:br/>
        <w:br/>
        <w:t>A District Enrolment Saturation Index was computed as:</w:t>
        <w:br/>
        <w:t>District Average Enrolments ÷ State Average Enrolments</w:t>
        <w:br/>
        <w:br/>
        <w:t>This index highlights underperforming districts and enrolment hotspots within each state.</w:t>
        <w:br/>
        <w:br/>
        <w:t>10. Stage 7: Silent Exclusion Detection</w:t>
        <w:br/>
        <w:br/>
        <w:t>The most advanced stage of the pipeline identifies districts that appear operationally quiet but are structurally underserved.</w:t>
        <w:br/>
        <w:br/>
        <w:t>A district is flagged only when all three conditions are met:</w:t>
        <w:br/>
        <w:t>- Low enrolment volume (bottom quartile)</w:t>
        <w:br/>
        <w:t>- Low variability over time (flat activity)</w:t>
        <w:br/>
        <w:t>- Low child enrolment share (weak early-life capture)</w:t>
        <w:br/>
        <w:br/>
        <w:t>This multi-condition logic prevents false positives and isolates true exclusion risk.</w:t>
        <w:br/>
        <w:br/>
        <w:t>11. Final Output</w:t>
        <w:br/>
        <w:br/>
        <w:t>The final output is a clean, district-level enrolment analytics dataset suitable for:</w:t>
        <w:br/>
        <w:t>- Lifecycle risk integration</w:t>
        <w:br/>
        <w:t>- Spatial heatmaps</w:t>
        <w:br/>
        <w:t>- District ranking and prioritisation</w:t>
        <w:br/>
        <w:br/>
        <w:t>12. Governance Relevance</w:t>
        <w:br/>
        <w:br/>
        <w:t>This enrolment preprocessing methodology ensures:</w:t>
        <w:br/>
        <w:t>- Fair and comparable district analysis</w:t>
        <w:br/>
        <w:t>- Early detection of delayed inclusion</w:t>
        <w:br/>
        <w:t>- Strong alignment with Aadhaar lifecycle governance goals</w:t>
        <w:br/>
        <w:br/>
        <w:t>13. Summary</w:t>
        <w:br/>
        <w:br/>
        <w:t>This process converts raw enrolment transaction data into a structured, interpretable foundation for lifecycle risk analysis, enabling UIDAI to detect exclusion early and intervene proactively.</w:t>
      </w:r>
    </w:p>
    <w:sectPr w:rsidR="00E014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A75BE5-9D55-4FBD-B91E-54E2CE8DD473}"/>
  </w:font>
  <w:font w:name="Cambria">
    <w:panose1 w:val="02040503050406030204"/>
    <w:charset w:val="00"/>
    <w:family w:val="roman"/>
    <w:pitch w:val="variable"/>
    <w:sig w:usb0="E00006FF" w:usb1="420024FF" w:usb2="02000000" w:usb3="00000000" w:csb0="0000019F" w:csb1="00000000"/>
    <w:embedRegular r:id="rId2" w:fontKey="{48CED5AE-BFE2-44A9-8DE0-609C324F4A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B84"/>
    <w:multiLevelType w:val="multilevel"/>
    <w:tmpl w:val="8B1AE09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DE0E00"/>
    <w:multiLevelType w:val="multilevel"/>
    <w:tmpl w:val="744AAD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A7269"/>
    <w:multiLevelType w:val="multilevel"/>
    <w:tmpl w:val="E1BC92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E25D46"/>
    <w:multiLevelType w:val="multilevel"/>
    <w:tmpl w:val="1974EA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2E6763"/>
    <w:multiLevelType w:val="multilevel"/>
    <w:tmpl w:val="16CCFB7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B4245BB"/>
    <w:multiLevelType w:val="multilevel"/>
    <w:tmpl w:val="AD52B4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C96239"/>
    <w:multiLevelType w:val="multilevel"/>
    <w:tmpl w:val="90F20E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3434EA"/>
    <w:multiLevelType w:val="multilevel"/>
    <w:tmpl w:val="870076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B6424C"/>
    <w:multiLevelType w:val="multilevel"/>
    <w:tmpl w:val="60E819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2D6D99"/>
    <w:multiLevelType w:val="multilevel"/>
    <w:tmpl w:val="CFC414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74308D"/>
    <w:multiLevelType w:val="multilevel"/>
    <w:tmpl w:val="B30EA3D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24E1898"/>
    <w:multiLevelType w:val="multilevel"/>
    <w:tmpl w:val="811477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B67D0E"/>
    <w:multiLevelType w:val="multilevel"/>
    <w:tmpl w:val="A74483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AF6CA1"/>
    <w:multiLevelType w:val="multilevel"/>
    <w:tmpl w:val="5768C3D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51926690">
    <w:abstractNumId w:val="6"/>
  </w:num>
  <w:num w:numId="2" w16cid:durableId="608128767">
    <w:abstractNumId w:val="10"/>
  </w:num>
  <w:num w:numId="3" w16cid:durableId="998658533">
    <w:abstractNumId w:val="4"/>
  </w:num>
  <w:num w:numId="4" w16cid:durableId="1155951175">
    <w:abstractNumId w:val="2"/>
  </w:num>
  <w:num w:numId="5" w16cid:durableId="1757819463">
    <w:abstractNumId w:val="5"/>
  </w:num>
  <w:num w:numId="6" w16cid:durableId="1116101502">
    <w:abstractNumId w:val="9"/>
  </w:num>
  <w:num w:numId="7" w16cid:durableId="1691906894">
    <w:abstractNumId w:val="11"/>
  </w:num>
  <w:num w:numId="8" w16cid:durableId="1931888864">
    <w:abstractNumId w:val="1"/>
  </w:num>
  <w:num w:numId="9" w16cid:durableId="1241480431">
    <w:abstractNumId w:val="0"/>
  </w:num>
  <w:num w:numId="10" w16cid:durableId="1434205307">
    <w:abstractNumId w:val="3"/>
  </w:num>
  <w:num w:numId="11" w16cid:durableId="589002949">
    <w:abstractNumId w:val="8"/>
  </w:num>
  <w:num w:numId="12" w16cid:durableId="945044190">
    <w:abstractNumId w:val="13"/>
  </w:num>
  <w:num w:numId="13" w16cid:durableId="340013312">
    <w:abstractNumId w:val="12"/>
  </w:num>
  <w:num w:numId="14" w16cid:durableId="288320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2F"/>
    <w:rsid w:val="002E2BC3"/>
    <w:rsid w:val="009A2BC5"/>
    <w:rsid w:val="00E01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E04A210"/>
  <w15:docId w15:val="{70203FC0-44AB-4EE0-BA6A-D75C81AC9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Aayush Walsangikar</cp:lastModifiedBy>
  <cp:revision>2</cp:revision>
  <dcterms:created xsi:type="dcterms:W3CDTF">2026-01-13T11:21:00Z</dcterms:created>
  <dcterms:modified xsi:type="dcterms:W3CDTF">2026-01-13T11:22:00Z</dcterms:modified>
</cp:coreProperties>
</file>