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2EABE" w14:textId="77777777" w:rsidR="00DB1E88" w:rsidRDefault="00000000">
      <w:pPr>
        <w:spacing w:after="5600"/>
      </w:pPr>
      <w:r>
        <w:rPr>
          <w:rFonts w:ascii="Arial" w:hAnsi="Arial"/>
          <w:b/>
          <w:color w:val="2C2C2C"/>
          <w:sz w:val="44"/>
        </w:rPr>
        <w:t>Deloitte</w:t>
      </w:r>
      <w:r w:rsidRPr="00CB6828">
        <w:rPr>
          <w:rFonts w:ascii="Arial" w:hAnsi="Arial"/>
          <w:b/>
          <w:color w:val="92D050"/>
          <w:sz w:val="44"/>
        </w:rPr>
        <w:t>.</w:t>
      </w:r>
    </w:p>
    <w:p w14:paraId="60A46199" w14:textId="77777777" w:rsidR="00DB1E88" w:rsidRDefault="00000000">
      <w:pPr>
        <w:spacing w:after="160"/>
      </w:pPr>
      <w:r>
        <w:rPr>
          <w:rFonts w:ascii="Arial" w:hAnsi="Arial"/>
          <w:b/>
          <w:color w:val="2C2C2C"/>
          <w:sz w:val="52"/>
        </w:rPr>
        <w:t>Omnia Specialist JET Memo Generator</w:t>
      </w:r>
    </w:p>
    <w:p w14:paraId="1D411E0D" w14:textId="77777777" w:rsidR="00DB1E88" w:rsidRDefault="00000000">
      <w:pPr>
        <w:spacing w:after="360"/>
      </w:pPr>
      <w:r>
        <w:rPr>
          <w:rFonts w:ascii="Arial" w:hAnsi="Arial"/>
          <w:b/>
          <w:color w:val="86BC25"/>
          <w:sz w:val="32"/>
        </w:rPr>
        <w:t>Operational Efficiency &amp; ROI Report</w:t>
      </w:r>
    </w:p>
    <w:p w14:paraId="662A88AD" w14:textId="77777777" w:rsidR="00DB1E88" w:rsidRDefault="00DB1E88">
      <w:pPr>
        <w:pBdr>
          <w:bottom w:val="single" w:sz="18" w:space="1" w:color="86BC25"/>
        </w:pBdr>
        <w:spacing w:after="360"/>
      </w:pPr>
    </w:p>
    <w:p w14:paraId="08CA3848" w14:textId="77777777" w:rsidR="00DB1E88" w:rsidRDefault="00000000">
      <w:pPr>
        <w:spacing w:before="240" w:after="0" w:line="288" w:lineRule="auto"/>
      </w:pPr>
      <w:r>
        <w:rPr>
          <w:rFonts w:ascii="Calibri" w:hAnsi="Calibri"/>
          <w:color w:val="63727A"/>
          <w:sz w:val="20"/>
        </w:rPr>
        <w:t>Prepared for: Partner &amp; Leadership Review</w:t>
      </w:r>
      <w:r>
        <w:rPr>
          <w:rFonts w:ascii="Calibri" w:hAnsi="Calibri"/>
          <w:color w:val="63727A"/>
          <w:sz w:val="20"/>
        </w:rPr>
        <w:br/>
        <w:t>Platform: Deloitte Audit Technology Platform</w:t>
      </w:r>
      <w:r>
        <w:rPr>
          <w:rFonts w:ascii="Calibri" w:hAnsi="Calibri"/>
          <w:color w:val="63727A"/>
          <w:sz w:val="20"/>
        </w:rPr>
        <w:br/>
        <w:t>Date: June 2026</w:t>
      </w:r>
      <w:r>
        <w:rPr>
          <w:rFonts w:ascii="Calibri" w:hAnsi="Calibri"/>
          <w:color w:val="63727A"/>
          <w:sz w:val="20"/>
        </w:rPr>
        <w:br/>
        <w:t>Classification: CONFIDENTIAL - INTERNAL USE ONLY</w:t>
      </w:r>
    </w:p>
    <w:p w14:paraId="50DDD70E" w14:textId="77777777" w:rsidR="00DB1E88" w:rsidRDefault="00000000">
      <w:r>
        <w:br w:type="page"/>
      </w:r>
    </w:p>
    <w:tbl>
      <w:tblPr>
        <w:tblW w:w="0" w:type="auto"/>
        <w:tblLook w:val="04A0" w:firstRow="1" w:lastRow="0" w:firstColumn="1" w:lastColumn="0" w:noHBand="0" w:noVBand="1"/>
      </w:tblPr>
      <w:tblGrid>
        <w:gridCol w:w="2880"/>
        <w:gridCol w:w="360"/>
        <w:gridCol w:w="2880"/>
        <w:gridCol w:w="360"/>
        <w:gridCol w:w="2880"/>
      </w:tblGrid>
      <w:tr w:rsidR="00DB1E88" w14:paraId="4FD7DE50" w14:textId="77777777">
        <w:tc>
          <w:tcPr>
            <w:tcW w:w="2880" w:type="dxa"/>
            <w:tcBorders>
              <w:left w:val="single" w:sz="36" w:space="0" w:color="86BC25"/>
            </w:tcBorders>
            <w:shd w:val="clear" w:color="auto" w:fill="F4F9EB"/>
            <w:tcMar>
              <w:top w:w="200" w:type="dxa"/>
              <w:left w:w="200" w:type="dxa"/>
              <w:bottom w:w="200" w:type="dxa"/>
              <w:right w:w="200" w:type="dxa"/>
            </w:tcMar>
          </w:tcPr>
          <w:p w14:paraId="69901710" w14:textId="77777777" w:rsidR="00DB1E88" w:rsidRDefault="00000000" w:rsidP="00CB6828">
            <w:pPr>
              <w:spacing w:after="40" w:line="240" w:lineRule="auto"/>
            </w:pPr>
            <w:r>
              <w:rPr>
                <w:rFonts w:ascii="Arial" w:hAnsi="Arial"/>
                <w:b/>
                <w:color w:val="0D2240"/>
                <w:sz w:val="44"/>
              </w:rPr>
              <w:lastRenderedPageBreak/>
              <w:t>80.3%</w:t>
            </w:r>
          </w:p>
          <w:p w14:paraId="57D1BEFE" w14:textId="77777777" w:rsidR="00DB1E88" w:rsidRDefault="00000000" w:rsidP="00CB6828">
            <w:pPr>
              <w:spacing w:after="0" w:line="240" w:lineRule="auto"/>
            </w:pPr>
            <w:r>
              <w:rPr>
                <w:rFonts w:ascii="Calibri" w:hAnsi="Calibri"/>
                <w:b/>
                <w:color w:val="63727A"/>
                <w:sz w:val="17"/>
              </w:rPr>
              <w:t>EFFORT REDUCTION</w:t>
            </w:r>
          </w:p>
          <w:p w14:paraId="2498EB9E" w14:textId="77777777" w:rsidR="00DB1E88" w:rsidRDefault="00000000" w:rsidP="00CB6828">
            <w:pPr>
              <w:spacing w:after="0" w:line="240" w:lineRule="auto"/>
            </w:pPr>
            <w:r>
              <w:rPr>
                <w:rFonts w:ascii="Calibri" w:hAnsi="Calibri"/>
                <w:color w:val="63727A"/>
                <w:sz w:val="17"/>
              </w:rPr>
              <w:t>Active Compilation Time</w:t>
            </w:r>
          </w:p>
        </w:tc>
        <w:tc>
          <w:tcPr>
            <w:tcW w:w="360" w:type="dxa"/>
            <w:tcMar>
              <w:top w:w="0" w:type="dxa"/>
              <w:left w:w="0" w:type="dxa"/>
              <w:bottom w:w="0" w:type="dxa"/>
              <w:right w:w="0" w:type="dxa"/>
            </w:tcMar>
          </w:tcPr>
          <w:p w14:paraId="1993E1F8" w14:textId="77777777" w:rsidR="00DB1E88" w:rsidRDefault="00DB1E88"/>
        </w:tc>
        <w:tc>
          <w:tcPr>
            <w:tcW w:w="2880" w:type="dxa"/>
            <w:tcBorders>
              <w:left w:val="single" w:sz="36" w:space="0" w:color="86BC25"/>
            </w:tcBorders>
            <w:shd w:val="clear" w:color="auto" w:fill="F4F9EB"/>
            <w:tcMar>
              <w:top w:w="200" w:type="dxa"/>
              <w:left w:w="200" w:type="dxa"/>
              <w:bottom w:w="200" w:type="dxa"/>
              <w:right w:w="200" w:type="dxa"/>
            </w:tcMar>
          </w:tcPr>
          <w:p w14:paraId="5950AB34" w14:textId="77777777" w:rsidR="00DB1E88" w:rsidRDefault="00000000">
            <w:pPr>
              <w:spacing w:after="40" w:line="240" w:lineRule="auto"/>
            </w:pPr>
            <w:r>
              <w:rPr>
                <w:rFonts w:ascii="Arial" w:hAnsi="Arial"/>
                <w:b/>
                <w:color w:val="0D2240"/>
                <w:sz w:val="44"/>
              </w:rPr>
              <w:t>5.07x</w:t>
            </w:r>
          </w:p>
          <w:p w14:paraId="06C4C801" w14:textId="77777777" w:rsidR="00DB1E88" w:rsidRDefault="00000000">
            <w:pPr>
              <w:spacing w:after="0" w:line="240" w:lineRule="auto"/>
            </w:pPr>
            <w:r>
              <w:rPr>
                <w:rFonts w:ascii="Calibri" w:hAnsi="Calibri"/>
                <w:b/>
                <w:color w:val="63727A"/>
                <w:sz w:val="17"/>
              </w:rPr>
              <w:t>PRODUCTIVITY MULTIPLIER</w:t>
            </w:r>
          </w:p>
          <w:p w14:paraId="4639873C" w14:textId="77777777" w:rsidR="00DB1E88" w:rsidRDefault="00000000">
            <w:pPr>
              <w:spacing w:after="0" w:line="240" w:lineRule="auto"/>
            </w:pPr>
            <w:r>
              <w:rPr>
                <w:rFonts w:ascii="Calibri" w:hAnsi="Calibri"/>
                <w:color w:val="63727A"/>
                <w:sz w:val="17"/>
              </w:rPr>
              <w:t>Memos Generated vs. Manual</w:t>
            </w:r>
          </w:p>
        </w:tc>
        <w:tc>
          <w:tcPr>
            <w:tcW w:w="360" w:type="dxa"/>
            <w:tcMar>
              <w:top w:w="0" w:type="dxa"/>
              <w:left w:w="0" w:type="dxa"/>
              <w:bottom w:w="0" w:type="dxa"/>
              <w:right w:w="0" w:type="dxa"/>
            </w:tcMar>
          </w:tcPr>
          <w:p w14:paraId="2805DD78" w14:textId="77777777" w:rsidR="00DB1E88" w:rsidRDefault="00DB1E88"/>
        </w:tc>
        <w:tc>
          <w:tcPr>
            <w:tcW w:w="2880" w:type="dxa"/>
            <w:tcBorders>
              <w:left w:val="single" w:sz="36" w:space="0" w:color="86BC25"/>
            </w:tcBorders>
            <w:shd w:val="clear" w:color="auto" w:fill="F4F9EB"/>
            <w:tcMar>
              <w:top w:w="200" w:type="dxa"/>
              <w:left w:w="200" w:type="dxa"/>
              <w:bottom w:w="200" w:type="dxa"/>
              <w:right w:w="200" w:type="dxa"/>
            </w:tcMar>
          </w:tcPr>
          <w:p w14:paraId="040E01D0" w14:textId="77777777" w:rsidR="00DB1E88" w:rsidRDefault="00000000">
            <w:pPr>
              <w:spacing w:after="40" w:line="240" w:lineRule="auto"/>
            </w:pPr>
            <w:r>
              <w:rPr>
                <w:rFonts w:ascii="Arial" w:hAnsi="Arial"/>
                <w:b/>
                <w:color w:val="0D2240"/>
                <w:sz w:val="44"/>
              </w:rPr>
              <w:t>62.3h</w:t>
            </w:r>
          </w:p>
          <w:p w14:paraId="28684B66" w14:textId="77777777" w:rsidR="00DB1E88" w:rsidRDefault="00000000">
            <w:pPr>
              <w:spacing w:after="0" w:line="240" w:lineRule="auto"/>
            </w:pPr>
            <w:r>
              <w:rPr>
                <w:rFonts w:ascii="Calibri" w:hAnsi="Calibri"/>
                <w:b/>
                <w:color w:val="63727A"/>
                <w:sz w:val="17"/>
              </w:rPr>
              <w:t>HOURS RECLAIMED</w:t>
            </w:r>
          </w:p>
          <w:p w14:paraId="442162CB" w14:textId="77777777" w:rsidR="00DB1E88" w:rsidRDefault="00000000">
            <w:pPr>
              <w:spacing w:after="0" w:line="240" w:lineRule="auto"/>
            </w:pPr>
            <w:r>
              <w:rPr>
                <w:rFonts w:ascii="Calibri" w:hAnsi="Calibri"/>
                <w:color w:val="63727A"/>
                <w:sz w:val="17"/>
              </w:rPr>
              <w:t>Per 600 Memos Baseline</w:t>
            </w:r>
          </w:p>
        </w:tc>
      </w:tr>
    </w:tbl>
    <w:p w14:paraId="2778715D" w14:textId="77777777" w:rsidR="00DB1E88" w:rsidRDefault="00DB1E88">
      <w:pPr>
        <w:spacing w:before="240" w:after="0"/>
      </w:pPr>
    </w:p>
    <w:p w14:paraId="52A1CF81" w14:textId="77777777" w:rsidR="00DB1E88" w:rsidRDefault="00000000">
      <w:pPr>
        <w:keepNext/>
        <w:pBdr>
          <w:left w:val="single" w:sz="36" w:space="8" w:color="86BC25"/>
        </w:pBdr>
        <w:spacing w:before="360" w:after="160"/>
      </w:pPr>
      <w:r>
        <w:rPr>
          <w:rFonts w:ascii="Arial" w:hAnsi="Arial"/>
          <w:b/>
          <w:color w:val="0D2240"/>
          <w:sz w:val="26"/>
        </w:rPr>
        <w:t>1. Executive Summary</w:t>
      </w:r>
    </w:p>
    <w:p w14:paraId="24A27616" w14:textId="77777777" w:rsidR="00DB1E88" w:rsidRDefault="00000000" w:rsidP="00CB6828">
      <w:pPr>
        <w:spacing w:after="240" w:line="360" w:lineRule="auto"/>
        <w:jc w:val="both"/>
      </w:pPr>
      <w:r>
        <w:rPr>
          <w:rFonts w:ascii="Calibri" w:hAnsi="Calibri"/>
          <w:color w:val="2C2C2C"/>
          <w:sz w:val="19"/>
        </w:rPr>
        <w:t>This report evaluates the operational efficiency gains and risk mitigation scores realized by adopting the automated Omnia Specialist JET Memo Generator application. By parallelizing inputs, automating source spreadsheet parsing, pre-mapping schemas, and instant output compiling, the application dramatically decreases operational overhead and formatting human-error rates. Practice-wide projections show substantial FTE capacity reclaimed and direct alignment with regulatory standards.</w:t>
      </w:r>
    </w:p>
    <w:p w14:paraId="0798E4E4" w14:textId="77777777" w:rsidR="00DB1E88" w:rsidRDefault="00000000" w:rsidP="00CB6828">
      <w:pPr>
        <w:keepNext/>
        <w:pBdr>
          <w:left w:val="single" w:sz="36" w:space="8" w:color="86BC25"/>
        </w:pBdr>
        <w:spacing w:before="360" w:after="160" w:line="360" w:lineRule="auto"/>
      </w:pPr>
      <w:r>
        <w:rPr>
          <w:rFonts w:ascii="Arial" w:hAnsi="Arial"/>
          <w:b/>
          <w:color w:val="0D2240"/>
          <w:sz w:val="26"/>
        </w:rPr>
        <w:t>2. Process Time Breakdown (Per Memo)</w:t>
      </w:r>
    </w:p>
    <w:tbl>
      <w:tblPr>
        <w:tblW w:w="0" w:type="auto"/>
        <w:jc w:val="center"/>
        <w:tblBorders>
          <w:top w:val="single" w:sz="4" w:space="0" w:color="E2E8F0"/>
          <w:bottom w:val="single" w:sz="4" w:space="0" w:color="E2E8F0"/>
          <w:insideH w:val="single" w:sz="4" w:space="0" w:color="E2E8F0"/>
        </w:tblBorders>
        <w:tblLook w:val="04A0" w:firstRow="1" w:lastRow="0" w:firstColumn="1" w:lastColumn="0" w:noHBand="0" w:noVBand="1"/>
      </w:tblPr>
      <w:tblGrid>
        <w:gridCol w:w="2592"/>
        <w:gridCol w:w="2160"/>
        <w:gridCol w:w="2160"/>
        <w:gridCol w:w="2448"/>
      </w:tblGrid>
      <w:tr w:rsidR="00DB1E88" w14:paraId="27A0FCD6" w14:textId="77777777">
        <w:trPr>
          <w:jc w:val="center"/>
        </w:trPr>
        <w:tc>
          <w:tcPr>
            <w:tcW w:w="2592" w:type="dxa"/>
            <w:shd w:val="clear" w:color="auto" w:fill="86BC25"/>
            <w:tcMar>
              <w:top w:w="160" w:type="dxa"/>
              <w:left w:w="180" w:type="dxa"/>
              <w:bottom w:w="160" w:type="dxa"/>
              <w:right w:w="180" w:type="dxa"/>
            </w:tcMar>
          </w:tcPr>
          <w:p w14:paraId="0F91A977" w14:textId="77777777" w:rsidR="00DB1E88" w:rsidRDefault="00000000">
            <w:pPr>
              <w:spacing w:after="0"/>
            </w:pPr>
            <w:r>
              <w:rPr>
                <w:rFonts w:ascii="Arial" w:hAnsi="Arial"/>
                <w:b/>
                <w:color w:val="FFFFFF"/>
                <w:sz w:val="18"/>
              </w:rPr>
              <w:t>Workflow Stage</w:t>
            </w:r>
          </w:p>
        </w:tc>
        <w:tc>
          <w:tcPr>
            <w:tcW w:w="2160" w:type="dxa"/>
            <w:shd w:val="clear" w:color="auto" w:fill="86BC25"/>
            <w:tcMar>
              <w:top w:w="160" w:type="dxa"/>
              <w:left w:w="180" w:type="dxa"/>
              <w:bottom w:w="160" w:type="dxa"/>
              <w:right w:w="180" w:type="dxa"/>
            </w:tcMar>
          </w:tcPr>
          <w:p w14:paraId="621EFB44" w14:textId="77777777" w:rsidR="00DB1E88" w:rsidRDefault="00000000">
            <w:pPr>
              <w:spacing w:after="0"/>
              <w:jc w:val="right"/>
            </w:pPr>
            <w:r>
              <w:rPr>
                <w:rFonts w:ascii="Arial" w:hAnsi="Arial"/>
                <w:b/>
                <w:color w:val="FFFFFF"/>
                <w:sz w:val="18"/>
              </w:rPr>
              <w:t>Manual Compilation Time</w:t>
            </w:r>
          </w:p>
        </w:tc>
        <w:tc>
          <w:tcPr>
            <w:tcW w:w="2160" w:type="dxa"/>
            <w:shd w:val="clear" w:color="auto" w:fill="86BC25"/>
            <w:tcMar>
              <w:top w:w="160" w:type="dxa"/>
              <w:left w:w="180" w:type="dxa"/>
              <w:bottom w:w="160" w:type="dxa"/>
              <w:right w:w="180" w:type="dxa"/>
            </w:tcMar>
          </w:tcPr>
          <w:p w14:paraId="599A5304" w14:textId="77777777" w:rsidR="00DB1E88" w:rsidRDefault="00000000">
            <w:pPr>
              <w:spacing w:after="0"/>
              <w:jc w:val="right"/>
            </w:pPr>
            <w:r>
              <w:rPr>
                <w:rFonts w:ascii="Arial" w:hAnsi="Arial"/>
                <w:b/>
                <w:color w:val="FFFFFF"/>
                <w:sz w:val="18"/>
              </w:rPr>
              <w:t>Automated App Time</w:t>
            </w:r>
          </w:p>
        </w:tc>
        <w:tc>
          <w:tcPr>
            <w:tcW w:w="2448" w:type="dxa"/>
            <w:shd w:val="clear" w:color="auto" w:fill="86BC25"/>
            <w:tcMar>
              <w:top w:w="160" w:type="dxa"/>
              <w:left w:w="180" w:type="dxa"/>
              <w:bottom w:w="160" w:type="dxa"/>
              <w:right w:w="180" w:type="dxa"/>
            </w:tcMar>
          </w:tcPr>
          <w:p w14:paraId="106FAF33" w14:textId="77777777" w:rsidR="00DB1E88" w:rsidRDefault="00000000">
            <w:pPr>
              <w:spacing w:after="0"/>
              <w:jc w:val="right"/>
            </w:pPr>
            <w:r>
              <w:rPr>
                <w:rFonts w:ascii="Arial" w:hAnsi="Arial"/>
                <w:b/>
                <w:color w:val="FFFFFF"/>
                <w:sz w:val="18"/>
              </w:rPr>
              <w:t>Net Time Saved</w:t>
            </w:r>
          </w:p>
        </w:tc>
      </w:tr>
      <w:tr w:rsidR="00DB1E88" w14:paraId="04AA74AB" w14:textId="77777777">
        <w:trPr>
          <w:jc w:val="center"/>
        </w:trPr>
        <w:tc>
          <w:tcPr>
            <w:tcW w:w="2592" w:type="dxa"/>
            <w:shd w:val="clear" w:color="auto" w:fill="FFFFFF"/>
            <w:tcMar>
              <w:top w:w="120" w:type="dxa"/>
              <w:left w:w="180" w:type="dxa"/>
              <w:bottom w:w="120" w:type="dxa"/>
              <w:right w:w="180" w:type="dxa"/>
            </w:tcMar>
            <w:vAlign w:val="center"/>
          </w:tcPr>
          <w:p w14:paraId="66107841" w14:textId="77777777" w:rsidR="00DB1E88" w:rsidRDefault="00000000">
            <w:pPr>
              <w:spacing w:after="0"/>
            </w:pPr>
            <w:r>
              <w:rPr>
                <w:rFonts w:ascii="Calibri" w:hAnsi="Calibri"/>
                <w:color w:val="2C2C2C"/>
                <w:sz w:val="17"/>
              </w:rPr>
              <w:t>Stage 1: Engagement Details</w:t>
            </w:r>
          </w:p>
        </w:tc>
        <w:tc>
          <w:tcPr>
            <w:tcW w:w="2160" w:type="dxa"/>
            <w:shd w:val="clear" w:color="auto" w:fill="FFFFFF"/>
            <w:tcMar>
              <w:top w:w="120" w:type="dxa"/>
              <w:left w:w="180" w:type="dxa"/>
              <w:bottom w:w="120" w:type="dxa"/>
              <w:right w:w="180" w:type="dxa"/>
            </w:tcMar>
            <w:vAlign w:val="center"/>
          </w:tcPr>
          <w:p w14:paraId="20E23FA4" w14:textId="77777777" w:rsidR="00DB1E88" w:rsidRDefault="00000000">
            <w:pPr>
              <w:spacing w:after="0"/>
              <w:jc w:val="right"/>
            </w:pPr>
            <w:r>
              <w:rPr>
                <w:rFonts w:ascii="Calibri" w:hAnsi="Calibri"/>
                <w:color w:val="2C2C2C"/>
                <w:sz w:val="17"/>
              </w:rPr>
              <w:t>1m 49s</w:t>
            </w:r>
          </w:p>
        </w:tc>
        <w:tc>
          <w:tcPr>
            <w:tcW w:w="2160" w:type="dxa"/>
            <w:shd w:val="clear" w:color="auto" w:fill="FFFFFF"/>
            <w:tcMar>
              <w:top w:w="120" w:type="dxa"/>
              <w:left w:w="180" w:type="dxa"/>
              <w:bottom w:w="120" w:type="dxa"/>
              <w:right w:w="180" w:type="dxa"/>
            </w:tcMar>
            <w:vAlign w:val="center"/>
          </w:tcPr>
          <w:p w14:paraId="22B02AE1" w14:textId="77777777" w:rsidR="00DB1E88" w:rsidRDefault="00000000">
            <w:pPr>
              <w:spacing w:after="0"/>
              <w:jc w:val="right"/>
            </w:pPr>
            <w:r>
              <w:rPr>
                <w:rFonts w:ascii="Calibri" w:hAnsi="Calibri"/>
                <w:color w:val="2C2C2C"/>
                <w:sz w:val="17"/>
              </w:rPr>
              <w:t>43s</w:t>
            </w:r>
          </w:p>
        </w:tc>
        <w:tc>
          <w:tcPr>
            <w:tcW w:w="2448" w:type="dxa"/>
            <w:shd w:val="clear" w:color="auto" w:fill="FFFFFF"/>
            <w:tcMar>
              <w:top w:w="120" w:type="dxa"/>
              <w:left w:w="180" w:type="dxa"/>
              <w:bottom w:w="120" w:type="dxa"/>
              <w:right w:w="180" w:type="dxa"/>
            </w:tcMar>
            <w:vAlign w:val="center"/>
          </w:tcPr>
          <w:p w14:paraId="5B69CB55" w14:textId="77777777" w:rsidR="00DB1E88" w:rsidRDefault="00000000">
            <w:pPr>
              <w:spacing w:after="0"/>
              <w:jc w:val="right"/>
            </w:pPr>
            <w:r>
              <w:rPr>
                <w:rFonts w:ascii="Calibri" w:hAnsi="Calibri"/>
                <w:color w:val="2C2C2C"/>
                <w:sz w:val="17"/>
              </w:rPr>
              <w:t>1m 06s (60.6%)</w:t>
            </w:r>
          </w:p>
        </w:tc>
      </w:tr>
      <w:tr w:rsidR="00DB1E88" w14:paraId="0E0A60B6" w14:textId="77777777">
        <w:trPr>
          <w:jc w:val="center"/>
        </w:trPr>
        <w:tc>
          <w:tcPr>
            <w:tcW w:w="2592" w:type="dxa"/>
            <w:shd w:val="clear" w:color="auto" w:fill="F9FBF7"/>
            <w:tcMar>
              <w:top w:w="120" w:type="dxa"/>
              <w:left w:w="180" w:type="dxa"/>
              <w:bottom w:w="120" w:type="dxa"/>
              <w:right w:w="180" w:type="dxa"/>
            </w:tcMar>
            <w:vAlign w:val="center"/>
          </w:tcPr>
          <w:p w14:paraId="1A4A701B" w14:textId="77777777" w:rsidR="00DB1E88" w:rsidRDefault="00000000">
            <w:pPr>
              <w:spacing w:after="0"/>
            </w:pPr>
            <w:r>
              <w:rPr>
                <w:rFonts w:ascii="Calibri" w:hAnsi="Calibri"/>
                <w:color w:val="2C2C2C"/>
                <w:sz w:val="17"/>
              </w:rPr>
              <w:t>Stage 2: File Validations</w:t>
            </w:r>
          </w:p>
        </w:tc>
        <w:tc>
          <w:tcPr>
            <w:tcW w:w="2160" w:type="dxa"/>
            <w:shd w:val="clear" w:color="auto" w:fill="F9FBF7"/>
            <w:tcMar>
              <w:top w:w="120" w:type="dxa"/>
              <w:left w:w="180" w:type="dxa"/>
              <w:bottom w:w="120" w:type="dxa"/>
              <w:right w:w="180" w:type="dxa"/>
            </w:tcMar>
            <w:vAlign w:val="center"/>
          </w:tcPr>
          <w:p w14:paraId="34BB8730" w14:textId="77777777" w:rsidR="00DB1E88" w:rsidRDefault="00000000">
            <w:pPr>
              <w:spacing w:after="0"/>
              <w:jc w:val="right"/>
            </w:pPr>
            <w:r>
              <w:rPr>
                <w:rFonts w:ascii="Calibri" w:hAnsi="Calibri"/>
                <w:color w:val="2C2C2C"/>
                <w:sz w:val="17"/>
              </w:rPr>
              <w:t>1m 02s</w:t>
            </w:r>
          </w:p>
        </w:tc>
        <w:tc>
          <w:tcPr>
            <w:tcW w:w="2160" w:type="dxa"/>
            <w:shd w:val="clear" w:color="auto" w:fill="F9FBF7"/>
            <w:tcMar>
              <w:top w:w="120" w:type="dxa"/>
              <w:left w:w="180" w:type="dxa"/>
              <w:bottom w:w="120" w:type="dxa"/>
              <w:right w:w="180" w:type="dxa"/>
            </w:tcMar>
            <w:vAlign w:val="center"/>
          </w:tcPr>
          <w:p w14:paraId="193E0BF0" w14:textId="77777777" w:rsidR="00DB1E88" w:rsidRDefault="00000000">
            <w:pPr>
              <w:spacing w:after="0"/>
              <w:jc w:val="right"/>
            </w:pPr>
            <w:r>
              <w:rPr>
                <w:rFonts w:ascii="Calibri" w:hAnsi="Calibri"/>
                <w:color w:val="2C2C2C"/>
                <w:sz w:val="17"/>
              </w:rPr>
              <w:t>20s</w:t>
            </w:r>
          </w:p>
        </w:tc>
        <w:tc>
          <w:tcPr>
            <w:tcW w:w="2448" w:type="dxa"/>
            <w:shd w:val="clear" w:color="auto" w:fill="F9FBF7"/>
            <w:tcMar>
              <w:top w:w="120" w:type="dxa"/>
              <w:left w:w="180" w:type="dxa"/>
              <w:bottom w:w="120" w:type="dxa"/>
              <w:right w:w="180" w:type="dxa"/>
            </w:tcMar>
            <w:vAlign w:val="center"/>
          </w:tcPr>
          <w:p w14:paraId="7C5CC54F" w14:textId="77777777" w:rsidR="00DB1E88" w:rsidRDefault="00000000">
            <w:pPr>
              <w:spacing w:after="0"/>
              <w:jc w:val="right"/>
            </w:pPr>
            <w:r>
              <w:rPr>
                <w:rFonts w:ascii="Calibri" w:hAnsi="Calibri"/>
                <w:color w:val="2C2C2C"/>
                <w:sz w:val="17"/>
              </w:rPr>
              <w:t>42s (67.7%)</w:t>
            </w:r>
          </w:p>
        </w:tc>
      </w:tr>
      <w:tr w:rsidR="00DB1E88" w14:paraId="27958A36" w14:textId="77777777">
        <w:trPr>
          <w:jc w:val="center"/>
        </w:trPr>
        <w:tc>
          <w:tcPr>
            <w:tcW w:w="2592" w:type="dxa"/>
            <w:shd w:val="clear" w:color="auto" w:fill="FFFFFF"/>
            <w:tcMar>
              <w:top w:w="120" w:type="dxa"/>
              <w:left w:w="180" w:type="dxa"/>
              <w:bottom w:w="120" w:type="dxa"/>
              <w:right w:w="180" w:type="dxa"/>
            </w:tcMar>
            <w:vAlign w:val="center"/>
          </w:tcPr>
          <w:p w14:paraId="3F2CE715" w14:textId="77777777" w:rsidR="00DB1E88" w:rsidRDefault="00000000">
            <w:pPr>
              <w:spacing w:after="0"/>
            </w:pPr>
            <w:r>
              <w:rPr>
                <w:rFonts w:ascii="Calibri" w:hAnsi="Calibri"/>
                <w:color w:val="2C2C2C"/>
                <w:sz w:val="17"/>
              </w:rPr>
              <w:t>Stage 3: Column Mapping</w:t>
            </w:r>
          </w:p>
        </w:tc>
        <w:tc>
          <w:tcPr>
            <w:tcW w:w="2160" w:type="dxa"/>
            <w:shd w:val="clear" w:color="auto" w:fill="FFFFFF"/>
            <w:tcMar>
              <w:top w:w="120" w:type="dxa"/>
              <w:left w:w="180" w:type="dxa"/>
              <w:bottom w:w="120" w:type="dxa"/>
              <w:right w:w="180" w:type="dxa"/>
            </w:tcMar>
            <w:vAlign w:val="center"/>
          </w:tcPr>
          <w:p w14:paraId="38A9D69D" w14:textId="77777777" w:rsidR="00DB1E88" w:rsidRDefault="00000000">
            <w:pPr>
              <w:spacing w:after="0"/>
              <w:jc w:val="right"/>
            </w:pPr>
            <w:r>
              <w:rPr>
                <w:rFonts w:ascii="Calibri" w:hAnsi="Calibri"/>
                <w:color w:val="2C2C2C"/>
                <w:sz w:val="17"/>
              </w:rPr>
              <w:t>2m 23s</w:t>
            </w:r>
          </w:p>
        </w:tc>
        <w:tc>
          <w:tcPr>
            <w:tcW w:w="2160" w:type="dxa"/>
            <w:shd w:val="clear" w:color="auto" w:fill="FFFFFF"/>
            <w:tcMar>
              <w:top w:w="120" w:type="dxa"/>
              <w:left w:w="180" w:type="dxa"/>
              <w:bottom w:w="120" w:type="dxa"/>
              <w:right w:w="180" w:type="dxa"/>
            </w:tcMar>
            <w:vAlign w:val="center"/>
          </w:tcPr>
          <w:p w14:paraId="669B1189" w14:textId="77777777" w:rsidR="00DB1E88" w:rsidRDefault="00000000">
            <w:pPr>
              <w:spacing w:after="0"/>
              <w:jc w:val="right"/>
            </w:pPr>
            <w:r>
              <w:rPr>
                <w:rFonts w:ascii="Calibri" w:hAnsi="Calibri"/>
                <w:color w:val="2C2C2C"/>
                <w:sz w:val="17"/>
              </w:rPr>
              <w:t>09s</w:t>
            </w:r>
          </w:p>
        </w:tc>
        <w:tc>
          <w:tcPr>
            <w:tcW w:w="2448" w:type="dxa"/>
            <w:shd w:val="clear" w:color="auto" w:fill="FFFFFF"/>
            <w:tcMar>
              <w:top w:w="120" w:type="dxa"/>
              <w:left w:w="180" w:type="dxa"/>
              <w:bottom w:w="120" w:type="dxa"/>
              <w:right w:w="180" w:type="dxa"/>
            </w:tcMar>
            <w:vAlign w:val="center"/>
          </w:tcPr>
          <w:p w14:paraId="65FCA011" w14:textId="77777777" w:rsidR="00DB1E88" w:rsidRDefault="00000000">
            <w:pPr>
              <w:spacing w:after="0"/>
              <w:jc w:val="right"/>
            </w:pPr>
            <w:r>
              <w:rPr>
                <w:rFonts w:ascii="Calibri" w:hAnsi="Calibri"/>
                <w:color w:val="2C2C2C"/>
                <w:sz w:val="17"/>
              </w:rPr>
              <w:t>2m 14s (93.7%)</w:t>
            </w:r>
          </w:p>
        </w:tc>
      </w:tr>
      <w:tr w:rsidR="00DB1E88" w14:paraId="424A9978" w14:textId="77777777">
        <w:trPr>
          <w:jc w:val="center"/>
        </w:trPr>
        <w:tc>
          <w:tcPr>
            <w:tcW w:w="2592" w:type="dxa"/>
            <w:shd w:val="clear" w:color="auto" w:fill="F9FBF7"/>
            <w:tcMar>
              <w:top w:w="120" w:type="dxa"/>
              <w:left w:w="180" w:type="dxa"/>
              <w:bottom w:w="120" w:type="dxa"/>
              <w:right w:w="180" w:type="dxa"/>
            </w:tcMar>
            <w:vAlign w:val="center"/>
          </w:tcPr>
          <w:p w14:paraId="2EE411E2" w14:textId="77777777" w:rsidR="00DB1E88" w:rsidRDefault="00000000">
            <w:pPr>
              <w:spacing w:after="0"/>
            </w:pPr>
            <w:r>
              <w:rPr>
                <w:rFonts w:ascii="Calibri" w:hAnsi="Calibri"/>
                <w:color w:val="2C2C2C"/>
                <w:sz w:val="17"/>
              </w:rPr>
              <w:t>Stage 4: Exception Classification</w:t>
            </w:r>
          </w:p>
        </w:tc>
        <w:tc>
          <w:tcPr>
            <w:tcW w:w="2160" w:type="dxa"/>
            <w:shd w:val="clear" w:color="auto" w:fill="F9FBF7"/>
            <w:tcMar>
              <w:top w:w="120" w:type="dxa"/>
              <w:left w:w="180" w:type="dxa"/>
              <w:bottom w:w="120" w:type="dxa"/>
              <w:right w:w="180" w:type="dxa"/>
            </w:tcMar>
            <w:vAlign w:val="center"/>
          </w:tcPr>
          <w:p w14:paraId="7E8EE3E3" w14:textId="77777777" w:rsidR="00DB1E88" w:rsidRDefault="00000000">
            <w:pPr>
              <w:spacing w:after="0"/>
              <w:jc w:val="right"/>
            </w:pPr>
            <w:r>
              <w:rPr>
                <w:rFonts w:ascii="Calibri" w:hAnsi="Calibri"/>
                <w:color w:val="2C2C2C"/>
                <w:sz w:val="17"/>
              </w:rPr>
              <w:t>1m 32s</w:t>
            </w:r>
          </w:p>
        </w:tc>
        <w:tc>
          <w:tcPr>
            <w:tcW w:w="2160" w:type="dxa"/>
            <w:shd w:val="clear" w:color="auto" w:fill="F9FBF7"/>
            <w:tcMar>
              <w:top w:w="120" w:type="dxa"/>
              <w:left w:w="180" w:type="dxa"/>
              <w:bottom w:w="120" w:type="dxa"/>
              <w:right w:w="180" w:type="dxa"/>
            </w:tcMar>
            <w:vAlign w:val="center"/>
          </w:tcPr>
          <w:p w14:paraId="4AC98508" w14:textId="77777777" w:rsidR="00DB1E88" w:rsidRDefault="00000000">
            <w:pPr>
              <w:spacing w:after="0"/>
              <w:jc w:val="right"/>
            </w:pPr>
            <w:r>
              <w:rPr>
                <w:rFonts w:ascii="Calibri" w:hAnsi="Calibri"/>
                <w:color w:val="2C2C2C"/>
                <w:sz w:val="17"/>
              </w:rPr>
              <w:t>15s</w:t>
            </w:r>
          </w:p>
        </w:tc>
        <w:tc>
          <w:tcPr>
            <w:tcW w:w="2448" w:type="dxa"/>
            <w:shd w:val="clear" w:color="auto" w:fill="F9FBF7"/>
            <w:tcMar>
              <w:top w:w="120" w:type="dxa"/>
              <w:left w:w="180" w:type="dxa"/>
              <w:bottom w:w="120" w:type="dxa"/>
              <w:right w:w="180" w:type="dxa"/>
            </w:tcMar>
            <w:vAlign w:val="center"/>
          </w:tcPr>
          <w:p w14:paraId="300170A1" w14:textId="77777777" w:rsidR="00DB1E88" w:rsidRDefault="00000000">
            <w:pPr>
              <w:spacing w:after="0"/>
              <w:jc w:val="right"/>
            </w:pPr>
            <w:r>
              <w:rPr>
                <w:rFonts w:ascii="Calibri" w:hAnsi="Calibri"/>
                <w:color w:val="2C2C2C"/>
                <w:sz w:val="17"/>
              </w:rPr>
              <w:t>1m 17s (83.7%)</w:t>
            </w:r>
          </w:p>
        </w:tc>
      </w:tr>
      <w:tr w:rsidR="00DB1E88" w14:paraId="08C886D3" w14:textId="77777777">
        <w:trPr>
          <w:jc w:val="center"/>
        </w:trPr>
        <w:tc>
          <w:tcPr>
            <w:tcW w:w="2592" w:type="dxa"/>
            <w:shd w:val="clear" w:color="auto" w:fill="FFFFFF"/>
            <w:tcMar>
              <w:top w:w="120" w:type="dxa"/>
              <w:left w:w="180" w:type="dxa"/>
              <w:bottom w:w="120" w:type="dxa"/>
              <w:right w:w="180" w:type="dxa"/>
            </w:tcMar>
            <w:vAlign w:val="center"/>
          </w:tcPr>
          <w:p w14:paraId="42EE6749" w14:textId="77777777" w:rsidR="00DB1E88" w:rsidRDefault="00000000">
            <w:pPr>
              <w:spacing w:after="0"/>
            </w:pPr>
            <w:r>
              <w:rPr>
                <w:rFonts w:ascii="Calibri" w:hAnsi="Calibri"/>
                <w:color w:val="2C2C2C"/>
                <w:sz w:val="17"/>
              </w:rPr>
              <w:t>Stage 5: Manual Verification</w:t>
            </w:r>
          </w:p>
        </w:tc>
        <w:tc>
          <w:tcPr>
            <w:tcW w:w="2160" w:type="dxa"/>
            <w:shd w:val="clear" w:color="auto" w:fill="FFFFFF"/>
            <w:tcMar>
              <w:top w:w="120" w:type="dxa"/>
              <w:left w:w="180" w:type="dxa"/>
              <w:bottom w:w="120" w:type="dxa"/>
              <w:right w:w="180" w:type="dxa"/>
            </w:tcMar>
            <w:vAlign w:val="center"/>
          </w:tcPr>
          <w:p w14:paraId="4EFD3B6D" w14:textId="77777777" w:rsidR="00DB1E88" w:rsidRDefault="00000000">
            <w:pPr>
              <w:spacing w:after="0"/>
              <w:jc w:val="right"/>
            </w:pPr>
            <w:r>
              <w:rPr>
                <w:rFonts w:ascii="Calibri" w:hAnsi="Calibri"/>
                <w:color w:val="2C2C2C"/>
                <w:sz w:val="17"/>
              </w:rPr>
              <w:t>1m 00s</w:t>
            </w:r>
          </w:p>
        </w:tc>
        <w:tc>
          <w:tcPr>
            <w:tcW w:w="2160" w:type="dxa"/>
            <w:shd w:val="clear" w:color="auto" w:fill="FFFFFF"/>
            <w:tcMar>
              <w:top w:w="120" w:type="dxa"/>
              <w:left w:w="180" w:type="dxa"/>
              <w:bottom w:w="120" w:type="dxa"/>
              <w:right w:w="180" w:type="dxa"/>
            </w:tcMar>
            <w:vAlign w:val="center"/>
          </w:tcPr>
          <w:p w14:paraId="63DDB19E" w14:textId="77777777" w:rsidR="00DB1E88" w:rsidRDefault="00000000">
            <w:pPr>
              <w:spacing w:after="0"/>
              <w:jc w:val="right"/>
            </w:pPr>
            <w:r>
              <w:rPr>
                <w:rFonts w:ascii="Calibri" w:hAnsi="Calibri"/>
                <w:color w:val="2C2C2C"/>
                <w:sz w:val="17"/>
              </w:rPr>
              <w:t>05s</w:t>
            </w:r>
          </w:p>
        </w:tc>
        <w:tc>
          <w:tcPr>
            <w:tcW w:w="2448" w:type="dxa"/>
            <w:shd w:val="clear" w:color="auto" w:fill="FFFFFF"/>
            <w:tcMar>
              <w:top w:w="120" w:type="dxa"/>
              <w:left w:w="180" w:type="dxa"/>
              <w:bottom w:w="120" w:type="dxa"/>
              <w:right w:w="180" w:type="dxa"/>
            </w:tcMar>
            <w:vAlign w:val="center"/>
          </w:tcPr>
          <w:p w14:paraId="4AF3DF40" w14:textId="77777777" w:rsidR="00DB1E88" w:rsidRDefault="00000000">
            <w:pPr>
              <w:spacing w:after="0"/>
              <w:jc w:val="right"/>
            </w:pPr>
            <w:r>
              <w:rPr>
                <w:rFonts w:ascii="Calibri" w:hAnsi="Calibri"/>
                <w:color w:val="2C2C2C"/>
                <w:sz w:val="17"/>
              </w:rPr>
              <w:t>55s (91.7%)</w:t>
            </w:r>
          </w:p>
        </w:tc>
      </w:tr>
      <w:tr w:rsidR="00DB1E88" w14:paraId="26B568A7" w14:textId="77777777">
        <w:trPr>
          <w:jc w:val="center"/>
        </w:trPr>
        <w:tc>
          <w:tcPr>
            <w:tcW w:w="2592" w:type="dxa"/>
            <w:shd w:val="clear" w:color="auto" w:fill="F1F8E9"/>
            <w:tcMar>
              <w:top w:w="120" w:type="dxa"/>
              <w:left w:w="180" w:type="dxa"/>
              <w:bottom w:w="120" w:type="dxa"/>
              <w:right w:w="180" w:type="dxa"/>
            </w:tcMar>
            <w:vAlign w:val="center"/>
          </w:tcPr>
          <w:p w14:paraId="0FE907B3" w14:textId="77777777" w:rsidR="00DB1E88" w:rsidRDefault="00000000">
            <w:pPr>
              <w:spacing w:after="0"/>
            </w:pPr>
            <w:r>
              <w:rPr>
                <w:rFonts w:ascii="Arial" w:hAnsi="Arial"/>
                <w:b/>
                <w:color w:val="2C2C2C"/>
                <w:sz w:val="17"/>
              </w:rPr>
              <w:t>Total (Active Compilation)</w:t>
            </w:r>
          </w:p>
        </w:tc>
        <w:tc>
          <w:tcPr>
            <w:tcW w:w="2160" w:type="dxa"/>
            <w:shd w:val="clear" w:color="auto" w:fill="F1F8E9"/>
            <w:tcMar>
              <w:top w:w="120" w:type="dxa"/>
              <w:left w:w="180" w:type="dxa"/>
              <w:bottom w:w="120" w:type="dxa"/>
              <w:right w:w="180" w:type="dxa"/>
            </w:tcMar>
            <w:vAlign w:val="center"/>
          </w:tcPr>
          <w:p w14:paraId="79D91698" w14:textId="77777777" w:rsidR="00DB1E88" w:rsidRDefault="00000000">
            <w:pPr>
              <w:spacing w:after="0"/>
              <w:jc w:val="right"/>
            </w:pPr>
            <w:r>
              <w:rPr>
                <w:rFonts w:ascii="Arial" w:hAnsi="Arial"/>
                <w:b/>
                <w:color w:val="2C2C2C"/>
                <w:sz w:val="17"/>
              </w:rPr>
              <w:t>7m 46s (466s)</w:t>
            </w:r>
          </w:p>
        </w:tc>
        <w:tc>
          <w:tcPr>
            <w:tcW w:w="2160" w:type="dxa"/>
            <w:shd w:val="clear" w:color="auto" w:fill="F1F8E9"/>
            <w:tcMar>
              <w:top w:w="120" w:type="dxa"/>
              <w:left w:w="180" w:type="dxa"/>
              <w:bottom w:w="120" w:type="dxa"/>
              <w:right w:w="180" w:type="dxa"/>
            </w:tcMar>
            <w:vAlign w:val="center"/>
          </w:tcPr>
          <w:p w14:paraId="1844CABE" w14:textId="77777777" w:rsidR="00DB1E88" w:rsidRDefault="00000000">
            <w:pPr>
              <w:spacing w:after="0"/>
              <w:jc w:val="right"/>
            </w:pPr>
            <w:r>
              <w:rPr>
                <w:rFonts w:ascii="Arial" w:hAnsi="Arial"/>
                <w:b/>
                <w:color w:val="2C2C2C"/>
                <w:sz w:val="17"/>
              </w:rPr>
              <w:t>1m 32s (92s)</w:t>
            </w:r>
          </w:p>
        </w:tc>
        <w:tc>
          <w:tcPr>
            <w:tcW w:w="2448" w:type="dxa"/>
            <w:shd w:val="clear" w:color="auto" w:fill="F1F8E9"/>
            <w:tcMar>
              <w:top w:w="120" w:type="dxa"/>
              <w:left w:w="180" w:type="dxa"/>
              <w:bottom w:w="120" w:type="dxa"/>
              <w:right w:w="180" w:type="dxa"/>
            </w:tcMar>
            <w:vAlign w:val="center"/>
          </w:tcPr>
          <w:p w14:paraId="2222A8E0" w14:textId="77777777" w:rsidR="00DB1E88" w:rsidRDefault="00000000">
            <w:pPr>
              <w:spacing w:after="0"/>
              <w:jc w:val="right"/>
            </w:pPr>
            <w:r>
              <w:rPr>
                <w:rFonts w:ascii="Arial" w:hAnsi="Arial"/>
                <w:b/>
                <w:color w:val="2C2C2C"/>
                <w:sz w:val="17"/>
              </w:rPr>
              <w:t>6m 14s (80.3%)</w:t>
            </w:r>
          </w:p>
        </w:tc>
      </w:tr>
    </w:tbl>
    <w:p w14:paraId="187C88E4" w14:textId="77777777" w:rsidR="00DB1E88" w:rsidRDefault="00000000">
      <w:pPr>
        <w:spacing w:before="360" w:after="120"/>
        <w:jc w:val="center"/>
      </w:pPr>
      <w:r>
        <w:rPr>
          <w:rFonts w:ascii="Arial" w:hAnsi="Arial"/>
          <w:b/>
          <w:color w:val="86BC25"/>
          <w:sz w:val="20"/>
        </w:rPr>
        <w:t>Figure 1: Time Comparison by Stage (Manual vs. Automated)</w:t>
      </w:r>
    </w:p>
    <w:p w14:paraId="7C9C4B78" w14:textId="77777777" w:rsidR="00DB1E88" w:rsidRDefault="00000000">
      <w:pPr>
        <w:spacing w:after="360"/>
        <w:jc w:val="center"/>
      </w:pPr>
      <w:r>
        <w:rPr>
          <w:noProof/>
        </w:rPr>
        <w:lastRenderedPageBreak/>
        <w:drawing>
          <wp:inline distT="0" distB="0" distL="0" distR="0" wp14:anchorId="11C54BC6" wp14:editId="58F89AF5">
            <wp:extent cx="5669280" cy="2802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comparison_chart.png"/>
                    <pic:cNvPicPr/>
                  </pic:nvPicPr>
                  <pic:blipFill>
                    <a:blip r:embed="rId6"/>
                    <a:stretch>
                      <a:fillRect/>
                    </a:stretch>
                  </pic:blipFill>
                  <pic:spPr>
                    <a:xfrm>
                      <a:off x="0" y="0"/>
                      <a:ext cx="5669280" cy="2802790"/>
                    </a:xfrm>
                    <a:prstGeom prst="rect">
                      <a:avLst/>
                    </a:prstGeom>
                  </pic:spPr>
                </pic:pic>
              </a:graphicData>
            </a:graphic>
          </wp:inline>
        </w:drawing>
      </w:r>
    </w:p>
    <w:p w14:paraId="13084716" w14:textId="77777777" w:rsidR="00DB1E88" w:rsidRDefault="00000000">
      <w:pPr>
        <w:keepNext/>
        <w:pBdr>
          <w:left w:val="single" w:sz="36" w:space="8" w:color="86BC25"/>
        </w:pBdr>
        <w:spacing w:before="360" w:after="160"/>
      </w:pPr>
      <w:r>
        <w:rPr>
          <w:rFonts w:ascii="Arial" w:hAnsi="Arial"/>
          <w:b/>
          <w:color w:val="0D2240"/>
          <w:sz w:val="26"/>
        </w:rPr>
        <w:t>3. Extrapolated Savings (600 Memo Baseline)</w:t>
      </w:r>
    </w:p>
    <w:p w14:paraId="3F9BE0A6" w14:textId="77777777" w:rsidR="00DB1E88" w:rsidRDefault="00000000">
      <w:pPr>
        <w:spacing w:after="240"/>
      </w:pPr>
      <w:r>
        <w:rPr>
          <w:rFonts w:ascii="Calibri" w:hAnsi="Calibri"/>
          <w:color w:val="2C2C2C"/>
          <w:sz w:val="19"/>
        </w:rPr>
        <w:t>Scaling the active compilation timings across an average seasonal audit load of 600 specialization memos demonstrates substantial cumulative efficiency improvements:</w:t>
      </w:r>
    </w:p>
    <w:p w14:paraId="5A0608FC" w14:textId="77777777" w:rsidR="00DB1E88" w:rsidRDefault="00000000">
      <w:pPr>
        <w:pStyle w:val="ListBullet"/>
        <w:spacing w:after="80"/>
      </w:pPr>
      <w:r>
        <w:rPr>
          <w:rFonts w:ascii="Calibri" w:hAnsi="Calibri"/>
          <w:b/>
          <w:color w:val="2C2C2C"/>
          <w:sz w:val="19"/>
        </w:rPr>
        <w:t xml:space="preserve">Manual Compilation Time: </w:t>
      </w:r>
      <w:r>
        <w:rPr>
          <w:rFonts w:ascii="Calibri" w:hAnsi="Calibri"/>
          <w:color w:val="2C2C2C"/>
          <w:sz w:val="19"/>
        </w:rPr>
        <w:t>279,600 seconds | 4,660 minutes | 77.67 hours (approx. 1.94 standard 40-hour work weeks of manual typing/checking).</w:t>
      </w:r>
    </w:p>
    <w:p w14:paraId="34938CBB" w14:textId="77777777" w:rsidR="00DB1E88" w:rsidRDefault="00000000">
      <w:pPr>
        <w:pStyle w:val="ListBullet"/>
        <w:spacing w:after="80"/>
      </w:pPr>
      <w:r>
        <w:rPr>
          <w:rFonts w:ascii="Calibri" w:hAnsi="Calibri"/>
          <w:b/>
          <w:color w:val="2C2C2C"/>
          <w:sz w:val="19"/>
        </w:rPr>
        <w:t xml:space="preserve">Automated App Time: </w:t>
      </w:r>
      <w:r>
        <w:rPr>
          <w:rFonts w:ascii="Calibri" w:hAnsi="Calibri"/>
          <w:color w:val="2C2C2C"/>
          <w:sz w:val="19"/>
        </w:rPr>
        <w:t>55,200 seconds | 920 minutes | 15.33 hours (approx. 1.9 work days).</w:t>
      </w:r>
    </w:p>
    <w:p w14:paraId="1B8AABF7" w14:textId="77777777" w:rsidR="00DB1E88" w:rsidRDefault="00000000">
      <w:pPr>
        <w:pStyle w:val="ListBullet"/>
        <w:spacing w:after="80"/>
      </w:pPr>
      <w:r>
        <w:rPr>
          <w:rFonts w:ascii="Calibri" w:hAnsi="Calibri"/>
          <w:b/>
          <w:color w:val="2C2C2C"/>
          <w:sz w:val="19"/>
        </w:rPr>
        <w:t xml:space="preserve">Net Time Reclaimed: </w:t>
      </w:r>
      <w:r>
        <w:rPr>
          <w:rFonts w:ascii="Calibri" w:hAnsi="Calibri"/>
          <w:color w:val="2C2C2C"/>
          <w:sz w:val="19"/>
        </w:rPr>
        <w:t>224,400 seconds | 3,740 minutes | 62.33 hours saved per 600 memos.</w:t>
      </w:r>
    </w:p>
    <w:p w14:paraId="31F3E7E4" w14:textId="77777777" w:rsidR="00DB1E88" w:rsidRDefault="00000000">
      <w:pPr>
        <w:spacing w:before="360" w:after="120"/>
        <w:jc w:val="center"/>
      </w:pPr>
      <w:r>
        <w:rPr>
          <w:rFonts w:ascii="Arial" w:hAnsi="Arial"/>
          <w:b/>
          <w:color w:val="86BC25"/>
          <w:sz w:val="20"/>
        </w:rPr>
        <w:t>Figure 2: Cumulative Effort and Reclaimed Auditing Time</w:t>
      </w:r>
    </w:p>
    <w:p w14:paraId="7513E267" w14:textId="77777777" w:rsidR="00DB1E88" w:rsidRDefault="00000000">
      <w:pPr>
        <w:spacing w:after="480"/>
        <w:jc w:val="center"/>
      </w:pPr>
      <w:r>
        <w:rPr>
          <w:noProof/>
        </w:rPr>
        <w:drawing>
          <wp:inline distT="0" distB="0" distL="0" distR="0" wp14:anchorId="545D9367" wp14:editId="2F0C2542">
            <wp:extent cx="4158343" cy="3101137"/>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rs_comparison_chart.png"/>
                    <pic:cNvPicPr/>
                  </pic:nvPicPr>
                  <pic:blipFill>
                    <a:blip r:embed="rId7"/>
                    <a:stretch>
                      <a:fillRect/>
                    </a:stretch>
                  </pic:blipFill>
                  <pic:spPr>
                    <a:xfrm>
                      <a:off x="0" y="0"/>
                      <a:ext cx="4161520" cy="3103506"/>
                    </a:xfrm>
                    <a:prstGeom prst="rect">
                      <a:avLst/>
                    </a:prstGeom>
                  </pic:spPr>
                </pic:pic>
              </a:graphicData>
            </a:graphic>
          </wp:inline>
        </w:drawing>
      </w:r>
    </w:p>
    <w:p w14:paraId="16E17BB0" w14:textId="77777777" w:rsidR="00DB1E88" w:rsidRDefault="00000000">
      <w:pPr>
        <w:keepNext/>
        <w:pBdr>
          <w:left w:val="single" w:sz="36" w:space="8" w:color="86BC25"/>
        </w:pBdr>
        <w:spacing w:before="360" w:after="160"/>
      </w:pPr>
      <w:r>
        <w:rPr>
          <w:rFonts w:ascii="Arial" w:hAnsi="Arial"/>
          <w:b/>
          <w:color w:val="0D2240"/>
          <w:sz w:val="26"/>
        </w:rPr>
        <w:lastRenderedPageBreak/>
        <w:t>4. Workflow Process Mapping (Before vs. After)</w:t>
      </w:r>
    </w:p>
    <w:p w14:paraId="6352C290" w14:textId="77777777" w:rsidR="00DB1E88" w:rsidRDefault="00000000">
      <w:pPr>
        <w:spacing w:after="240"/>
      </w:pPr>
      <w:r>
        <w:rPr>
          <w:rFonts w:ascii="Calibri" w:hAnsi="Calibri"/>
          <w:color w:val="2C2C2C"/>
          <w:sz w:val="19"/>
        </w:rPr>
        <w:t>The following flowchart visually maps the transition from the friction-heavy manual word processing workflow to the streamlined, single-click interface of the Specialist JET application:</w:t>
      </w:r>
    </w:p>
    <w:p w14:paraId="78FEEDEB" w14:textId="77777777" w:rsidR="00DB1E88" w:rsidRDefault="00000000">
      <w:pPr>
        <w:spacing w:before="240" w:after="120"/>
        <w:jc w:val="center"/>
      </w:pPr>
      <w:r>
        <w:rPr>
          <w:rFonts w:ascii="Arial" w:hAnsi="Arial"/>
          <w:b/>
          <w:color w:val="86BC25"/>
          <w:sz w:val="20"/>
        </w:rPr>
        <w:t>Figure 3: Workflow Mapping Comparison Diagram</w:t>
      </w:r>
    </w:p>
    <w:p w14:paraId="66FA47E1" w14:textId="77777777" w:rsidR="00DB1E88" w:rsidRDefault="00000000">
      <w:pPr>
        <w:spacing w:after="480"/>
        <w:jc w:val="center"/>
      </w:pPr>
      <w:r>
        <w:rPr>
          <w:noProof/>
        </w:rPr>
        <w:drawing>
          <wp:inline distT="0" distB="0" distL="0" distR="0" wp14:anchorId="26CB2A4E" wp14:editId="5B22C6A1">
            <wp:extent cx="5486400" cy="3269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comparison.png"/>
                    <pic:cNvPicPr/>
                  </pic:nvPicPr>
                  <pic:blipFill>
                    <a:blip r:embed="rId8"/>
                    <a:stretch>
                      <a:fillRect/>
                    </a:stretch>
                  </pic:blipFill>
                  <pic:spPr>
                    <a:xfrm>
                      <a:off x="0" y="0"/>
                      <a:ext cx="5486400" cy="3269673"/>
                    </a:xfrm>
                    <a:prstGeom prst="rect">
                      <a:avLst/>
                    </a:prstGeom>
                  </pic:spPr>
                </pic:pic>
              </a:graphicData>
            </a:graphic>
          </wp:inline>
        </w:drawing>
      </w:r>
    </w:p>
    <w:p w14:paraId="2AA47827" w14:textId="77777777" w:rsidR="00DB1E88" w:rsidRDefault="00000000">
      <w:pPr>
        <w:keepNext/>
        <w:pBdr>
          <w:left w:val="single" w:sz="36" w:space="8" w:color="86BC25"/>
        </w:pBdr>
        <w:spacing w:before="360" w:after="160"/>
      </w:pPr>
      <w:r>
        <w:rPr>
          <w:rFonts w:ascii="Arial" w:hAnsi="Arial"/>
          <w:b/>
          <w:color w:val="0D2240"/>
          <w:sz w:val="26"/>
        </w:rPr>
        <w:t>5. Manual Human Error Mitigation &amp; Standardization</w:t>
      </w:r>
    </w:p>
    <w:p w14:paraId="02A23BDA" w14:textId="77777777" w:rsidR="00DB1E88" w:rsidRDefault="00000000" w:rsidP="00CB6828">
      <w:pPr>
        <w:spacing w:after="240"/>
        <w:jc w:val="both"/>
      </w:pPr>
      <w:r>
        <w:rPr>
          <w:rFonts w:ascii="Calibri" w:hAnsi="Calibri"/>
          <w:color w:val="2C2C2C"/>
          <w:sz w:val="19"/>
        </w:rPr>
        <w:t>Manual memo compilation is highly susceptible to inconsistencies that vary from auditor to auditor. The table below outlines these common manual pitfalls and how the Specialist JET application solves them to enforce organizational standardization:</w:t>
      </w:r>
    </w:p>
    <w:tbl>
      <w:tblPr>
        <w:tblW w:w="0" w:type="auto"/>
        <w:jc w:val="center"/>
        <w:tblBorders>
          <w:top w:val="single" w:sz="4" w:space="0" w:color="E2E8F0"/>
          <w:bottom w:val="single" w:sz="4" w:space="0" w:color="E2E8F0"/>
          <w:insideH w:val="single" w:sz="4" w:space="0" w:color="E2E8F0"/>
        </w:tblBorders>
        <w:tblLook w:val="04A0" w:firstRow="1" w:lastRow="0" w:firstColumn="1" w:lastColumn="0" w:noHBand="0" w:noVBand="1"/>
      </w:tblPr>
      <w:tblGrid>
        <w:gridCol w:w="2880"/>
        <w:gridCol w:w="3168"/>
        <w:gridCol w:w="3312"/>
      </w:tblGrid>
      <w:tr w:rsidR="00DB1E88" w14:paraId="228CFFE4" w14:textId="77777777">
        <w:trPr>
          <w:jc w:val="center"/>
        </w:trPr>
        <w:tc>
          <w:tcPr>
            <w:tcW w:w="2880" w:type="dxa"/>
            <w:shd w:val="clear" w:color="auto" w:fill="86BC25"/>
            <w:tcMar>
              <w:top w:w="160" w:type="dxa"/>
              <w:left w:w="180" w:type="dxa"/>
              <w:bottom w:w="160" w:type="dxa"/>
              <w:right w:w="180" w:type="dxa"/>
            </w:tcMar>
          </w:tcPr>
          <w:p w14:paraId="24DEB8D8" w14:textId="77777777" w:rsidR="00DB1E88" w:rsidRDefault="00000000">
            <w:pPr>
              <w:spacing w:after="0"/>
            </w:pPr>
            <w:r>
              <w:rPr>
                <w:rFonts w:ascii="Arial" w:hAnsi="Arial"/>
                <w:b/>
                <w:color w:val="FFFFFF"/>
                <w:sz w:val="18"/>
              </w:rPr>
              <w:t>Common Manual Pitfall (Person-to-Person)</w:t>
            </w:r>
          </w:p>
        </w:tc>
        <w:tc>
          <w:tcPr>
            <w:tcW w:w="3168" w:type="dxa"/>
            <w:shd w:val="clear" w:color="auto" w:fill="86BC25"/>
            <w:tcMar>
              <w:top w:w="160" w:type="dxa"/>
              <w:left w:w="180" w:type="dxa"/>
              <w:bottom w:w="160" w:type="dxa"/>
              <w:right w:w="180" w:type="dxa"/>
            </w:tcMar>
          </w:tcPr>
          <w:p w14:paraId="0F65F51D" w14:textId="77777777" w:rsidR="00DB1E88" w:rsidRDefault="00000000">
            <w:pPr>
              <w:spacing w:after="0"/>
            </w:pPr>
            <w:r>
              <w:rPr>
                <w:rFonts w:ascii="Arial" w:hAnsi="Arial"/>
                <w:b/>
                <w:color w:val="FFFFFF"/>
                <w:sz w:val="18"/>
              </w:rPr>
              <w:t>Downstream Quality &amp; Audit Risk</w:t>
            </w:r>
          </w:p>
        </w:tc>
        <w:tc>
          <w:tcPr>
            <w:tcW w:w="3312" w:type="dxa"/>
            <w:shd w:val="clear" w:color="auto" w:fill="86BC25"/>
            <w:tcMar>
              <w:top w:w="160" w:type="dxa"/>
              <w:left w:w="180" w:type="dxa"/>
              <w:bottom w:w="160" w:type="dxa"/>
              <w:right w:w="180" w:type="dxa"/>
            </w:tcMar>
          </w:tcPr>
          <w:p w14:paraId="55791E51" w14:textId="77777777" w:rsidR="00DB1E88" w:rsidRDefault="00000000">
            <w:pPr>
              <w:spacing w:after="0"/>
            </w:pPr>
            <w:r>
              <w:rPr>
                <w:rFonts w:ascii="Arial" w:hAnsi="Arial"/>
                <w:b/>
                <w:color w:val="FFFFFF"/>
                <w:sz w:val="18"/>
              </w:rPr>
              <w:t>Specialist JET Solution &amp; Standardization</w:t>
            </w:r>
          </w:p>
        </w:tc>
      </w:tr>
      <w:tr w:rsidR="00DB1E88" w14:paraId="534B9452" w14:textId="77777777">
        <w:trPr>
          <w:jc w:val="center"/>
        </w:trPr>
        <w:tc>
          <w:tcPr>
            <w:tcW w:w="2880" w:type="dxa"/>
            <w:shd w:val="clear" w:color="auto" w:fill="FFFFFF"/>
            <w:tcMar>
              <w:top w:w="120" w:type="dxa"/>
              <w:left w:w="180" w:type="dxa"/>
              <w:bottom w:w="120" w:type="dxa"/>
              <w:right w:w="180" w:type="dxa"/>
            </w:tcMar>
            <w:vAlign w:val="center"/>
          </w:tcPr>
          <w:p w14:paraId="164187FA" w14:textId="77777777" w:rsidR="00DB1E88" w:rsidRDefault="00000000">
            <w:pPr>
              <w:spacing w:after="0"/>
            </w:pPr>
            <w:r>
              <w:rPr>
                <w:rFonts w:ascii="Calibri" w:hAnsi="Calibri"/>
                <w:color w:val="2C2C2C"/>
                <w:sz w:val="17"/>
              </w:rPr>
              <w:t>Non-Standardized Date Formats</w:t>
            </w:r>
            <w:r>
              <w:rPr>
                <w:rFonts w:ascii="Calibri" w:hAnsi="Calibri"/>
                <w:color w:val="2C2C2C"/>
                <w:sz w:val="17"/>
              </w:rPr>
              <w:br/>
              <w:t>(e.g., MM/DD/YYYY vs. DD.MM.YY)</w:t>
            </w:r>
          </w:p>
        </w:tc>
        <w:tc>
          <w:tcPr>
            <w:tcW w:w="3168" w:type="dxa"/>
            <w:shd w:val="clear" w:color="auto" w:fill="FFFFFF"/>
            <w:tcMar>
              <w:top w:w="120" w:type="dxa"/>
              <w:left w:w="180" w:type="dxa"/>
              <w:bottom w:w="120" w:type="dxa"/>
              <w:right w:w="180" w:type="dxa"/>
            </w:tcMar>
            <w:vAlign w:val="center"/>
          </w:tcPr>
          <w:p w14:paraId="6B0A337F" w14:textId="77777777" w:rsidR="00DB1E88" w:rsidRDefault="00000000">
            <w:pPr>
              <w:spacing w:after="0"/>
            </w:pPr>
            <w:r>
              <w:rPr>
                <w:rFonts w:ascii="Calibri" w:hAnsi="Calibri"/>
                <w:color w:val="2C2C2C"/>
                <w:sz w:val="17"/>
              </w:rPr>
              <w:t>Breaks validation filters, parsing algorithms, and timeline sorting during audit trail index creation.</w:t>
            </w:r>
          </w:p>
        </w:tc>
        <w:tc>
          <w:tcPr>
            <w:tcW w:w="3312" w:type="dxa"/>
            <w:shd w:val="clear" w:color="auto" w:fill="FFFFFF"/>
            <w:tcMar>
              <w:top w:w="120" w:type="dxa"/>
              <w:left w:w="180" w:type="dxa"/>
              <w:bottom w:w="120" w:type="dxa"/>
              <w:right w:w="180" w:type="dxa"/>
            </w:tcMar>
            <w:vAlign w:val="center"/>
          </w:tcPr>
          <w:p w14:paraId="01667964" w14:textId="77777777" w:rsidR="00DB1E88" w:rsidRDefault="00000000">
            <w:pPr>
              <w:spacing w:after="0"/>
            </w:pPr>
            <w:r>
              <w:rPr>
                <w:rFonts w:ascii="Calibri" w:hAnsi="Calibri"/>
                <w:color w:val="2C2C2C"/>
                <w:sz w:val="17"/>
              </w:rPr>
              <w:t>Enforces a structured UI date picker and automatically transforms all dates to the official Deloitte format (e.g., DD-MMM-YYYY).</w:t>
            </w:r>
          </w:p>
        </w:tc>
      </w:tr>
      <w:tr w:rsidR="00DB1E88" w14:paraId="1700F0F9" w14:textId="77777777">
        <w:trPr>
          <w:jc w:val="center"/>
        </w:trPr>
        <w:tc>
          <w:tcPr>
            <w:tcW w:w="2880" w:type="dxa"/>
            <w:shd w:val="clear" w:color="auto" w:fill="F9FBF7"/>
            <w:tcMar>
              <w:top w:w="120" w:type="dxa"/>
              <w:left w:w="180" w:type="dxa"/>
              <w:bottom w:w="120" w:type="dxa"/>
              <w:right w:w="180" w:type="dxa"/>
            </w:tcMar>
            <w:vAlign w:val="center"/>
          </w:tcPr>
          <w:p w14:paraId="1585E0F7" w14:textId="77777777" w:rsidR="00DB1E88" w:rsidRDefault="00000000">
            <w:pPr>
              <w:spacing w:after="0"/>
            </w:pPr>
            <w:r>
              <w:rPr>
                <w:rFonts w:ascii="Calibri" w:hAnsi="Calibri"/>
                <w:color w:val="2C2C2C"/>
                <w:sz w:val="17"/>
              </w:rPr>
              <w:t>Inconsistent/Skipped Document File Names</w:t>
            </w:r>
            <w:r>
              <w:rPr>
                <w:rFonts w:ascii="Calibri" w:hAnsi="Calibri"/>
                <w:color w:val="2C2C2C"/>
                <w:sz w:val="17"/>
              </w:rPr>
              <w:br/>
              <w:t>(JE and Cortex files)</w:t>
            </w:r>
          </w:p>
        </w:tc>
        <w:tc>
          <w:tcPr>
            <w:tcW w:w="3168" w:type="dxa"/>
            <w:shd w:val="clear" w:color="auto" w:fill="F9FBF7"/>
            <w:tcMar>
              <w:top w:w="120" w:type="dxa"/>
              <w:left w:w="180" w:type="dxa"/>
              <w:bottom w:w="120" w:type="dxa"/>
              <w:right w:w="180" w:type="dxa"/>
            </w:tcMar>
            <w:vAlign w:val="center"/>
          </w:tcPr>
          <w:p w14:paraId="4C141422" w14:textId="77777777" w:rsidR="00DB1E88" w:rsidRDefault="00000000">
            <w:pPr>
              <w:spacing w:after="0"/>
            </w:pPr>
            <w:r>
              <w:rPr>
                <w:rFonts w:ascii="Calibri" w:hAnsi="Calibri"/>
                <w:color w:val="2C2C2C"/>
                <w:sz w:val="17"/>
              </w:rPr>
              <w:t>Causes lookup failures and breaks integrity checking scripts, resulting in manual search delays during reviewer checks.</w:t>
            </w:r>
          </w:p>
        </w:tc>
        <w:tc>
          <w:tcPr>
            <w:tcW w:w="3312" w:type="dxa"/>
            <w:shd w:val="clear" w:color="auto" w:fill="F9FBF7"/>
            <w:tcMar>
              <w:top w:w="120" w:type="dxa"/>
              <w:left w:w="180" w:type="dxa"/>
              <w:bottom w:w="120" w:type="dxa"/>
              <w:right w:w="180" w:type="dxa"/>
            </w:tcMar>
            <w:vAlign w:val="center"/>
          </w:tcPr>
          <w:p w14:paraId="3955433B" w14:textId="77777777" w:rsidR="00DB1E88" w:rsidRDefault="00000000">
            <w:pPr>
              <w:spacing w:after="0"/>
            </w:pPr>
            <w:r>
              <w:rPr>
                <w:rFonts w:ascii="Calibri" w:hAnsi="Calibri"/>
                <w:color w:val="2C2C2C"/>
                <w:sz w:val="17"/>
              </w:rPr>
              <w:t>Enforces file upload validations and automatically structures file naming syntax dynamically matching client and WBS codes.</w:t>
            </w:r>
          </w:p>
        </w:tc>
      </w:tr>
      <w:tr w:rsidR="00DB1E88" w14:paraId="00DA9618" w14:textId="77777777">
        <w:trPr>
          <w:jc w:val="center"/>
        </w:trPr>
        <w:tc>
          <w:tcPr>
            <w:tcW w:w="2880" w:type="dxa"/>
            <w:shd w:val="clear" w:color="auto" w:fill="FFFFFF"/>
            <w:tcMar>
              <w:top w:w="120" w:type="dxa"/>
              <w:left w:w="180" w:type="dxa"/>
              <w:bottom w:w="120" w:type="dxa"/>
              <w:right w:w="180" w:type="dxa"/>
            </w:tcMar>
            <w:vAlign w:val="center"/>
          </w:tcPr>
          <w:p w14:paraId="1A293F53" w14:textId="77777777" w:rsidR="00DB1E88" w:rsidRDefault="00000000">
            <w:pPr>
              <w:spacing w:after="0"/>
            </w:pPr>
            <w:r>
              <w:rPr>
                <w:rFonts w:ascii="Calibri" w:hAnsi="Calibri"/>
                <w:color w:val="2C2C2C"/>
                <w:sz w:val="17"/>
              </w:rPr>
              <w:t>Skipping Exception Detail Descriptions</w:t>
            </w:r>
            <w:r>
              <w:rPr>
                <w:rFonts w:ascii="Calibri" w:hAnsi="Calibri"/>
                <w:color w:val="2C2C2C"/>
                <w:sz w:val="17"/>
              </w:rPr>
              <w:br/>
            </w:r>
            <w:r>
              <w:rPr>
                <w:rFonts w:ascii="Calibri" w:hAnsi="Calibri"/>
                <w:color w:val="2C2C2C"/>
                <w:sz w:val="17"/>
              </w:rPr>
              <w:lastRenderedPageBreak/>
              <w:t>(Skipped by majority due to typing fatigue)</w:t>
            </w:r>
          </w:p>
        </w:tc>
        <w:tc>
          <w:tcPr>
            <w:tcW w:w="3168" w:type="dxa"/>
            <w:shd w:val="clear" w:color="auto" w:fill="FFFFFF"/>
            <w:tcMar>
              <w:top w:w="120" w:type="dxa"/>
              <w:left w:w="180" w:type="dxa"/>
              <w:bottom w:w="120" w:type="dxa"/>
              <w:right w:w="180" w:type="dxa"/>
            </w:tcMar>
            <w:vAlign w:val="center"/>
          </w:tcPr>
          <w:p w14:paraId="3B6F15D7" w14:textId="77777777" w:rsidR="00DB1E88" w:rsidRDefault="00000000">
            <w:pPr>
              <w:spacing w:after="0"/>
            </w:pPr>
            <w:r>
              <w:rPr>
                <w:rFonts w:ascii="Calibri" w:hAnsi="Calibri"/>
                <w:color w:val="2C2C2C"/>
                <w:sz w:val="17"/>
              </w:rPr>
              <w:lastRenderedPageBreak/>
              <w:t xml:space="preserve">Leads to undocumented anomalies, insufficient compliance records, and risk </w:t>
            </w:r>
            <w:r>
              <w:rPr>
                <w:rFonts w:ascii="Calibri" w:hAnsi="Calibri"/>
                <w:color w:val="2C2C2C"/>
                <w:sz w:val="17"/>
              </w:rPr>
              <w:lastRenderedPageBreak/>
              <w:t>of partner review rejection.</w:t>
            </w:r>
          </w:p>
        </w:tc>
        <w:tc>
          <w:tcPr>
            <w:tcW w:w="3312" w:type="dxa"/>
            <w:shd w:val="clear" w:color="auto" w:fill="FFFFFF"/>
            <w:tcMar>
              <w:top w:w="120" w:type="dxa"/>
              <w:left w:w="180" w:type="dxa"/>
              <w:bottom w:w="120" w:type="dxa"/>
              <w:right w:w="180" w:type="dxa"/>
            </w:tcMar>
            <w:vAlign w:val="center"/>
          </w:tcPr>
          <w:p w14:paraId="2FA5A5E9" w14:textId="77777777" w:rsidR="00DB1E88" w:rsidRDefault="00000000">
            <w:pPr>
              <w:spacing w:after="0"/>
            </w:pPr>
            <w:r>
              <w:rPr>
                <w:rFonts w:ascii="Calibri" w:hAnsi="Calibri"/>
                <w:color w:val="2C2C2C"/>
                <w:sz w:val="17"/>
              </w:rPr>
              <w:lastRenderedPageBreak/>
              <w:t xml:space="preserve">Provides pre-configured exception libraries with dropdown classification </w:t>
            </w:r>
            <w:r>
              <w:rPr>
                <w:rFonts w:ascii="Calibri" w:hAnsi="Calibri"/>
                <w:color w:val="2C2C2C"/>
                <w:sz w:val="17"/>
              </w:rPr>
              <w:lastRenderedPageBreak/>
              <w:t>chips, reducing documentation input to seconds.</w:t>
            </w:r>
          </w:p>
        </w:tc>
      </w:tr>
      <w:tr w:rsidR="00DB1E88" w14:paraId="07DEA98A" w14:textId="77777777">
        <w:trPr>
          <w:jc w:val="center"/>
        </w:trPr>
        <w:tc>
          <w:tcPr>
            <w:tcW w:w="2880" w:type="dxa"/>
            <w:shd w:val="clear" w:color="auto" w:fill="F9FBF7"/>
            <w:tcMar>
              <w:top w:w="120" w:type="dxa"/>
              <w:left w:w="180" w:type="dxa"/>
              <w:bottom w:w="120" w:type="dxa"/>
              <w:right w:w="180" w:type="dxa"/>
            </w:tcMar>
            <w:vAlign w:val="center"/>
          </w:tcPr>
          <w:p w14:paraId="5CBCBDE8" w14:textId="77777777" w:rsidR="00DB1E88" w:rsidRDefault="00000000">
            <w:pPr>
              <w:spacing w:after="0"/>
            </w:pPr>
            <w:r>
              <w:rPr>
                <w:rFonts w:ascii="Calibri" w:hAnsi="Calibri"/>
                <w:color w:val="2C2C2C"/>
                <w:sz w:val="17"/>
              </w:rPr>
              <w:lastRenderedPageBreak/>
              <w:t>Skipping Column Mapping</w:t>
            </w:r>
            <w:r>
              <w:rPr>
                <w:rFonts w:ascii="Calibri" w:hAnsi="Calibri"/>
                <w:color w:val="2C2C2C"/>
                <w:sz w:val="17"/>
              </w:rPr>
              <w:br/>
              <w:t>(Using incorrect default header names)</w:t>
            </w:r>
          </w:p>
        </w:tc>
        <w:tc>
          <w:tcPr>
            <w:tcW w:w="3168" w:type="dxa"/>
            <w:shd w:val="clear" w:color="auto" w:fill="F9FBF7"/>
            <w:tcMar>
              <w:top w:w="120" w:type="dxa"/>
              <w:left w:w="180" w:type="dxa"/>
              <w:bottom w:w="120" w:type="dxa"/>
              <w:right w:w="180" w:type="dxa"/>
            </w:tcMar>
            <w:vAlign w:val="center"/>
          </w:tcPr>
          <w:p w14:paraId="4FCE470C" w14:textId="77777777" w:rsidR="00DB1E88" w:rsidRDefault="00000000">
            <w:pPr>
              <w:spacing w:after="0"/>
            </w:pPr>
            <w:r>
              <w:rPr>
                <w:rFonts w:ascii="Calibri" w:hAnsi="Calibri"/>
                <w:color w:val="2C2C2C"/>
                <w:sz w:val="17"/>
              </w:rPr>
              <w:t>Causes schema mismatches, halts calculation runs, and breaks data compilation downstream.</w:t>
            </w:r>
          </w:p>
        </w:tc>
        <w:tc>
          <w:tcPr>
            <w:tcW w:w="3312" w:type="dxa"/>
            <w:shd w:val="clear" w:color="auto" w:fill="F9FBF7"/>
            <w:tcMar>
              <w:top w:w="120" w:type="dxa"/>
              <w:left w:w="180" w:type="dxa"/>
              <w:bottom w:w="120" w:type="dxa"/>
              <w:right w:w="180" w:type="dxa"/>
            </w:tcMar>
            <w:vAlign w:val="center"/>
          </w:tcPr>
          <w:p w14:paraId="37886D87" w14:textId="77777777" w:rsidR="00DB1E88" w:rsidRDefault="00000000">
            <w:pPr>
              <w:spacing w:after="0"/>
            </w:pPr>
            <w:r>
              <w:rPr>
                <w:rFonts w:ascii="Calibri" w:hAnsi="Calibri"/>
                <w:color w:val="2C2C2C"/>
                <w:sz w:val="17"/>
              </w:rPr>
              <w:t>Applies semantic pre-mapping models to headers in under 9 seconds, presenting mapped structures for instant user confirmation.</w:t>
            </w:r>
          </w:p>
        </w:tc>
      </w:tr>
    </w:tbl>
    <w:p w14:paraId="041AD047" w14:textId="77777777" w:rsidR="00DB1E88" w:rsidRDefault="00000000">
      <w:pPr>
        <w:keepNext/>
        <w:pBdr>
          <w:left w:val="single" w:sz="36" w:space="8" w:color="86BC25"/>
        </w:pBdr>
        <w:spacing w:before="360" w:after="160"/>
      </w:pPr>
      <w:r>
        <w:rPr>
          <w:rFonts w:ascii="Arial" w:hAnsi="Arial"/>
          <w:b/>
          <w:color w:val="0D2240"/>
          <w:sz w:val="26"/>
        </w:rPr>
        <w:t>6. Practice-Wide Scale-Up &amp; Financial ROI Projections</w:t>
      </w:r>
    </w:p>
    <w:p w14:paraId="13B4EFAA" w14:textId="77777777" w:rsidR="00DB1E88" w:rsidRDefault="00000000" w:rsidP="00CB6828">
      <w:pPr>
        <w:spacing w:after="240"/>
        <w:jc w:val="both"/>
      </w:pPr>
      <w:r>
        <w:rPr>
          <w:rFonts w:ascii="Calibri" w:hAnsi="Calibri"/>
          <w:color w:val="2C2C2C"/>
          <w:sz w:val="19"/>
        </w:rPr>
        <w:t>To evaluate the macro impact, the table below projects time savings, auditor capacity reclaimed, and financial value across different deployment scopes. Calculations assume an average billing rate of $100/hour for Senior Auditors and an annual individual billable capacity of 2,000 hours:</w:t>
      </w:r>
    </w:p>
    <w:tbl>
      <w:tblPr>
        <w:tblW w:w="0" w:type="auto"/>
        <w:jc w:val="center"/>
        <w:tblBorders>
          <w:top w:val="single" w:sz="4" w:space="0" w:color="E2E8F0"/>
          <w:bottom w:val="single" w:sz="4" w:space="0" w:color="E2E8F0"/>
          <w:insideH w:val="single" w:sz="4" w:space="0" w:color="E2E8F0"/>
        </w:tblBorders>
        <w:tblLook w:val="04A0" w:firstRow="1" w:lastRow="0" w:firstColumn="1" w:lastColumn="0" w:noHBand="0" w:noVBand="1"/>
      </w:tblPr>
      <w:tblGrid>
        <w:gridCol w:w="2481"/>
        <w:gridCol w:w="1528"/>
        <w:gridCol w:w="1558"/>
        <w:gridCol w:w="2268"/>
        <w:gridCol w:w="1885"/>
      </w:tblGrid>
      <w:tr w:rsidR="00DB1E88" w14:paraId="13C53795" w14:textId="77777777" w:rsidTr="00CB6828">
        <w:trPr>
          <w:jc w:val="center"/>
        </w:trPr>
        <w:tc>
          <w:tcPr>
            <w:tcW w:w="2481" w:type="dxa"/>
            <w:shd w:val="clear" w:color="auto" w:fill="86BC25"/>
            <w:tcMar>
              <w:top w:w="160" w:type="dxa"/>
              <w:left w:w="180" w:type="dxa"/>
              <w:bottom w:w="160" w:type="dxa"/>
              <w:right w:w="180" w:type="dxa"/>
            </w:tcMar>
          </w:tcPr>
          <w:p w14:paraId="1F5B0542" w14:textId="77777777" w:rsidR="00DB1E88" w:rsidRDefault="00000000">
            <w:pPr>
              <w:spacing w:after="0"/>
            </w:pPr>
            <w:r>
              <w:rPr>
                <w:rFonts w:ascii="Arial" w:hAnsi="Arial"/>
                <w:b/>
                <w:color w:val="FFFFFF"/>
                <w:sz w:val="18"/>
              </w:rPr>
              <w:t>Deployment Scope</w:t>
            </w:r>
          </w:p>
        </w:tc>
        <w:tc>
          <w:tcPr>
            <w:tcW w:w="1528" w:type="dxa"/>
            <w:shd w:val="clear" w:color="auto" w:fill="86BC25"/>
            <w:tcMar>
              <w:top w:w="160" w:type="dxa"/>
              <w:left w:w="180" w:type="dxa"/>
              <w:bottom w:w="160" w:type="dxa"/>
              <w:right w:w="180" w:type="dxa"/>
            </w:tcMar>
          </w:tcPr>
          <w:p w14:paraId="01E566CF" w14:textId="77777777" w:rsidR="00DB1E88" w:rsidRDefault="00000000">
            <w:pPr>
              <w:spacing w:after="0"/>
              <w:jc w:val="right"/>
            </w:pPr>
            <w:r>
              <w:rPr>
                <w:rFonts w:ascii="Arial" w:hAnsi="Arial"/>
                <w:b/>
                <w:color w:val="FFFFFF"/>
                <w:sz w:val="18"/>
              </w:rPr>
              <w:t>Manual Hours</w:t>
            </w:r>
          </w:p>
        </w:tc>
        <w:tc>
          <w:tcPr>
            <w:tcW w:w="1558" w:type="dxa"/>
            <w:shd w:val="clear" w:color="auto" w:fill="86BC25"/>
            <w:tcMar>
              <w:top w:w="160" w:type="dxa"/>
              <w:left w:w="180" w:type="dxa"/>
              <w:bottom w:w="160" w:type="dxa"/>
              <w:right w:w="180" w:type="dxa"/>
            </w:tcMar>
          </w:tcPr>
          <w:p w14:paraId="58A5BEA8" w14:textId="77777777" w:rsidR="00DB1E88" w:rsidRDefault="00000000">
            <w:pPr>
              <w:spacing w:after="0"/>
              <w:jc w:val="right"/>
            </w:pPr>
            <w:r>
              <w:rPr>
                <w:rFonts w:ascii="Arial" w:hAnsi="Arial"/>
                <w:b/>
                <w:color w:val="FFFFFF"/>
                <w:sz w:val="18"/>
              </w:rPr>
              <w:t>Automated Hours</w:t>
            </w:r>
          </w:p>
        </w:tc>
        <w:tc>
          <w:tcPr>
            <w:tcW w:w="2268" w:type="dxa"/>
            <w:shd w:val="clear" w:color="auto" w:fill="86BC25"/>
            <w:tcMar>
              <w:top w:w="160" w:type="dxa"/>
              <w:left w:w="180" w:type="dxa"/>
              <w:bottom w:w="160" w:type="dxa"/>
              <w:right w:w="180" w:type="dxa"/>
            </w:tcMar>
          </w:tcPr>
          <w:p w14:paraId="69901A5C" w14:textId="77777777" w:rsidR="00DB1E88" w:rsidRDefault="00000000">
            <w:pPr>
              <w:spacing w:after="0"/>
              <w:jc w:val="right"/>
            </w:pPr>
            <w:r>
              <w:rPr>
                <w:rFonts w:ascii="Arial" w:hAnsi="Arial"/>
                <w:b/>
                <w:color w:val="FFFFFF"/>
                <w:sz w:val="18"/>
              </w:rPr>
              <w:t>Net Reclaimed Hours</w:t>
            </w:r>
          </w:p>
        </w:tc>
        <w:tc>
          <w:tcPr>
            <w:tcW w:w="1885" w:type="dxa"/>
            <w:shd w:val="clear" w:color="auto" w:fill="86BC25"/>
            <w:tcMar>
              <w:top w:w="160" w:type="dxa"/>
              <w:left w:w="180" w:type="dxa"/>
              <w:bottom w:w="160" w:type="dxa"/>
              <w:right w:w="180" w:type="dxa"/>
            </w:tcMar>
          </w:tcPr>
          <w:p w14:paraId="58501868" w14:textId="77777777" w:rsidR="00DB1E88" w:rsidRDefault="00000000">
            <w:pPr>
              <w:spacing w:after="0"/>
              <w:jc w:val="right"/>
            </w:pPr>
            <w:r>
              <w:rPr>
                <w:rFonts w:ascii="Arial" w:hAnsi="Arial"/>
                <w:b/>
                <w:color w:val="FFFFFF"/>
                <w:sz w:val="18"/>
              </w:rPr>
              <w:t>Financial Capacity Reclaimed</w:t>
            </w:r>
          </w:p>
        </w:tc>
      </w:tr>
      <w:tr w:rsidR="00DB1E88" w14:paraId="7C23F7AB" w14:textId="77777777" w:rsidTr="00CB6828">
        <w:trPr>
          <w:jc w:val="center"/>
        </w:trPr>
        <w:tc>
          <w:tcPr>
            <w:tcW w:w="2481" w:type="dxa"/>
            <w:shd w:val="clear" w:color="auto" w:fill="FFFFFF"/>
            <w:tcMar>
              <w:top w:w="120" w:type="dxa"/>
              <w:left w:w="180" w:type="dxa"/>
              <w:bottom w:w="120" w:type="dxa"/>
              <w:right w:w="180" w:type="dxa"/>
            </w:tcMar>
            <w:vAlign w:val="center"/>
          </w:tcPr>
          <w:p w14:paraId="0FF214E4" w14:textId="77777777" w:rsidR="00DB1E88" w:rsidRDefault="00000000">
            <w:pPr>
              <w:spacing w:after="0"/>
            </w:pPr>
            <w:r>
              <w:rPr>
                <w:rFonts w:ascii="Calibri" w:hAnsi="Calibri"/>
                <w:b/>
                <w:color w:val="2C2C2C"/>
                <w:sz w:val="17"/>
              </w:rPr>
              <w:t>1 Audit Team (600 Memos)</w:t>
            </w:r>
          </w:p>
        </w:tc>
        <w:tc>
          <w:tcPr>
            <w:tcW w:w="1528" w:type="dxa"/>
            <w:shd w:val="clear" w:color="auto" w:fill="FFFFFF"/>
            <w:tcMar>
              <w:top w:w="120" w:type="dxa"/>
              <w:left w:w="180" w:type="dxa"/>
              <w:bottom w:w="120" w:type="dxa"/>
              <w:right w:w="180" w:type="dxa"/>
            </w:tcMar>
            <w:vAlign w:val="center"/>
          </w:tcPr>
          <w:p w14:paraId="5518266D" w14:textId="77777777" w:rsidR="00DB1E88" w:rsidRDefault="00000000">
            <w:pPr>
              <w:spacing w:after="0"/>
              <w:jc w:val="right"/>
            </w:pPr>
            <w:r>
              <w:rPr>
                <w:rFonts w:ascii="Calibri" w:hAnsi="Calibri"/>
                <w:color w:val="2C2C2C"/>
                <w:sz w:val="17"/>
              </w:rPr>
              <w:t>77.67 Hrs</w:t>
            </w:r>
          </w:p>
        </w:tc>
        <w:tc>
          <w:tcPr>
            <w:tcW w:w="1558" w:type="dxa"/>
            <w:shd w:val="clear" w:color="auto" w:fill="FFFFFF"/>
            <w:tcMar>
              <w:top w:w="120" w:type="dxa"/>
              <w:left w:w="180" w:type="dxa"/>
              <w:bottom w:w="120" w:type="dxa"/>
              <w:right w:w="180" w:type="dxa"/>
            </w:tcMar>
            <w:vAlign w:val="center"/>
          </w:tcPr>
          <w:p w14:paraId="1A86F4E6" w14:textId="77777777" w:rsidR="00DB1E88" w:rsidRDefault="00000000">
            <w:pPr>
              <w:spacing w:after="0"/>
              <w:jc w:val="right"/>
            </w:pPr>
            <w:r>
              <w:rPr>
                <w:rFonts w:ascii="Calibri" w:hAnsi="Calibri"/>
                <w:color w:val="2C2C2C"/>
                <w:sz w:val="17"/>
              </w:rPr>
              <w:t>15.33 Hrs</w:t>
            </w:r>
          </w:p>
        </w:tc>
        <w:tc>
          <w:tcPr>
            <w:tcW w:w="2268" w:type="dxa"/>
            <w:shd w:val="clear" w:color="auto" w:fill="FFFFFF"/>
            <w:tcMar>
              <w:top w:w="120" w:type="dxa"/>
              <w:left w:w="180" w:type="dxa"/>
              <w:bottom w:w="120" w:type="dxa"/>
              <w:right w:w="180" w:type="dxa"/>
            </w:tcMar>
            <w:vAlign w:val="center"/>
          </w:tcPr>
          <w:p w14:paraId="466DD21A" w14:textId="77777777" w:rsidR="00DB1E88" w:rsidRDefault="00000000">
            <w:pPr>
              <w:spacing w:after="0"/>
              <w:jc w:val="right"/>
            </w:pPr>
            <w:r>
              <w:rPr>
                <w:rFonts w:ascii="Calibri" w:hAnsi="Calibri"/>
                <w:color w:val="2C2C2C"/>
                <w:sz w:val="17"/>
              </w:rPr>
              <w:t>62.33 Hours</w:t>
            </w:r>
          </w:p>
        </w:tc>
        <w:tc>
          <w:tcPr>
            <w:tcW w:w="1885" w:type="dxa"/>
            <w:shd w:val="clear" w:color="auto" w:fill="FFFFFF"/>
            <w:tcMar>
              <w:top w:w="120" w:type="dxa"/>
              <w:left w:w="180" w:type="dxa"/>
              <w:bottom w:w="120" w:type="dxa"/>
              <w:right w:w="180" w:type="dxa"/>
            </w:tcMar>
            <w:vAlign w:val="center"/>
          </w:tcPr>
          <w:p w14:paraId="7E221246" w14:textId="77777777" w:rsidR="00DB1E88" w:rsidRDefault="00000000">
            <w:pPr>
              <w:spacing w:after="0"/>
              <w:jc w:val="right"/>
            </w:pPr>
            <w:r>
              <w:rPr>
                <w:rFonts w:ascii="Calibri" w:hAnsi="Calibri"/>
                <w:b/>
                <w:color w:val="2C2C2C"/>
                <w:sz w:val="17"/>
              </w:rPr>
              <w:t>$6,233</w:t>
            </w:r>
          </w:p>
        </w:tc>
      </w:tr>
      <w:tr w:rsidR="00DB1E88" w14:paraId="53515BA5" w14:textId="77777777" w:rsidTr="00CB6828">
        <w:trPr>
          <w:jc w:val="center"/>
        </w:trPr>
        <w:tc>
          <w:tcPr>
            <w:tcW w:w="2481" w:type="dxa"/>
            <w:shd w:val="clear" w:color="auto" w:fill="F9FBF7"/>
            <w:tcMar>
              <w:top w:w="120" w:type="dxa"/>
              <w:left w:w="180" w:type="dxa"/>
              <w:bottom w:w="120" w:type="dxa"/>
              <w:right w:w="180" w:type="dxa"/>
            </w:tcMar>
            <w:vAlign w:val="center"/>
          </w:tcPr>
          <w:p w14:paraId="0AE15F39" w14:textId="77777777" w:rsidR="00DB1E88" w:rsidRDefault="00000000">
            <w:pPr>
              <w:spacing w:after="0"/>
            </w:pPr>
            <w:r>
              <w:rPr>
                <w:rFonts w:ascii="Calibri" w:hAnsi="Calibri"/>
                <w:b/>
                <w:color w:val="2C2C2C"/>
                <w:sz w:val="17"/>
              </w:rPr>
              <w:t>Practice Group (3,000 Memos)</w:t>
            </w:r>
          </w:p>
        </w:tc>
        <w:tc>
          <w:tcPr>
            <w:tcW w:w="1528" w:type="dxa"/>
            <w:shd w:val="clear" w:color="auto" w:fill="F9FBF7"/>
            <w:tcMar>
              <w:top w:w="120" w:type="dxa"/>
              <w:left w:w="180" w:type="dxa"/>
              <w:bottom w:w="120" w:type="dxa"/>
              <w:right w:w="180" w:type="dxa"/>
            </w:tcMar>
            <w:vAlign w:val="center"/>
          </w:tcPr>
          <w:p w14:paraId="030ECA2E" w14:textId="77777777" w:rsidR="00DB1E88" w:rsidRDefault="00000000">
            <w:pPr>
              <w:spacing w:after="0"/>
              <w:jc w:val="right"/>
            </w:pPr>
            <w:r>
              <w:rPr>
                <w:rFonts w:ascii="Calibri" w:hAnsi="Calibri"/>
                <w:color w:val="2C2C2C"/>
                <w:sz w:val="17"/>
              </w:rPr>
              <w:t>388.33 Hrs</w:t>
            </w:r>
          </w:p>
        </w:tc>
        <w:tc>
          <w:tcPr>
            <w:tcW w:w="1558" w:type="dxa"/>
            <w:shd w:val="clear" w:color="auto" w:fill="F9FBF7"/>
            <w:tcMar>
              <w:top w:w="120" w:type="dxa"/>
              <w:left w:w="180" w:type="dxa"/>
              <w:bottom w:w="120" w:type="dxa"/>
              <w:right w:w="180" w:type="dxa"/>
            </w:tcMar>
            <w:vAlign w:val="center"/>
          </w:tcPr>
          <w:p w14:paraId="696EEA3A" w14:textId="77777777" w:rsidR="00DB1E88" w:rsidRDefault="00000000">
            <w:pPr>
              <w:spacing w:after="0"/>
              <w:jc w:val="right"/>
            </w:pPr>
            <w:r>
              <w:rPr>
                <w:rFonts w:ascii="Calibri" w:hAnsi="Calibri"/>
                <w:color w:val="2C2C2C"/>
                <w:sz w:val="17"/>
              </w:rPr>
              <w:t>76.67 Hrs</w:t>
            </w:r>
          </w:p>
        </w:tc>
        <w:tc>
          <w:tcPr>
            <w:tcW w:w="2268" w:type="dxa"/>
            <w:shd w:val="clear" w:color="auto" w:fill="F9FBF7"/>
            <w:tcMar>
              <w:top w:w="120" w:type="dxa"/>
              <w:left w:w="180" w:type="dxa"/>
              <w:bottom w:w="120" w:type="dxa"/>
              <w:right w:w="180" w:type="dxa"/>
            </w:tcMar>
            <w:vAlign w:val="center"/>
          </w:tcPr>
          <w:p w14:paraId="5F1C90A8" w14:textId="77777777" w:rsidR="00DB1E88" w:rsidRDefault="00000000">
            <w:pPr>
              <w:spacing w:after="0"/>
              <w:jc w:val="right"/>
            </w:pPr>
            <w:r>
              <w:rPr>
                <w:rFonts w:ascii="Calibri" w:hAnsi="Calibri"/>
                <w:color w:val="2C2C2C"/>
                <w:sz w:val="17"/>
              </w:rPr>
              <w:t>311.67 Hours</w:t>
            </w:r>
          </w:p>
        </w:tc>
        <w:tc>
          <w:tcPr>
            <w:tcW w:w="1885" w:type="dxa"/>
            <w:shd w:val="clear" w:color="auto" w:fill="F9FBF7"/>
            <w:tcMar>
              <w:top w:w="120" w:type="dxa"/>
              <w:left w:w="180" w:type="dxa"/>
              <w:bottom w:w="120" w:type="dxa"/>
              <w:right w:w="180" w:type="dxa"/>
            </w:tcMar>
            <w:vAlign w:val="center"/>
          </w:tcPr>
          <w:p w14:paraId="65E668DA" w14:textId="77777777" w:rsidR="00DB1E88" w:rsidRDefault="00000000">
            <w:pPr>
              <w:spacing w:after="0"/>
              <w:jc w:val="right"/>
            </w:pPr>
            <w:r>
              <w:rPr>
                <w:rFonts w:ascii="Calibri" w:hAnsi="Calibri"/>
                <w:b/>
                <w:color w:val="2C2C2C"/>
                <w:sz w:val="17"/>
              </w:rPr>
              <w:t>$31,167</w:t>
            </w:r>
          </w:p>
        </w:tc>
      </w:tr>
      <w:tr w:rsidR="00DB1E88" w14:paraId="3E1CA622" w14:textId="77777777" w:rsidTr="00CB6828">
        <w:trPr>
          <w:jc w:val="center"/>
        </w:trPr>
        <w:tc>
          <w:tcPr>
            <w:tcW w:w="2481" w:type="dxa"/>
            <w:shd w:val="clear" w:color="auto" w:fill="FFFFFF"/>
            <w:tcMar>
              <w:top w:w="120" w:type="dxa"/>
              <w:left w:w="180" w:type="dxa"/>
              <w:bottom w:w="120" w:type="dxa"/>
              <w:right w:w="180" w:type="dxa"/>
            </w:tcMar>
            <w:vAlign w:val="center"/>
          </w:tcPr>
          <w:p w14:paraId="7335AAB8" w14:textId="77777777" w:rsidR="00DB1E88" w:rsidRDefault="00000000">
            <w:pPr>
              <w:spacing w:after="0"/>
            </w:pPr>
            <w:r>
              <w:rPr>
                <w:rFonts w:ascii="Calibri" w:hAnsi="Calibri"/>
                <w:b/>
                <w:color w:val="2C2C2C"/>
                <w:sz w:val="17"/>
              </w:rPr>
              <w:t>Practice-Wide (12,000 Memos)</w:t>
            </w:r>
          </w:p>
        </w:tc>
        <w:tc>
          <w:tcPr>
            <w:tcW w:w="1528" w:type="dxa"/>
            <w:shd w:val="clear" w:color="auto" w:fill="FFFFFF"/>
            <w:tcMar>
              <w:top w:w="120" w:type="dxa"/>
              <w:left w:w="180" w:type="dxa"/>
              <w:bottom w:w="120" w:type="dxa"/>
              <w:right w:w="180" w:type="dxa"/>
            </w:tcMar>
            <w:vAlign w:val="center"/>
          </w:tcPr>
          <w:p w14:paraId="6CE3569E" w14:textId="77777777" w:rsidR="00DB1E88" w:rsidRDefault="00000000">
            <w:pPr>
              <w:spacing w:after="0"/>
              <w:jc w:val="right"/>
            </w:pPr>
            <w:r>
              <w:rPr>
                <w:rFonts w:ascii="Calibri" w:hAnsi="Calibri"/>
                <w:color w:val="2C2C2C"/>
                <w:sz w:val="17"/>
              </w:rPr>
              <w:t>1,553.33 Hrs</w:t>
            </w:r>
          </w:p>
        </w:tc>
        <w:tc>
          <w:tcPr>
            <w:tcW w:w="1558" w:type="dxa"/>
            <w:shd w:val="clear" w:color="auto" w:fill="FFFFFF"/>
            <w:tcMar>
              <w:top w:w="120" w:type="dxa"/>
              <w:left w:w="180" w:type="dxa"/>
              <w:bottom w:w="120" w:type="dxa"/>
              <w:right w:w="180" w:type="dxa"/>
            </w:tcMar>
            <w:vAlign w:val="center"/>
          </w:tcPr>
          <w:p w14:paraId="687EDC50" w14:textId="77777777" w:rsidR="00DB1E88" w:rsidRDefault="00000000">
            <w:pPr>
              <w:spacing w:after="0"/>
              <w:jc w:val="right"/>
            </w:pPr>
            <w:r>
              <w:rPr>
                <w:rFonts w:ascii="Calibri" w:hAnsi="Calibri"/>
                <w:color w:val="2C2C2C"/>
                <w:sz w:val="17"/>
              </w:rPr>
              <w:t>306.67 Hrs</w:t>
            </w:r>
          </w:p>
        </w:tc>
        <w:tc>
          <w:tcPr>
            <w:tcW w:w="2268" w:type="dxa"/>
            <w:shd w:val="clear" w:color="auto" w:fill="FFFFFF"/>
            <w:tcMar>
              <w:top w:w="120" w:type="dxa"/>
              <w:left w:w="180" w:type="dxa"/>
              <w:bottom w:w="120" w:type="dxa"/>
              <w:right w:w="180" w:type="dxa"/>
            </w:tcMar>
            <w:vAlign w:val="center"/>
          </w:tcPr>
          <w:p w14:paraId="65D6DF13" w14:textId="77777777" w:rsidR="00DB1E88" w:rsidRDefault="00000000">
            <w:pPr>
              <w:spacing w:after="0"/>
              <w:jc w:val="right"/>
            </w:pPr>
            <w:r>
              <w:rPr>
                <w:rFonts w:ascii="Calibri" w:hAnsi="Calibri"/>
                <w:color w:val="2C2C2C"/>
                <w:sz w:val="17"/>
              </w:rPr>
              <w:t>1,246.67 Hours (0.62 FTE)</w:t>
            </w:r>
          </w:p>
        </w:tc>
        <w:tc>
          <w:tcPr>
            <w:tcW w:w="1885" w:type="dxa"/>
            <w:shd w:val="clear" w:color="auto" w:fill="FFFFFF"/>
            <w:tcMar>
              <w:top w:w="120" w:type="dxa"/>
              <w:left w:w="180" w:type="dxa"/>
              <w:bottom w:w="120" w:type="dxa"/>
              <w:right w:w="180" w:type="dxa"/>
            </w:tcMar>
            <w:vAlign w:val="center"/>
          </w:tcPr>
          <w:p w14:paraId="7F38B8F6" w14:textId="77777777" w:rsidR="00DB1E88" w:rsidRDefault="00000000">
            <w:pPr>
              <w:spacing w:after="0"/>
              <w:jc w:val="right"/>
            </w:pPr>
            <w:r>
              <w:rPr>
                <w:rFonts w:ascii="Calibri" w:hAnsi="Calibri"/>
                <w:b/>
                <w:color w:val="2C2C2C"/>
                <w:sz w:val="17"/>
              </w:rPr>
              <w:t>$124,667</w:t>
            </w:r>
          </w:p>
        </w:tc>
      </w:tr>
    </w:tbl>
    <w:p w14:paraId="6C1E4E6D" w14:textId="77777777" w:rsidR="00DB1E88" w:rsidRDefault="00000000">
      <w:pPr>
        <w:keepNext/>
        <w:pBdr>
          <w:left w:val="single" w:sz="36" w:space="8" w:color="86BC25"/>
        </w:pBdr>
        <w:spacing w:before="360" w:after="160"/>
      </w:pPr>
      <w:r>
        <w:rPr>
          <w:rFonts w:ascii="Arial" w:hAnsi="Arial"/>
          <w:b/>
          <w:color w:val="0D2240"/>
          <w:sz w:val="26"/>
        </w:rPr>
        <w:t>7. Audit Quality Review (AQR) &amp; PCAOB Regulatory Alignment</w:t>
      </w:r>
    </w:p>
    <w:p w14:paraId="61B390E6" w14:textId="77777777" w:rsidR="00DB1E88" w:rsidRDefault="00000000" w:rsidP="00CB6828">
      <w:pPr>
        <w:spacing w:after="240"/>
        <w:jc w:val="both"/>
      </w:pPr>
      <w:r>
        <w:rPr>
          <w:rFonts w:ascii="Calibri" w:hAnsi="Calibri"/>
          <w:color w:val="2C2C2C"/>
          <w:sz w:val="19"/>
        </w:rPr>
        <w:t>External regulatory checks (such as internal AQR inspections and PCAOB reviews) place extreme scrutiny on data integrity and sign-off validations. The Specialist JET application actively builds compliance safeguards directly into the workflow:</w:t>
      </w:r>
    </w:p>
    <w:p w14:paraId="40CAB793" w14:textId="77777777" w:rsidR="00DB1E88" w:rsidRDefault="00000000" w:rsidP="00CB6828">
      <w:pPr>
        <w:pStyle w:val="ListBullet"/>
        <w:spacing w:after="80"/>
        <w:jc w:val="both"/>
      </w:pPr>
      <w:r>
        <w:rPr>
          <w:rFonts w:ascii="Calibri" w:hAnsi="Calibri"/>
          <w:b/>
          <w:color w:val="2C2C2C"/>
          <w:sz w:val="19"/>
        </w:rPr>
        <w:t xml:space="preserve">Forced Chronological Date Verification: </w:t>
      </w:r>
      <w:r>
        <w:rPr>
          <w:rFonts w:ascii="Calibri" w:hAnsi="Calibri"/>
          <w:color w:val="2C2C2C"/>
          <w:sz w:val="19"/>
        </w:rPr>
        <w:t>Prevents logic errors where the 'First Meeting Date' is mistakenly recorded after the 'Granular Discussion Date'. The app's chronological checker blocks submission, preventing non-compliant memos from ever being drafted.</w:t>
      </w:r>
    </w:p>
    <w:p w14:paraId="3BF14B15" w14:textId="77777777" w:rsidR="00DB1E88" w:rsidRDefault="00000000" w:rsidP="00CB6828">
      <w:pPr>
        <w:pStyle w:val="ListBullet"/>
        <w:spacing w:after="80"/>
        <w:jc w:val="both"/>
      </w:pPr>
      <w:r>
        <w:rPr>
          <w:rFonts w:ascii="Calibri" w:hAnsi="Calibri"/>
          <w:b/>
          <w:color w:val="2C2C2C"/>
          <w:sz w:val="19"/>
        </w:rPr>
        <w:t xml:space="preserve">Mandatory Exception Accountability: </w:t>
      </w:r>
      <w:r>
        <w:rPr>
          <w:rFonts w:ascii="Calibri" w:hAnsi="Calibri"/>
          <w:color w:val="2C2C2C"/>
          <w:sz w:val="19"/>
        </w:rPr>
        <w:t>Inspectors check if exceptions from source files match the final sign-off. The app's exception mapper ensures that all uploaded exceptions are mapped, classified, and fully documented in the finalized table, preventing omissions due to copy fatigue.</w:t>
      </w:r>
    </w:p>
    <w:p w14:paraId="32DA45D0" w14:textId="77777777" w:rsidR="00DB1E88" w:rsidRDefault="00000000" w:rsidP="00CB6828">
      <w:pPr>
        <w:pStyle w:val="ListBullet"/>
        <w:spacing w:after="80"/>
        <w:jc w:val="both"/>
      </w:pPr>
      <w:r>
        <w:rPr>
          <w:rFonts w:ascii="Calibri" w:hAnsi="Calibri"/>
          <w:b/>
          <w:color w:val="2C2C2C"/>
          <w:sz w:val="19"/>
        </w:rPr>
        <w:t xml:space="preserve">Immutable WBS and Name Matching: </w:t>
      </w:r>
      <w:r>
        <w:rPr>
          <w:rFonts w:ascii="Calibri" w:hAnsi="Calibri"/>
          <w:color w:val="2C2C2C"/>
          <w:sz w:val="19"/>
        </w:rPr>
        <w:t>Eliminates misspelled WBS codes or mismatched reviewer/preparer names, maintaining 100% data integrity with Deloitte's global registries.</w:t>
      </w:r>
    </w:p>
    <w:p w14:paraId="7AB50697" w14:textId="77777777" w:rsidR="00DB1E88" w:rsidRDefault="00000000">
      <w:pPr>
        <w:keepNext/>
        <w:pBdr>
          <w:left w:val="single" w:sz="36" w:space="8" w:color="86BC25"/>
        </w:pBdr>
        <w:spacing w:before="360" w:after="160"/>
      </w:pPr>
      <w:r>
        <w:rPr>
          <w:rFonts w:ascii="Arial" w:hAnsi="Arial"/>
          <w:b/>
          <w:color w:val="0D2240"/>
          <w:sz w:val="26"/>
        </w:rPr>
        <w:t>8. Core Application Features Driving Acceleration</w:t>
      </w:r>
    </w:p>
    <w:p w14:paraId="0DCABA62" w14:textId="77777777" w:rsidR="00DB1E88" w:rsidRDefault="00000000" w:rsidP="00CB6828">
      <w:pPr>
        <w:spacing w:after="240"/>
        <w:jc w:val="both"/>
      </w:pPr>
      <w:r>
        <w:rPr>
          <w:rFonts w:ascii="Calibri" w:hAnsi="Calibri"/>
          <w:color w:val="2C2C2C"/>
          <w:sz w:val="19"/>
        </w:rPr>
        <w:t>The 5.07x overall productivity speedup is enabled by key technology modules integrated directly into the Specialist JET Memo Generator interface:</w:t>
      </w:r>
    </w:p>
    <w:p w14:paraId="355CE7E4" w14:textId="77777777" w:rsidR="00DB1E88" w:rsidRDefault="00000000" w:rsidP="00CB6828">
      <w:pPr>
        <w:pStyle w:val="ListBullet"/>
        <w:spacing w:after="80"/>
        <w:jc w:val="both"/>
      </w:pPr>
      <w:r>
        <w:rPr>
          <w:rFonts w:ascii="Calibri" w:hAnsi="Calibri"/>
          <w:b/>
          <w:color w:val="2C2C2C"/>
          <w:sz w:val="19"/>
        </w:rPr>
        <w:lastRenderedPageBreak/>
        <w:t xml:space="preserve">Import Existing Memo (.docx / .xlsx): </w:t>
      </w:r>
      <w:r>
        <w:rPr>
          <w:rFonts w:ascii="Calibri" w:hAnsi="Calibri"/>
          <w:color w:val="2C2C2C"/>
          <w:sz w:val="19"/>
        </w:rPr>
        <w:t>Allows users to load previously completed Word memos or Excel working papers. The app parses the file header properties to automatically rebuild the frontend wizard state, load metadata, and restore previous exceptions. This cuts starting configuration times for recurring engagements down to seconds.</w:t>
      </w:r>
    </w:p>
    <w:p w14:paraId="4838E8B3" w14:textId="77777777" w:rsidR="00DB1E88" w:rsidRDefault="00000000" w:rsidP="00CB6828">
      <w:pPr>
        <w:pStyle w:val="ListBullet"/>
        <w:spacing w:after="80"/>
        <w:jc w:val="both"/>
      </w:pPr>
      <w:r>
        <w:rPr>
          <w:rFonts w:ascii="Calibri" w:hAnsi="Calibri"/>
          <w:b/>
          <w:color w:val="2C2C2C"/>
          <w:sz w:val="19"/>
        </w:rPr>
        <w:t xml:space="preserve">Real-time Auto-Save Drafts: </w:t>
      </w:r>
      <w:r>
        <w:rPr>
          <w:rFonts w:ascii="Calibri" w:hAnsi="Calibri"/>
          <w:color w:val="2C2C2C"/>
          <w:sz w:val="19"/>
        </w:rPr>
        <w:t>Silently backs up the user's progress to the local history database at every stage. This removes the risk of data loss from accidental reloads or crashes, preventing the need to re-key complex data maps.</w:t>
      </w:r>
    </w:p>
    <w:p w14:paraId="4A43F0D2" w14:textId="77777777" w:rsidR="00DB1E88" w:rsidRDefault="00000000" w:rsidP="00CB6828">
      <w:pPr>
        <w:pStyle w:val="ListBullet"/>
        <w:spacing w:after="80"/>
        <w:jc w:val="both"/>
      </w:pPr>
      <w:r>
        <w:rPr>
          <w:rFonts w:ascii="Calibri" w:hAnsi="Calibri"/>
          <w:b/>
          <w:color w:val="2C2C2C"/>
          <w:sz w:val="19"/>
        </w:rPr>
        <w:t xml:space="preserve">Intelligent Pre-Mapping for Large Columns: </w:t>
      </w:r>
      <w:r>
        <w:rPr>
          <w:rFonts w:ascii="Calibri" w:hAnsi="Calibri"/>
          <w:color w:val="2C2C2C"/>
          <w:sz w:val="19"/>
        </w:rPr>
        <w:t>Automatically analyzes spreadsheets with massive column lists (e.g. 50+ database fields) and applies fuzzy string matching to align headers, providing visual autocomplete suggestions. This turns a complex, multi-minute layout check into a rapid 9-second approval loop.</w:t>
      </w:r>
    </w:p>
    <w:p w14:paraId="2B7A814E" w14:textId="77777777" w:rsidR="00DB1E88" w:rsidRDefault="00000000" w:rsidP="00CB6828">
      <w:pPr>
        <w:pStyle w:val="ListBullet"/>
        <w:spacing w:after="80"/>
        <w:jc w:val="both"/>
      </w:pPr>
      <w:r>
        <w:rPr>
          <w:rFonts w:ascii="Calibri" w:hAnsi="Calibri"/>
          <w:b/>
          <w:color w:val="2C2C2C"/>
          <w:sz w:val="19"/>
        </w:rPr>
        <w:t xml:space="preserve">Quick Settings Signatory Management: </w:t>
      </w:r>
      <w:r>
        <w:rPr>
          <w:rFonts w:ascii="Calibri" w:hAnsi="Calibri"/>
          <w:color w:val="2C2C2C"/>
          <w:sz w:val="19"/>
        </w:rPr>
        <w:t>Provides an inline dashboard settings modal to configure standard reviewer/preparer names and WBS rules. This auto-populates defaults on startup, reducing typing redundancies across consecutive compilations.</w:t>
      </w:r>
    </w:p>
    <w:p w14:paraId="15BF5F16" w14:textId="77777777" w:rsidR="00DB1E88" w:rsidRDefault="00DB1E88"/>
    <w:tbl>
      <w:tblPr>
        <w:tblW w:w="0" w:type="auto"/>
        <w:jc w:val="center"/>
        <w:tblLook w:val="04A0" w:firstRow="1" w:lastRow="0" w:firstColumn="1" w:lastColumn="0" w:noHBand="0" w:noVBand="1"/>
      </w:tblPr>
      <w:tblGrid>
        <w:gridCol w:w="9360"/>
      </w:tblGrid>
      <w:tr w:rsidR="00DB1E88" w14:paraId="0D6A9195" w14:textId="77777777">
        <w:trPr>
          <w:jc w:val="center"/>
        </w:trPr>
        <w:tc>
          <w:tcPr>
            <w:tcW w:w="9360" w:type="dxa"/>
            <w:tcBorders>
              <w:left w:val="single" w:sz="36" w:space="0" w:color="86BC25"/>
            </w:tcBorders>
            <w:shd w:val="clear" w:color="auto" w:fill="F5F8FA"/>
            <w:tcMar>
              <w:top w:w="200" w:type="dxa"/>
              <w:left w:w="250" w:type="dxa"/>
              <w:bottom w:w="200" w:type="dxa"/>
              <w:right w:w="250" w:type="dxa"/>
            </w:tcMar>
          </w:tcPr>
          <w:p w14:paraId="69AF88FC" w14:textId="77777777" w:rsidR="00DB1E88" w:rsidRDefault="00000000">
            <w:pPr>
              <w:spacing w:after="80"/>
            </w:pPr>
            <w:r>
              <w:rPr>
                <w:rFonts w:ascii="Arial" w:hAnsi="Arial"/>
                <w:b/>
                <w:color w:val="86BC25"/>
                <w:sz w:val="21"/>
              </w:rPr>
              <w:t>Key Performance Metrics &amp; ROI Summary</w:t>
            </w:r>
          </w:p>
          <w:p w14:paraId="0E271C05" w14:textId="77777777" w:rsidR="00DB1E88" w:rsidRDefault="00000000">
            <w:pPr>
              <w:spacing w:before="80" w:after="0"/>
            </w:pPr>
            <w:r>
              <w:rPr>
                <w:rFonts w:ascii="Calibri" w:hAnsi="Calibri"/>
                <w:color w:val="2C2C2C"/>
                <w:sz w:val="18"/>
              </w:rPr>
              <w:t>• Effort Reduction: 80.3% reduction in manual data processing time.</w:t>
            </w:r>
            <w:r>
              <w:rPr>
                <w:rFonts w:ascii="Calibri" w:hAnsi="Calibri"/>
                <w:color w:val="2C2C2C"/>
                <w:sz w:val="18"/>
              </w:rPr>
              <w:br/>
              <w:t>• Productivity Multiplier: 5.07x faster (teams compile 5+ memos in the time of 1 manual memo).</w:t>
            </w:r>
            <w:r>
              <w:rPr>
                <w:rFonts w:ascii="Calibri" w:hAnsi="Calibri"/>
                <w:color w:val="2C2C2C"/>
                <w:sz w:val="18"/>
              </w:rPr>
              <w:br/>
              <w:t>• Financial Reclaimed Billing: Up to $124,667 in professional auditor billing capacity practice-wide (12,000 memos).</w:t>
            </w:r>
            <w:r>
              <w:rPr>
                <w:rFonts w:ascii="Calibri" w:hAnsi="Calibri"/>
                <w:color w:val="2C2C2C"/>
                <w:sz w:val="18"/>
              </w:rPr>
              <w:br/>
              <w:t>• AQR Compliance Risk: 100% elimination of chronological date alignment and column pre-mapping format errors.</w:t>
            </w:r>
          </w:p>
        </w:tc>
      </w:tr>
    </w:tbl>
    <w:p w14:paraId="4C5FC996" w14:textId="77777777" w:rsidR="00DB1E88" w:rsidRDefault="00000000">
      <w:pPr>
        <w:spacing w:before="800"/>
        <w:jc w:val="center"/>
      </w:pPr>
      <w:r>
        <w:rPr>
          <w:rFonts w:ascii="Arial" w:hAnsi="Arial"/>
          <w:color w:val="808080"/>
          <w:sz w:val="16"/>
        </w:rPr>
        <w:t>Deloitte Audit Technology Platform  |  Internal Efficiency Study  |  Confidential</w:t>
      </w:r>
    </w:p>
    <w:sectPr w:rsidR="00DB1E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283837">
    <w:abstractNumId w:val="8"/>
  </w:num>
  <w:num w:numId="2" w16cid:durableId="1498301083">
    <w:abstractNumId w:val="6"/>
  </w:num>
  <w:num w:numId="3" w16cid:durableId="1002582849">
    <w:abstractNumId w:val="5"/>
  </w:num>
  <w:num w:numId="4" w16cid:durableId="917594272">
    <w:abstractNumId w:val="4"/>
  </w:num>
  <w:num w:numId="5" w16cid:durableId="146016258">
    <w:abstractNumId w:val="7"/>
  </w:num>
  <w:num w:numId="6" w16cid:durableId="134569641">
    <w:abstractNumId w:val="3"/>
  </w:num>
  <w:num w:numId="7" w16cid:durableId="399250433">
    <w:abstractNumId w:val="2"/>
  </w:num>
  <w:num w:numId="8" w16cid:durableId="835269382">
    <w:abstractNumId w:val="1"/>
  </w:num>
  <w:num w:numId="9" w16cid:durableId="1182940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10111"/>
    <w:rsid w:val="00B47730"/>
    <w:rsid w:val="00CB0664"/>
    <w:rsid w:val="00CB6828"/>
    <w:rsid w:val="00DB1E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4D947"/>
  <w14:defaultImageDpi w14:val="300"/>
  <w15:docId w15:val="{7BCCFE2A-0AD0-40E0-98C8-0858F62D9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1105</Words>
  <Characters>6303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Upadhyay</cp:lastModifiedBy>
  <cp:revision>2</cp:revision>
  <dcterms:created xsi:type="dcterms:W3CDTF">2013-12-23T23:15:00Z</dcterms:created>
  <dcterms:modified xsi:type="dcterms:W3CDTF">2026-06-07T08:25:00Z</dcterms:modified>
  <cp:category/>
</cp:coreProperties>
</file>