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ANNEXURE-23: Fixed Grating Structure</w:t>
      </w:r>
    </w:p>
    <w:p>
      <w:r>
        <w:t>Revision: 1.0</w:t>
      </w:r>
    </w:p>
    <w:p>
      <w:r>
        <w:t>Department Visibility: Shared</w:t>
      </w:r>
    </w:p>
    <w:p>
      <w:r>
        <w:t>Grating integrity, clamps, openings, handrails, and load safety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