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ANNEXURE-22: Unit Start-up Checklist</w:t>
      </w:r>
    </w:p>
    <w:p>
      <w:r>
        <w:t>Revision: 1.0</w:t>
      </w:r>
    </w:p>
    <w:p>
      <w:r>
        <w:t>Department Visibility: Shared</w:t>
      </w:r>
    </w:p>
    <w:p>
      <w:r>
        <w:t>Line-up, utilities, permits, communication, and startup authorization</w:t>
      </w:r>
    </w:p>
    <w:tbl>
      <w:tblPr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r>
        <w:tc>
          <w:p>
            <w:r>
              <w:t>PSSR Number</w:t>
            </w:r>
          </w:p>
        </w:tc>
        <w:tc>
          <w:p>
            <w:r>
              <w:t/>
            </w:r>
          </w:p>
        </w:tc>
      </w:tr>
      <w:tr>
        <w:tc>
          <w:p>
            <w:r>
              <w:t>Unit / Area</w:t>
            </w:r>
          </w:p>
        </w:tc>
        <w:tc>
          <w:p>
            <w:r>
              <w:t/>
            </w:r>
          </w:p>
        </w:tc>
      </w:tr>
      <w:tr>
        <w:tc>
          <w:p>
            <w:r>
              <w:t>MOC Reference</w:t>
            </w:r>
          </w:p>
        </w:tc>
        <w:tc>
          <w:p>
            <w:r>
              <w:t/>
            </w:r>
          </w:p>
        </w:tc>
      </w:tr>
      <w:tr>
        <w:tc>
          <w:p>
            <w:r>
              <w:t>Prepared By</w:t>
            </w:r>
          </w:p>
        </w:tc>
        <w:tc>
          <w:p>
            <w:r>
              <w:t/>
            </w:r>
          </w:p>
        </w:tc>
      </w:tr>
      <w:tr>
        <w:tc>
          <w:p>
            <w:r>
              <w:t>Reviewed By</w:t>
            </w:r>
          </w:p>
        </w:tc>
        <w:tc>
          <w:p>
            <w:r>
              <w:t/>
            </w:r>
          </w:p>
        </w:tc>
      </w:tr>
    </w:tbl>
    <w:p>
      <w:pPr>
        <w:pStyle w:val="Heading1"/>
      </w:pPr>
      <w:r>
        <w:t>Approval Block</w:t>
      </w:r>
    </w:p>
    <w:tbl>
      <w:tblPr>
        <w:tblBorders>
          <w:top w:val="single" w:sz="4" w:space="0" w:color="9CA3AF"/>
          <w:left w:val="single" w:sz="4" w:space="0" w:color="9CA3AF"/>
          <w:bottom w:val="single" w:sz="4" w:space="0" w:color="9CA3AF"/>
          <w:right w:val="single" w:sz="4" w:space="0" w:color="9CA3AF"/>
          <w:insideH w:val="single" w:sz="4" w:space="0" w:color="9CA3AF"/>
          <w:insideV w:val="single" w:sz="4" w:space="0" w:color="9CA3AF"/>
        </w:tblBorders>
      </w:tblPr>
      <w:tr>
        <w:tc>
          <w:p>
            <w:r>
              <w:t>Role</w:t>
            </w:r>
          </w:p>
        </w:tc>
        <w:tc>
          <w:p>
            <w:r>
              <w:t>Name</w:t>
            </w:r>
          </w:p>
        </w:tc>
        <w:tc>
          <w:p>
            <w:r>
              <w:t>Department</w:t>
            </w:r>
          </w:p>
        </w:tc>
        <w:tc>
          <w:p>
            <w:r>
              <w:t>Signature</w:t>
            </w:r>
          </w:p>
        </w:tc>
        <w:tc>
          <w:p>
            <w:r>
              <w:t>Date</w:t>
            </w:r>
          </w:p>
        </w:tc>
      </w:tr>
      <w:tr>
        <w:tc>
          <w:p>
            <w:r>
              <w:t>Operations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Safety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  <w:tr>
        <w:tc>
          <w:p>
            <w:r>
              <w:t>Area Owner</w:t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  <w:tc>
          <w:p>
            <w:r>
              <w:t/>
            </w:r>
          </w:p>
        </w:tc>
      </w:tr>
    </w:tbl>
    <w:sectPr>
      <w:pgSz w:w="11906" w:h="16838"/>
    </w:sectPr>
  </w:body>
</w:document>
</file>