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COURSE PROJECT PROPOSAL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Data Science</w:t>
      </w:r>
    </w:p>
    <w:p>
      <w:pPr>
        <w:spacing w:after="32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SentinelAI-Lite: Unsupervised Isolation-Forest Anomaly Detection with TreeSHAP Root-Cause Attribution on NASA C-MAPSS Telemetry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1. Project Overview &amp; Problem Statement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Industrial equipment monitored by dense sensor arrays typically relies on static, single-channel threshold alerts, which produce high false-alarm rates during benign operational shifts and give operators no indication of which physical sub-component actually triggered an alert. This project builds a scaled-down, single-author version of that idea: an unsupervised pipeline that (1) detects multivariate anomalies in multi-sensor telemetry using only healthy operating data, and (2) attributes a flagged anomaly to the specific sensor channel(s) that drove it.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is a deliberately trimmed version of a larger, multi-model proposal. The original design paired two detection models (Isolation Forest and an LSTM-Autoencoder), two-to-three explainability methods, and Extreme-Value-Theory thresholding with a live Streamlit dashboard — a scope realistically sized for a team over a full semester, not one author in a single course. This version keeps the parts that carry the scientific content (unsupervised detection trained strictly on nominal data, and root-cause attribution on the flagged output) and cuts the parts that were mainly engineering overhead (a second model architecture, a second explainability method, advanced tail-fitting statistics, and a UI layer).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2. Project Objectives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Objective 1 — Telemetry Preprocessing: </w:t>
      </w:r>
      <w:r>
        <w:rPr>
          <w:rFonts w:ascii="Calibri" w:cs="Calibri" w:eastAsia="Calibri" w:hAnsi="Calibri"/>
          <w:sz w:val="22"/>
          <w:szCs w:val="22"/>
        </w:rPr>
        <w:t xml:space="preserve">build an ingestion pipeline that prunes uninformative sensors, applies EMA denoising, and extracts rolling-window statistical features (mean, standard deviation, delta) across the remaining sensor channels.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Objective 2 — Unsupervised Detection: </w:t>
      </w:r>
      <w:r>
        <w:rPr>
          <w:rFonts w:ascii="Calibri" w:cs="Calibri" w:eastAsia="Calibri" w:hAnsi="Calibri"/>
          <w:sz w:val="22"/>
          <w:szCs w:val="22"/>
        </w:rPr>
        <w:t xml:space="preserve">train an Isolation Forest strictly on rolling-window features from nominal (healthy) operating cycles, so no failure labels are used anywhere during model fitting.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Objective 3 — Adaptive Thresholding: </w:t>
      </w:r>
      <w:r>
        <w:rPr>
          <w:rFonts w:ascii="Calibri" w:cs="Calibri" w:eastAsia="Calibri" w:hAnsi="Calibri"/>
          <w:sz w:val="22"/>
          <w:szCs w:val="22"/>
        </w:rPr>
        <w:t xml:space="preserve">convert continuous anomaly scores into binary alerts using a percentile/IQR threshold fit only on healthy-cycle scores, avoiding a hand-picked constant threshold.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Objective 4 — Root-Cause Attribution: </w:t>
      </w:r>
      <w:r>
        <w:rPr>
          <w:rFonts w:ascii="Calibri" w:cs="Calibri" w:eastAsia="Calibri" w:hAnsi="Calibri"/>
          <w:sz w:val="22"/>
          <w:szCs w:val="22"/>
        </w:rPr>
        <w:t xml:space="preserve">apply TreeSHAP to the fitted Isolation Forest so that every flagged anomaly comes with a ranked list of the sensor channels that contributed most to the score, closing the gap between “an alert fired” and “here is the likely component.”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Objective 5 — Quantitative Evaluation: </w:t>
      </w:r>
      <w:r>
        <w:rPr>
          <w:rFonts w:ascii="Calibri" w:cs="Calibri" w:eastAsia="Calibri" w:hAnsi="Calibri"/>
          <w:sz w:val="22"/>
          <w:szCs w:val="22"/>
        </w:rPr>
        <w:t xml:space="preserve">convert Remaining Useful Life (RUL) trajectories into binary evaluation labels via a fixed degradation threshold, and report Precision, Recall, F1-Score, and Early Warning Lead Time on held-out engine units never used in training.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3. Dataset Specifications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</w:rPr>
        <w:t xml:space="preserve">3.1 Dataset Identity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project uses the NASA Commercial Modular Aero-Propulsion System Simulation (C-MAPSS) dataset, specifically the FD001 sub-dataset — the standard benchmark for prognostics and health management (PHM) research, released for the 2008 PHM Data Challenge and maintained by the NASA Prognostics Center of Excellence.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</w:rPr>
        <w:t xml:space="preserve">3.2 Why FD001 Specifically — Not FD002/FD003/FD004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C-MAPSS ships four sub-datasets that differ in operating-condition count and fault-mode count. FD001 has a single operating condition and a single fault mode (HPC degradation); FD002 and FD004 have six operating conditions, which would require an additional regime-clustering or regime-conditioning step before anomaly scoring is meaningful — a legitimate extension, but one that adds a whole additional modeling stage. Restricting to FD001 keeps the sensor-behavior-to-anomaly-score relationship direct and interpretable, which matters for a project whose second half is explainability.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</w:rPr>
        <w:t xml:space="preserve">3.3 Ground-Truth Label Derivation for Evaluation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Model training is strictly unsupervised — zero failure labels are used at any point while fitting the Isolation Forest. Binary ground-truth labels are constructed only for held-out engines, purely to compute evaluation metrics after the fact: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y(t) = 0 if RUL(t) &gt; 30  (nominal)      y(t) = 1 if RUL(t) ≤ 30  (degraded / anomalous)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30-cycle threshold reflects the standard degradation-onset convention in predictive-maintenance literature. This is separate from the ~125-cycle RUL-capping convention used in supervised RUL-regression work; since RUL is never used as a training target here, no capping is required.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</w:rPr>
        <w:t xml:space="preserve">3.4 Data Splitting Strategy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Only train_FD001.txt is used for both training and evaluation in this project's primary results, and the split is performed at the engine-unit level rather than by row, since consecutive cycles from the same engine are highly correlated and a row-wise split would leak future degradation state into training. Of the 100 engines in train_FD001.txt, 70 are designated as training engines (only their early, high-RUL cycles are used, to fit scalers and the Isolation Forest exclusively on healthy behavior) and the remaining 30 are held out in full, run-to-failure, and never touched during training.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officially provided test_FD001.txt / RUL_FD001.txt pair is deliberately not used as the primary evaluation source: those trajectories are truncated at an arbitrary point before failure, which makes them unsuitable for computing the Early Warning Lead Time metric (Section 5) that requires observing the full run-to-failure trajectory. That pair is reserved as an optional final sanity check, not a core deliverable.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4. Technical Architecture &amp; Methodology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</w:rPr>
        <w:t xml:space="preserve">4.1 Pipeline Overview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Data Ingestion, Sensor Pruning &amp; Grouped Split  →  EMA Denoising &amp; Rolling-Window Feature Extraction  →  Isolation Forest (trained on nominal cycles only)  →  Percentile/IQR Adaptive Thresholding  →  TreeSHAP Root-Cause Attribution  →  Static Evaluation Report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</w:rPr>
        <w:t xml:space="preserve">4.2 Phase 1 — Ingestion, Sensor Pruning &amp; Grouped Splitting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Drop near-constant sensors (a standard, documented preprocessing step for C-MAPSS — several of the 21 raw sensor channels carry effectively zero variance in FD001 and add no signal), retaining the informative subset plus the 3 operating-condition settings.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Engine-level train/holdout split as defined in Section 3.4.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Feature scalers (e.g., StandardScaler) fit strictly on early-life, nominal cycles of the 70 training engines.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</w:rPr>
        <w:t xml:space="preserve">4.3 Phase 2 — Feature Engineering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EMA (exponential moving average) denoising per retained sensor channel.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Rolling-window features over a fixed window size W: mean, standard deviation, and lag difference (delta) per channel.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</w:rPr>
        <w:t xml:space="preserve">4.4 Phase 3 — Detection Model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Isolation Forest partitions the rolling-feature space and uses the resulting isolation path length as an anomaly score; shorter average paths indicate a point is easier to isolate and therefore more anomalous. It is fit only on rolling-window features from the healthy-cycle training data, with no failure examples seen during fitting.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</w:rPr>
        <w:t xml:space="preserve">4.5 Phase 4 — Adaptive Thresholding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percentile/IQR threshold (Q3 + 1.5×IQR of the anomaly-score distribution on healthy training cycles) converts continuous scores into binary alerts. This is a deliberate simplification from Extreme Value Theory tail-fitting: IQR-based thresholding is robust to skewed distributions, easy to justify without additional distributional testing, and appropriate for a single-model, single-author project scope. EVT is listed as a stretch goal only (Section 7).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</w:rPr>
        <w:t xml:space="preserve">4.6 Phase 5 — Root-Cause Attribution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TreeSHAP is applied to the fitted Isolation Forest to attribute each flagged cycle's anomaly score to individual rolling-window features, which map back to physical sensor channels. Note on interpretation: C-MAPSS sensor channels are physically correlated (e.g., HPT temperature and core rotor speed co-move during degradation), so the highest-attribution channel indicates a strong association with the fault rather than a guaranteed sole root cause; attribution results are cross-checked qualitatively against documented C-MAPSS failure-mode behavior rather than presented as definitive causal proof.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</w:rPr>
        <w:t xml:space="preserve">4.7 Phase 6 — Reporting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Deliverables are static, saved outputs rather than a live interface: anomaly-score-vs-cycle plots with the threshold line overlaid for each held-out engine, and SHAP summary/waterfall plots for a representative sample of flagged anomalies. This removes the dashboard-engineering workload while keeping the same diagnostic content a dashboard would show.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5. Evaluation Protocol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All evaluation is performed exclusively on the 30 held-out engines never seen during training, using the RUL-derived binary labels defined in Section 3.3.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Point-wise Precision, Recall, and F1-Score: false-alarm rate during healthy early life versus true-positive detection during the wear-out phase.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Anomaly-score distribution comparison: nominal-cycle scores versus degraded-cycle scores, to visually and statistically validate threshold separation.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Earliest Detection Cycle (lead time): the gap between the model's first sustained anomalous trigger — defined as N consecutive cycles above the adaptive threshold, to avoid crediting a single noisy spike — and the terminal failure cycle, averaged across the 30 held-out engines.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6. Implementation Roadmap &amp; Milestones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10-week timeline, sized for one author working part-time alongside other coursework: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10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40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30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 / Exit Criteria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Acquire C-MAPSS FD001; sensor pruning &amp; EDA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train_FD001.txt loaded; near-constant sensors identified and dropped; correlation plot of remaining 14 sensors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Grouped engine-level train/holdout split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70 engines (nominal early cycles) for training, 30 full run-to-failure engines held out; split logic unit-tested to confirm no engine appears in both sets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EMA denoising + rolling-window feature engineering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Feature table (mean/std/delta per sensor over window W) generated for both splits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Train Isolation Forest on nominal-only training features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Fitted model; anomaly-score distribution plotted for healthy training cycles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Percentile/IQR adaptive thresholding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Threshold (Q3 + 1.5×IQR of healthy scores) computed and frozen from training data only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Apply model + threshold to held-out engines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Anomaly scores and binary flags generated across all 30 held-out run-to-failure trajectories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TreeSHAP root-cause attribution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Per-flagged-cycle SHAP values computed; ranked sensor-contribution list for a sample of flagged anomalies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Evaluation: P/R/F1 + Early Warning Lead Time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RUL≤30 binary labels applied to held-out set only; metrics table produced, broken down per engine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Static reporting: score timelines + SHAP plots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Saved matplotlib/seaborn figures (score-vs-cycle with threshold line, SHAP summary/waterfall) for report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Report finalization + reproducibility check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report; code runs end-to-end on a clean checkout producing the same headline metrics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7. Explicit Scope Boundaries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Stated up front to prevent the scope creep present in the original larger design: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40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 Scope (MVP)</w:t>
            </w:r>
          </w:p>
        </w:tc>
        <w:tc>
          <w:tcPr>
            <w:tcW w:type="dxa" w:w="440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 of Scope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C-MAPSS FD001 only (1 operating condition, 1 fault mode)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FD002 / FD003 / FD004 (multiple operating regimes — requires regime clustering)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Isolation Forest as the sole detection model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LSTM-Autoencoder / any sequence deep-learning model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Percentile / IQR adaptive threshold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Extreme Value Theory (GPD / peaks-over-threshold) fitting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TreeSHAP as the sole explainability method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Bifurcated explainability (residual decomposition + TreeSHAP + GradientSHAP)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Static evaluation report: saved plots + metrics tables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Live Streamlit dashboard / real-time interface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Grouped (engine-level) train/holdout split on train_FD001.txt only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 of the official truncated test_FD001.txt / RUL_FD001.txt pair as the primary metric source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Stretch goals (attempted only after the MVP in the left column is fully working and evaluated): adding the LSTM-Autoencoder as a second detection model and comparing its lead-time/F1 performance against Isolation Forest; replacing the percentile/IQR threshold with an EVT/GPD fit where the residual distribution is shown to be heavy-tailed; extending to FD002 with a regime-clustering preprocessing step; wrapping the static report in a minimal Streamlit view.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8. Tools, Frameworks &amp; Tech Stack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Language: Python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Data Manipulation &amp; Metrics: NumPy, Pandas, SciPy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Modeling: Scikit-Learn (IsolationForest)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Model Interpretability: SHAP (TreeExplainer)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Visualization: Matplotlib, Seaborn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Environment: Jupyter notebooks for exploration; standalone scripts for the reproducible pipeline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9. Risks &amp; Mitigations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Risk — TreeSHAP compatibility with Isolation Forest's scoring function: </w:t>
      </w:r>
      <w:r>
        <w:rPr>
          <w:rFonts w:ascii="Calibri" w:cs="Calibri" w:eastAsia="Calibri" w:hAnsi="Calibri"/>
          <w:sz w:val="22"/>
          <w:szCs w:val="22"/>
        </w:rPr>
        <w:t xml:space="preserve">SHAP's TreeExplainer is designed for models with a well-defined tree-ensemble output, and Isolation Forest's anomaly score (based on path length) is a less standard target than a classifier's probability output. Mitigation: validate TreeExplainer output against Isolation Forest's decision_function on a small synthetic test case in Week 7 before relying on it for the full held-out set; if SHAP integration proves unstable, fall back to permutation feature importance restricted to flagged anomalies, which is more effort but no scope change.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Risk — Over-aggressive sensor pruning: </w:t>
      </w:r>
      <w:r>
        <w:rPr>
          <w:rFonts w:ascii="Calibri" w:cs="Calibri" w:eastAsia="Calibri" w:hAnsi="Calibri"/>
          <w:sz w:val="22"/>
          <w:szCs w:val="22"/>
        </w:rPr>
        <w:t xml:space="preserve">dropping a sensor that looks constant on training data but carries signal in degraded regimes. Mitigation: pruning decisions are based on variance computed across the full training-engine trajectories (including their later, more degraded cycles), not only early healthy cycles.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Risk — Threshold instability across engines: </w:t>
      </w:r>
      <w:r>
        <w:rPr>
          <w:rFonts w:ascii="Calibri" w:cs="Calibri" w:eastAsia="Calibri" w:hAnsi="Calibri"/>
          <w:sz w:val="22"/>
          <w:szCs w:val="22"/>
        </w:rPr>
        <w:t xml:space="preserve">a single global threshold may be too strict for some engines and too loose for others given engine-to-engine variability. Mitigation: report per-engine F1 alongside the aggregate, and treat large per-engine variance as a discussion point in the final report rather than a failure to hide.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2026-09-24T20:08:46.210Z</dcterms:created>
  <dcterms:modified xsi:type="dcterms:W3CDTF">2026-09-24T20:08:46.219Z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