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84"/>
          <w:szCs w:val="84"/>
        </w:rPr>
      </w:pPr>
      <w:bookmarkStart w:colFirst="0" w:colLast="0" w:name="_vc0vn7r3hgqm" w:id="0"/>
      <w:bookmarkEnd w:id="0"/>
      <w:r w:rsidDel="00000000" w:rsidR="00000000" w:rsidRPr="00000000">
        <w:rPr>
          <w:sz w:val="84"/>
          <w:szCs w:val="84"/>
          <w:rtl w:val="0"/>
        </w:rPr>
        <w:t xml:space="preserve">Moja Reporting Tool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color w:val="5b9bd5"/>
          <w:sz w:val="48"/>
          <w:szCs w:val="48"/>
        </w:rPr>
      </w:pPr>
      <w:bookmarkStart w:colFirst="0" w:colLast="0" w:name="_lldbeu524bxh" w:id="1"/>
      <w:bookmarkEnd w:id="1"/>
      <w:r w:rsidDel="00000000" w:rsidR="00000000" w:rsidRPr="00000000">
        <w:rPr>
          <w:color w:val="5b9bd5"/>
          <w:sz w:val="48"/>
          <w:szCs w:val="48"/>
          <w:rtl w:val="0"/>
        </w:rPr>
        <w:t xml:space="preserve">BUILD GUIDE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0" w:lineRule="auto"/>
        <w:jc w:val="center"/>
        <w:rPr/>
      </w:pPr>
      <w:r w:rsidDel="00000000" w:rsidR="00000000" w:rsidRPr="00000000">
        <w:rPr>
          <w:rtl w:val="0"/>
        </w:rPr>
        <w:t xml:space="preserve">02 December</w:t>
      </w:r>
      <w:r w:rsidDel="00000000" w:rsidR="00000000" w:rsidRPr="00000000">
        <w:rPr>
          <w:rtl w:val="0"/>
        </w:rPr>
        <w:t xml:space="preserve"> 2020</w:t>
      </w:r>
    </w:p>
    <w:p w:rsidR="00000000" w:rsidDel="00000000" w:rsidP="00000000" w:rsidRDefault="00000000" w:rsidRPr="00000000" w14:paraId="00000006">
      <w:pPr>
        <w:spacing w:after="240" w:before="0" w:lineRule="auto"/>
        <w:jc w:val="center"/>
        <w:rPr/>
      </w:pPr>
      <w:r w:rsidDel="00000000" w:rsidR="00000000" w:rsidRPr="00000000">
        <w:rPr>
          <w:rtl w:val="0"/>
        </w:rPr>
      </w:r>
    </w:p>
    <w:p w:rsidR="00000000" w:rsidDel="00000000" w:rsidP="00000000" w:rsidRDefault="00000000" w:rsidRPr="00000000" w14:paraId="00000007">
      <w:pPr>
        <w:spacing w:after="240" w:before="0" w:lineRule="auto"/>
        <w:jc w:val="center"/>
        <w:rPr/>
      </w:pPr>
      <w:r w:rsidDel="00000000" w:rsidR="00000000" w:rsidRPr="00000000">
        <w:rPr>
          <w:rtl w:val="0"/>
        </w:rPr>
      </w:r>
    </w:p>
    <w:p w:rsidR="00000000" w:rsidDel="00000000" w:rsidP="00000000" w:rsidRDefault="00000000" w:rsidRPr="00000000" w14:paraId="00000008">
      <w:pPr>
        <w:spacing w:after="240" w:before="0" w:lineRule="auto"/>
        <w:jc w:val="center"/>
        <w:rPr/>
      </w:pPr>
      <w:r w:rsidDel="00000000" w:rsidR="00000000" w:rsidRPr="00000000">
        <w:rPr>
          <w:rtl w:val="0"/>
        </w:rPr>
      </w:r>
    </w:p>
    <w:p w:rsidR="00000000" w:rsidDel="00000000" w:rsidP="00000000" w:rsidRDefault="00000000" w:rsidRPr="00000000" w14:paraId="00000009">
      <w:pPr>
        <w:spacing w:after="240" w:before="0" w:lineRule="auto"/>
        <w:jc w:val="center"/>
        <w:rPr/>
      </w:pPr>
      <w:r w:rsidDel="00000000" w:rsidR="00000000" w:rsidRPr="00000000">
        <w:rPr>
          <w:rtl w:val="0"/>
        </w:rPr>
      </w:r>
    </w:p>
    <w:p w:rsidR="00000000" w:rsidDel="00000000" w:rsidP="00000000" w:rsidRDefault="00000000" w:rsidRPr="00000000" w14:paraId="0000000A">
      <w:pPr>
        <w:spacing w:after="240" w:before="0" w:lineRule="auto"/>
        <w:jc w:val="center"/>
        <w:rPr/>
      </w:pPr>
      <w:r w:rsidDel="00000000" w:rsidR="00000000" w:rsidRPr="00000000">
        <w:rPr/>
        <w:drawing>
          <wp:inline distB="114300" distT="114300" distL="114300" distR="114300">
            <wp:extent cx="2353528" cy="1709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3528"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0" w:lineRule="auto"/>
        <w:jc w:val="center"/>
        <w:rPr/>
      </w:pPr>
      <w:r w:rsidDel="00000000" w:rsidR="00000000" w:rsidRPr="00000000">
        <w:rPr>
          <w:rtl w:val="0"/>
        </w:rPr>
      </w:r>
    </w:p>
    <w:p w:rsidR="00000000" w:rsidDel="00000000" w:rsidP="00000000" w:rsidRDefault="00000000" w:rsidRPr="00000000" w14:paraId="0000000C">
      <w:pPr>
        <w:spacing w:after="240" w:before="0" w:lineRule="auto"/>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pStyle w:val="Heading1"/>
        <w:rPr>
          <w:sz w:val="48"/>
          <w:szCs w:val="48"/>
        </w:rPr>
      </w:pPr>
      <w:bookmarkStart w:colFirst="0" w:colLast="0" w:name="_9zlbxalpg1r"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sz w:val="36"/>
          <w:szCs w:val="36"/>
        </w:rPr>
      </w:pPr>
      <w:bookmarkStart w:colFirst="0" w:colLast="0" w:name="_tzv19tq4mrg2"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document is a second installment in a series of guides detailing how to set up and operate the Reporting Tool. Its role is to lay out a step by step guide on how to build the Reporting Tool source code into an executable format. It assumes that you have already set up the needed environment as detailed in the first guide:</w:t>
      </w:r>
      <w:r w:rsidDel="00000000" w:rsidR="00000000" w:rsidRPr="00000000">
        <w:rPr>
          <w:rtl w:val="0"/>
        </w:rPr>
        <w:t xml:space="preserve"> </w:t>
      </w:r>
      <w:hyperlink r:id="rId7">
        <w:r w:rsidDel="00000000" w:rsidR="00000000" w:rsidRPr="00000000">
          <w:rPr>
            <w:color w:val="1155cc"/>
            <w:rtl w:val="0"/>
          </w:rPr>
          <w:t xml:space="preserve">Setting Up The Reporting Tool Environment</w:t>
        </w:r>
      </w:hyperlink>
      <w:r w:rsidDel="00000000" w:rsidR="00000000" w:rsidRPr="00000000">
        <w:rPr>
          <w:rtl w:val="0"/>
        </w:rPr>
        <w:t xml:space="preserv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before="0" w:lineRule="auto"/>
        <w:rPr/>
      </w:pPr>
      <w:r w:rsidDel="00000000" w:rsidR="00000000" w:rsidRPr="00000000">
        <w:rPr>
          <w:rtl w:val="0"/>
        </w:rPr>
      </w:r>
    </w:p>
    <w:p w:rsidR="00000000" w:rsidDel="00000000" w:rsidP="00000000" w:rsidRDefault="00000000" w:rsidRPr="00000000" w14:paraId="00000018">
      <w:pPr>
        <w:pStyle w:val="Heading1"/>
        <w:rPr/>
      </w:pPr>
      <w:bookmarkStart w:colFirst="0" w:colLast="0" w:name="_91doeql2f5qm" w:id="4"/>
      <w:bookmarkEnd w:id="4"/>
      <w:r w:rsidDel="00000000" w:rsidR="00000000" w:rsidRPr="00000000">
        <w:rPr>
          <w:rtl w:val="0"/>
        </w:rPr>
        <w:t xml:space="preserve">Prerequisites</w:t>
      </w:r>
    </w:p>
    <w:p w:rsidR="00000000" w:rsidDel="00000000" w:rsidP="00000000" w:rsidRDefault="00000000" w:rsidRPr="00000000" w14:paraId="00000019">
      <w:pPr>
        <w:rPr/>
      </w:pPr>
      <w:r w:rsidDel="00000000" w:rsidR="00000000" w:rsidRPr="00000000">
        <w:rPr>
          <w:rtl w:val="0"/>
        </w:rPr>
        <w:t xml:space="preserve">We need to meet two preconditions in order to successfully build the Reporting Tool:</w:t>
      </w:r>
    </w:p>
    <w:p w:rsidR="00000000" w:rsidDel="00000000" w:rsidP="00000000" w:rsidRDefault="00000000" w:rsidRPr="00000000" w14:paraId="0000001A">
      <w:pPr>
        <w:rPr/>
      </w:pPr>
      <w:r w:rsidDel="00000000" w:rsidR="00000000" w:rsidRPr="00000000">
        <w:rPr>
          <w:rtl w:val="0"/>
        </w:rPr>
      </w:r>
    </w:p>
    <w:tbl>
      <w:tblPr>
        <w:tblStyle w:val="Table1"/>
        <w:tblW w:w="10635.0" w:type="dxa"/>
        <w:jc w:val="left"/>
        <w:tblInd w:w="10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720"/>
        <w:gridCol w:w="2910"/>
        <w:gridCol w:w="7005"/>
        <w:tblGridChange w:id="0">
          <w:tblGrid>
            <w:gridCol w:w="720"/>
            <w:gridCol w:w="2910"/>
            <w:gridCol w:w="7005"/>
          </w:tblGrid>
        </w:tblGridChange>
      </w:tblGrid>
      <w:tr>
        <w:trPr>
          <w:cantSplit w:val="0"/>
          <w:trHeight w:val="750" w:hRule="atLeast"/>
          <w:tblHeader w:val="0"/>
        </w:trPr>
        <w:tc>
          <w:tcPr>
            <w:tcBorders>
              <w:top w:color="999999" w:space="0" w:sz="4" w:val="single"/>
              <w:left w:color="999999" w:space="0" w:sz="4" w:val="single"/>
              <w:right w:color="999999"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1B">
            <w:pPr>
              <w:pStyle w:val="Heading4"/>
              <w:rPr/>
            </w:pPr>
            <w:bookmarkStart w:colFirst="0" w:colLast="0" w:name="_uuoni43esqa3" w:id="5"/>
            <w:bookmarkEnd w:id="5"/>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rPr/>
            </w:pPr>
            <w:r w:rsidDel="00000000" w:rsidR="00000000" w:rsidRPr="00000000">
              <w:rPr>
                <w:rtl w:val="0"/>
              </w:rPr>
              <w:t xml:space="preserve">Prerequirement</w:t>
            </w:r>
          </w:p>
        </w:tc>
      </w:tr>
      <w:tr>
        <w:trPr>
          <w:cantSplit w:val="0"/>
          <w:trHeight w:val="420" w:hRule="atLeast"/>
          <w:tblHeader w:val="0"/>
        </w:trPr>
        <w:tc>
          <w:tcPr>
            <w:tcBorders>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w:t>
            </w:r>
          </w:p>
        </w:tc>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rtl w:val="0"/>
              </w:rPr>
              <w:t xml:space="preserve">Ascertaining that the Reporting Tool Source Code has been successfully cloned to the build server</w:t>
            </w:r>
          </w:p>
        </w:tc>
      </w:tr>
      <w:tr>
        <w:trPr>
          <w:cantSplit w:val="0"/>
          <w:trHeight w:val="420" w:hRule="atLeast"/>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2.</w:t>
            </w:r>
          </w:p>
        </w:tc>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rPr/>
            </w:pPr>
            <w:r w:rsidDel="00000000" w:rsidR="00000000" w:rsidRPr="00000000">
              <w:rPr>
                <w:rtl w:val="0"/>
              </w:rPr>
              <w:t xml:space="preserve">Ascertaining that the Reporting Tool System Environment has been successfully set up</w:t>
            </w:r>
          </w:p>
        </w:tc>
      </w:tr>
    </w:tbl>
    <w:p w:rsidR="00000000" w:rsidDel="00000000" w:rsidP="00000000" w:rsidRDefault="00000000" w:rsidRPr="00000000" w14:paraId="00000024">
      <w:pPr>
        <w:pStyle w:val="Heading2"/>
        <w:rPr/>
      </w:pPr>
      <w:bookmarkStart w:colFirst="0" w:colLast="0" w:name="_d8zhnq66u1o" w:id="6"/>
      <w:bookmarkEnd w:id="6"/>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xwfywvgge2s3" w:id="7"/>
      <w:bookmarkEnd w:id="7"/>
      <w:r w:rsidDel="00000000" w:rsidR="00000000" w:rsidRPr="00000000">
        <w:rPr>
          <w:rtl w:val="0"/>
        </w:rPr>
        <w:t xml:space="preserve">Outline</w:t>
      </w:r>
    </w:p>
    <w:p w:rsidR="00000000" w:rsidDel="00000000" w:rsidP="00000000" w:rsidRDefault="00000000" w:rsidRPr="00000000" w14:paraId="00000026">
      <w:pPr>
        <w:rPr/>
      </w:pPr>
      <w:r w:rsidDel="00000000" w:rsidR="00000000" w:rsidRPr="00000000">
        <w:rPr>
          <w:rtl w:val="0"/>
        </w:rPr>
        <w:t xml:space="preserve">There are four key steps that we need to take to successfully build the Reporting Tool Source Code:</w:t>
      </w:r>
    </w:p>
    <w:p w:rsidR="00000000" w:rsidDel="00000000" w:rsidP="00000000" w:rsidRDefault="00000000" w:rsidRPr="00000000" w14:paraId="00000027">
      <w:pPr>
        <w:rPr/>
      </w:pPr>
      <w:r w:rsidDel="00000000" w:rsidR="00000000" w:rsidRPr="00000000">
        <w:rPr>
          <w:rtl w:val="0"/>
        </w:rPr>
      </w:r>
    </w:p>
    <w:tbl>
      <w:tblPr>
        <w:tblStyle w:val="Table2"/>
        <w:tblW w:w="10635.0" w:type="dxa"/>
        <w:jc w:val="left"/>
        <w:tblInd w:w="10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720"/>
        <w:gridCol w:w="2910"/>
        <w:gridCol w:w="7005"/>
        <w:tblGridChange w:id="0">
          <w:tblGrid>
            <w:gridCol w:w="720"/>
            <w:gridCol w:w="2910"/>
            <w:gridCol w:w="7005"/>
          </w:tblGrid>
        </w:tblGridChange>
      </w:tblGrid>
      <w:tr>
        <w:trPr>
          <w:cantSplit w:val="0"/>
          <w:trHeight w:val="750" w:hRule="atLeast"/>
          <w:tblHeader w:val="0"/>
        </w:trPr>
        <w:tc>
          <w:tcPr>
            <w:tcBorders>
              <w:top w:color="999999" w:space="0" w:sz="4" w:val="single"/>
              <w:left w:color="999999" w:space="0" w:sz="4" w:val="single"/>
              <w:right w:color="999999"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28">
            <w:pPr>
              <w:pStyle w:val="Heading4"/>
              <w:rPr/>
            </w:pPr>
            <w:bookmarkStart w:colFirst="0" w:colLast="0" w:name="_8dj2cve1iznt" w:id="8"/>
            <w:bookmarkEnd w:id="8"/>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29">
            <w:pPr>
              <w:spacing w:line="240" w:lineRule="auto"/>
              <w:rPr/>
            </w:pPr>
            <w:r w:rsidDel="00000000" w:rsidR="00000000" w:rsidRPr="00000000">
              <w:rPr>
                <w:rtl w:val="0"/>
              </w:rPr>
              <w:t xml:space="preserve">Step</w:t>
            </w:r>
          </w:p>
        </w:tc>
      </w:tr>
      <w:tr>
        <w:trPr>
          <w:cantSplit w:val="0"/>
          <w:trHeight w:val="420" w:hRule="atLeast"/>
          <w:tblHeader w:val="0"/>
        </w:trPr>
        <w:tc>
          <w:tcPr>
            <w:tcBorders>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w:t>
            </w:r>
          </w:p>
        </w:tc>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rPr/>
            </w:pPr>
            <w:r w:rsidDel="00000000" w:rsidR="00000000" w:rsidRPr="00000000">
              <w:rPr>
                <w:rtl w:val="0"/>
              </w:rPr>
              <w:t xml:space="preserve">Cloning the Reporting Tool Source Code from Github</w:t>
            </w:r>
          </w:p>
        </w:tc>
      </w:tr>
      <w:tr>
        <w:trPr>
          <w:cantSplit w:val="0"/>
          <w:trHeight w:val="420" w:hRule="atLeast"/>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2.</w:t>
            </w:r>
          </w:p>
        </w:tc>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rPr/>
            </w:pPr>
            <w:r w:rsidDel="00000000" w:rsidR="00000000" w:rsidRPr="00000000">
              <w:rPr>
                <w:rtl w:val="0"/>
              </w:rPr>
              <w:t xml:space="preserve">Setting up the Reporting Tool System Environment</w:t>
            </w:r>
          </w:p>
        </w:tc>
      </w:tr>
      <w:tr>
        <w:trPr>
          <w:cantSplit w:val="0"/>
          <w:trHeight w:val="420" w:hRule="atLeast"/>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3.</w:t>
            </w:r>
          </w:p>
        </w:tc>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rPr/>
            </w:pPr>
            <w:r w:rsidDel="00000000" w:rsidR="00000000" w:rsidRPr="00000000">
              <w:rPr>
                <w:rtl w:val="0"/>
              </w:rPr>
              <w:t xml:space="preserve">Compiling the Reporting Tool Source Code and Building Docker Images out of it</w:t>
            </w:r>
          </w:p>
        </w:tc>
      </w:tr>
      <w:tr>
        <w:trPr>
          <w:cantSplit w:val="0"/>
          <w:trHeight w:val="420" w:hRule="atLeast"/>
          <w:tblHeader w:val="0"/>
        </w:trPr>
        <w:tc>
          <w:tcPr>
            <w:tcBorders>
              <w:top w:color="999999" w:space="0" w:sz="4" w:val="single"/>
              <w:left w:color="999999" w:space="0" w:sz="4" w:val="single"/>
              <w:bottom w:color="999999" w:space="0" w:sz="4" w:val="single"/>
              <w:right w:color="999999" w:space="0" w:sz="4" w:val="single"/>
            </w:tcBorders>
            <w:tcMar>
              <w:top w:w="100.80000000000001" w:type="dxa"/>
              <w:left w:w="100.80000000000001" w:type="dxa"/>
              <w:bottom w:w="100.80000000000001" w:type="dxa"/>
              <w:right w:w="100.80000000000001"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4.</w:t>
            </w:r>
          </w:p>
        </w:tc>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rPr/>
            </w:pPr>
            <w:r w:rsidDel="00000000" w:rsidR="00000000" w:rsidRPr="00000000">
              <w:rPr>
                <w:rtl w:val="0"/>
              </w:rPr>
              <w:t xml:space="preserve">Adding the built Docker Images to our private Docker Registry (and which Kubernetes has access to)</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will explore each of these steps in detail in the sections that follow with the exception of Step 1 and 2 which we covered extensively in the</w:t>
      </w:r>
      <w:r w:rsidDel="00000000" w:rsidR="00000000" w:rsidRPr="00000000">
        <w:rPr>
          <w:rtl w:val="0"/>
        </w:rPr>
        <w:t xml:space="preserve"> </w:t>
      </w:r>
      <w:hyperlink r:id="rId8">
        <w:r w:rsidDel="00000000" w:rsidR="00000000" w:rsidRPr="00000000">
          <w:rPr>
            <w:color w:val="1155cc"/>
            <w:rtl w:val="0"/>
          </w:rPr>
          <w:t xml:space="preserve">Reporting Tool Environment Setup Guide</w:t>
        </w:r>
      </w:hyperlink>
      <w:r w:rsidDel="00000000" w:rsidR="00000000" w:rsidRPr="00000000">
        <w:rPr>
          <w:rtl w:val="0"/>
        </w:rPr>
        <w:t xml:space="preserve">.</w:t>
      </w:r>
    </w:p>
    <w:p w:rsidR="00000000" w:rsidDel="00000000" w:rsidP="00000000" w:rsidRDefault="00000000" w:rsidRPr="00000000" w14:paraId="00000039">
      <w:pPr>
        <w:pStyle w:val="Heading2"/>
        <w:rPr/>
        <w:sectPr>
          <w:headerReference r:id="rId9" w:type="default"/>
          <w:headerReference r:id="rId10" w:type="first"/>
          <w:footerReference r:id="rId11" w:type="default"/>
          <w:footerReference r:id="rId12" w:type="first"/>
          <w:pgSz w:h="16838" w:w="11906" w:orient="portrait"/>
          <w:pgMar w:bottom="1080" w:top="1080" w:left="720" w:right="720" w:header="0" w:footer="720"/>
          <w:pgNumType w:start="1"/>
          <w:titlePg w:val="1"/>
        </w:sectPr>
      </w:pPr>
      <w:bookmarkStart w:colFirst="0" w:colLast="0" w:name="_3a5ecpxxlvd8" w:id="9"/>
      <w:bookmarkEnd w:id="9"/>
      <w:r w:rsidDel="00000000" w:rsidR="00000000" w:rsidRPr="00000000">
        <w:rPr>
          <w:rtl w:val="0"/>
        </w:rPr>
      </w:r>
    </w:p>
    <w:p w:rsidR="00000000" w:rsidDel="00000000" w:rsidP="00000000" w:rsidRDefault="00000000" w:rsidRPr="00000000" w14:paraId="0000003A">
      <w:pPr>
        <w:pStyle w:val="Heading1"/>
        <w:rPr/>
      </w:pPr>
      <w:bookmarkStart w:colFirst="0" w:colLast="0" w:name="_imk9jzrp94s5" w:id="10"/>
      <w:bookmarkEnd w:id="10"/>
      <w:r w:rsidDel="00000000" w:rsidR="00000000" w:rsidRPr="00000000">
        <w:rPr>
          <w:rtl w:val="0"/>
        </w:rPr>
        <w:t xml:space="preserve">Building The Reporting Tool</w:t>
      </w:r>
      <w:r w:rsidDel="00000000" w:rsidR="00000000" w:rsidRPr="00000000">
        <w:rPr>
          <w:rtl w:val="0"/>
        </w:rPr>
      </w:r>
    </w:p>
    <w:p w:rsidR="00000000" w:rsidDel="00000000" w:rsidP="00000000" w:rsidRDefault="00000000" w:rsidRPr="00000000" w14:paraId="0000003B">
      <w:pPr>
        <w:pStyle w:val="Heading2"/>
        <w:rPr/>
      </w:pPr>
      <w:bookmarkStart w:colFirst="0" w:colLast="0" w:name="_v1cuaujfhjcj" w:id="11"/>
      <w:bookmarkEnd w:id="11"/>
      <w:r w:rsidDel="00000000" w:rsidR="00000000" w:rsidRPr="00000000">
        <w:rPr>
          <w:rtl w:val="0"/>
        </w:rPr>
        <w:t xml:space="preserve">1. Building Reporting Tool Docker Images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order to compile the Reporting Tool Source Code and create Docker Images out of it, we need to:</w:t>
      </w:r>
    </w:p>
    <w:p w:rsidR="00000000" w:rsidDel="00000000" w:rsidP="00000000" w:rsidRDefault="00000000" w:rsidRPr="00000000" w14:paraId="0000003E">
      <w:pPr>
        <w:rPr/>
      </w:pPr>
      <w:r w:rsidDel="00000000" w:rsidR="00000000" w:rsidRPr="00000000">
        <w:rPr>
          <w:rtl w:val="0"/>
        </w:rPr>
      </w:r>
    </w:p>
    <w:tbl>
      <w:tblPr>
        <w:tblStyle w:val="Table3"/>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3F">
            <w:pPr>
              <w:widowControl w:val="0"/>
              <w:spacing w:after="0" w:before="0" w:line="240" w:lineRule="auto"/>
              <w:rPr/>
            </w:pPr>
            <w:r w:rsidDel="00000000" w:rsidR="00000000" w:rsidRPr="00000000">
              <w:rPr>
                <w:rtl w:val="0"/>
              </w:rPr>
              <w:t xml:space="preserve">1.1. Change the working directory  to the Reporting Tool’s System Services Setup Scripts Directory:</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~/reporting-tool/scripts/system/services</w:t>
            </w:r>
          </w:p>
        </w:tc>
      </w:tr>
      <w:tr>
        <w:trPr>
          <w:cantSplit w:val="0"/>
          <w:trHeight w:val="440" w:hRule="atLeast"/>
          <w:tblHeader w:val="0"/>
        </w:trPr>
        <w:tc>
          <w:tcPr>
            <w:gridSpan w:val="2"/>
            <w:tcBorders>
              <w:top w:color="ffffff" w:space="0" w:sz="8" w:val="single"/>
              <w:left w:color="4a86e8" w:space="0" w:sz="1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rPr>
                <w:rFonts w:ascii="Courier New" w:cs="Courier New" w:eastAsia="Courier New" w:hAnsi="Courier New"/>
                <w:sz w:val="20"/>
                <w:szCs w:val="20"/>
              </w:rPr>
            </w:pPr>
            <w:r w:rsidDel="00000000" w:rsidR="00000000" w:rsidRPr="00000000">
              <w:rPr>
                <w:color w:val="0b5394"/>
                <w:rtl w:val="0"/>
              </w:rPr>
              <w:t xml:space="preserve">This assumes that you cloned the Reporting Tool source code in the root of your home directory. </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4"/>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7">
            <w:pPr>
              <w:widowControl w:val="0"/>
              <w:spacing w:after="0" w:before="0" w:line="240" w:lineRule="auto"/>
              <w:rPr/>
            </w:pPr>
            <w:r w:rsidDel="00000000" w:rsidR="00000000" w:rsidRPr="00000000">
              <w:rPr>
                <w:rtl w:val="0"/>
              </w:rPr>
              <w:t xml:space="preserve">1.2. Invoke the Reporting Tool Services build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./build.sh</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5"/>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1.3. Change the working directory  to the Reporting Tool’s System Client Setup Scripts Directory:</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~/reporting-tool/scripts/system/client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urier New" w:cs="Courier New" w:eastAsia="Courier New" w:hAnsi="Courier New"/>
                <w:sz w:val="20"/>
                <w:szCs w:val="20"/>
              </w:rPr>
            </w:pPr>
            <w:r w:rsidDel="00000000" w:rsidR="00000000" w:rsidRPr="00000000">
              <w:rPr>
                <w:color w:val="0b5394"/>
                <w:rtl w:val="0"/>
              </w:rPr>
              <w:t xml:space="preserve">This assumes that you cloned the Reporting Tool source code in the root of your home directory. </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6"/>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1.4. Invoke the Reporting Tool Client build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./build.sh</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tjsh6l4pzllc" w:id="12"/>
      <w:bookmarkEnd w:id="12"/>
      <w:r w:rsidDel="00000000" w:rsidR="00000000" w:rsidRPr="00000000">
        <w:rPr>
          <w:rtl w:val="0"/>
        </w:rPr>
        <w:t xml:space="preserve">2. Registering Reporting Tool Docker Images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order to add the built images to our private Docker registry, we need to:</w:t>
      </w:r>
    </w:p>
    <w:p w:rsidR="00000000" w:rsidDel="00000000" w:rsidP="00000000" w:rsidRDefault="00000000" w:rsidRPr="00000000" w14:paraId="0000005E">
      <w:pPr>
        <w:rPr/>
      </w:pPr>
      <w:r w:rsidDel="00000000" w:rsidR="00000000" w:rsidRPr="00000000">
        <w:rPr>
          <w:rtl w:val="0"/>
        </w:rPr>
      </w:r>
    </w:p>
    <w:tbl>
      <w:tblPr>
        <w:tblStyle w:val="Table7"/>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2.1. Change the working directory  to the Reporting Tool’s System Services Setup Scripts Directory:</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~/reporting-tool/scripts/system/service</w:t>
            </w:r>
          </w:p>
        </w:tc>
      </w:tr>
      <w:tr>
        <w:trPr>
          <w:cantSplit w:val="0"/>
          <w:trHeight w:val="440" w:hRule="atLeast"/>
          <w:tblHeader w:val="0"/>
        </w:trPr>
        <w:tc>
          <w:tcPr>
            <w:gridSpan w:val="2"/>
            <w:tcBorders>
              <w:top w:color="ffffff" w:space="0" w:sz="8" w:val="single"/>
              <w:left w:color="4a86e8" w:space="0" w:sz="1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sz w:val="20"/>
                <w:szCs w:val="20"/>
              </w:rPr>
            </w:pPr>
            <w:r w:rsidDel="00000000" w:rsidR="00000000" w:rsidRPr="00000000">
              <w:rPr>
                <w:color w:val="0b5394"/>
                <w:rtl w:val="0"/>
              </w:rPr>
              <w:t xml:space="preserve">This assumes that you cloned the Reporting Tool source code in the root of your home directory. </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8"/>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2.2. Invoke the register script: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./register.sh</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9"/>
        <w:tblW w:w="97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2.3. Change the working directory  to the Reporting Tool’s System Client Setup Scripts Directory:</w:t>
            </w:r>
          </w:p>
        </w:tc>
      </w:tr>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~/reporting-tool/scripts/system/client</w:t>
            </w:r>
          </w:p>
        </w:tc>
      </w:tr>
      <w:tr>
        <w:trPr>
          <w:cantSplit w:val="0"/>
          <w:trHeight w:val="440" w:hRule="atLeast"/>
          <w:tblHeader w:val="0"/>
        </w:trPr>
        <w:tc>
          <w:tcPr>
            <w:gridSpan w:val="2"/>
            <w:tcBorders>
              <w:top w:color="ffffff" w:space="0" w:sz="8" w:val="single"/>
              <w:left w:color="4a86e8" w:space="0" w:sz="1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urier New" w:cs="Courier New" w:eastAsia="Courier New" w:hAnsi="Courier New"/>
                <w:sz w:val="20"/>
                <w:szCs w:val="20"/>
              </w:rPr>
            </w:pPr>
            <w:r w:rsidDel="00000000" w:rsidR="00000000" w:rsidRPr="00000000">
              <w:rPr>
                <w:color w:val="0b5394"/>
                <w:rtl w:val="0"/>
              </w:rPr>
              <w:t xml:space="preserve">This assumes that you cloned the Reporting Tool source code in the root of your home directory. </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tbl>
      <w:tblPr>
        <w:tblStyle w:val="Table10"/>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180"/>
        <w:tblGridChange w:id="0">
          <w:tblGrid>
            <w:gridCol w:w="540"/>
            <w:gridCol w:w="9180"/>
          </w:tblGrid>
        </w:tblGridChange>
      </w:tblGrid>
      <w:tr>
        <w:trPr>
          <w:cantSplit w:val="0"/>
          <w:trHeight w:val="440" w:hRule="atLeast"/>
          <w:tblHeader w:val="0"/>
        </w:trPr>
        <w:tc>
          <w:tcPr>
            <w:gridSpan w:val="2"/>
            <w:tcBorders>
              <w:top w:color="ffffff" w:space="0" w:sz="8" w:val="single"/>
              <w:left w:color="4a86e8" w:space="0" w:sz="18" w:val="single"/>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./register.sh</w:t>
            </w:r>
          </w:p>
        </w:tc>
      </w:tr>
    </w:tbl>
    <w:p w:rsidR="00000000" w:rsidDel="00000000" w:rsidP="00000000" w:rsidRDefault="00000000" w:rsidRPr="00000000" w14:paraId="00000077">
      <w:pPr>
        <w:rPr/>
      </w:pPr>
      <w:r w:rsidDel="00000000" w:rsidR="00000000" w:rsidRPr="00000000">
        <w:rPr>
          <w:rtl w:val="0"/>
        </w:rPr>
      </w:r>
    </w:p>
    <w:sectPr>
      <w:type w:val="nextPage"/>
      <w:pgSz w:h="16838" w:w="11906" w:orient="portrait"/>
      <w:pgMar w:bottom="1080" w:top="1080" w:left="720" w:right="7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spacing w:before="0" w:line="240" w:lineRule="auto"/>
      <w:rPr/>
    </w:pPr>
    <w:r w:rsidDel="00000000" w:rsidR="00000000" w:rsidRPr="00000000">
      <w:rPr>
        <w:rtl w:val="0"/>
      </w:rPr>
    </w:r>
  </w:p>
  <w:p w:rsidR="00000000" w:rsidDel="00000000" w:rsidP="00000000" w:rsidRDefault="00000000" w:rsidRPr="00000000" w14:paraId="0000007C">
    <w:pPr>
      <w:spacing w:before="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0" w:line="360" w:lineRule="auto"/>
    </w:pPr>
    <w:rPr>
      <w:b w:val="1"/>
      <w:color w:val="1f4e64"/>
      <w:sz w:val="48"/>
      <w:szCs w:val="48"/>
    </w:rPr>
  </w:style>
  <w:style w:type="paragraph" w:styleId="Heading2">
    <w:name w:val="heading 2"/>
    <w:basedOn w:val="Normal"/>
    <w:next w:val="Normal"/>
    <w:pPr>
      <w:spacing w:before="320" w:line="240" w:lineRule="auto"/>
    </w:pPr>
    <w:rPr>
      <w:b w:val="1"/>
      <w:color w:val="4a86e8"/>
      <w:sz w:val="36"/>
      <w:szCs w:val="36"/>
    </w:rPr>
  </w:style>
  <w:style w:type="paragraph" w:styleId="Heading3">
    <w:name w:val="heading 3"/>
    <w:basedOn w:val="Normal"/>
    <w:next w:val="Normal"/>
    <w:pPr>
      <w:spacing w:after="0" w:before="0" w:line="240" w:lineRule="auto"/>
    </w:pPr>
    <w:rPr>
      <w:b w:val="1"/>
      <w:color w:val="1f4e64"/>
      <w:sz w:val="28"/>
      <w:szCs w:val="28"/>
    </w:rPr>
  </w:style>
  <w:style w:type="paragraph" w:styleId="Heading4">
    <w:name w:val="heading 4"/>
    <w:basedOn w:val="Normal"/>
    <w:next w:val="Normal"/>
    <w:pPr>
      <w:keepNext w:val="1"/>
      <w:keepLines w:val="1"/>
      <w:spacing w:after="0" w:before="0" w:line="240" w:lineRule="auto"/>
    </w:pPr>
    <w:rPr>
      <w:b w:val="1"/>
      <w:color w:val="666666"/>
      <w:sz w:val="24"/>
      <w:szCs w:val="24"/>
    </w:rPr>
  </w:style>
  <w:style w:type="paragraph" w:styleId="Heading5">
    <w:name w:val="heading 5"/>
    <w:basedOn w:val="Normal"/>
    <w:next w:val="Normal"/>
    <w:pPr>
      <w:keepNext w:val="1"/>
      <w:keepLines w:val="1"/>
      <w:spacing w:before="160" w:lineRule="auto"/>
      <w:ind w:left="450"/>
    </w:pPr>
    <w:rPr>
      <w:rFonts w:ascii="Trebuchet MS" w:cs="Trebuchet MS" w:eastAsia="Trebuchet MS" w:hAnsi="Trebuchet MS"/>
      <w:color w:val="1c4587"/>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jc w:val="center"/>
    </w:pPr>
    <w:rPr>
      <w:color w:val="44546a"/>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u/0/d/1W3pb893CwDfrJxxLCxULwlmP5dBau-CpAamwiPFfluo/edit" TargetMode="External"/><Relationship Id="rId8" Type="http://schemas.openxmlformats.org/officeDocument/2006/relationships/hyperlink" Target="https://docs.google.com/document/u/0/d/1W3pb893CwDfrJxxLCxULwlmP5dBau-CpAamwiPFflu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