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BD5F" w14:textId="77777777" w:rsidR="001A41A8" w:rsidRPr="001A41A8" w:rsidRDefault="001A41A8" w:rsidP="001A4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1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 Lifetime Value Prediction – Feature Importance &amp; Business Implications</w:t>
      </w:r>
    </w:p>
    <w:p w14:paraId="55D7B084" w14:textId="77777777" w:rsidR="001A41A8" w:rsidRPr="001A41A8" w:rsidRDefault="001A41A8" w:rsidP="001A4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1A8">
        <w:rPr>
          <w:rFonts w:ascii="Times New Roman" w:eastAsia="Times New Roman" w:hAnsi="Times New Roman" w:cs="Times New Roman"/>
          <w:kern w:val="0"/>
          <w14:ligatures w14:val="none"/>
        </w:rPr>
        <w:t>A Customer Lifetime Value (CLV) prediction model was developed using historical transaction data extracted from a MySQL database through a Python-based ETL pipeline. After data cleaning, RFM (Recency, Frequency, Monetary) features were engineered to represent customer purchasing behavior. A Random Forest regression model was trained to predict CLV, and feature importance analysis was conducted to understand the key drivers of customer value.</w:t>
      </w:r>
    </w:p>
    <w:p w14:paraId="4E9B8AF9" w14:textId="77777777" w:rsidR="001A41A8" w:rsidRPr="001A41A8" w:rsidRDefault="001A41A8" w:rsidP="001A4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41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Importance Analysis</w:t>
      </w:r>
    </w:p>
    <w:p w14:paraId="402F5630" w14:textId="77777777" w:rsidR="001A41A8" w:rsidRPr="001A41A8" w:rsidRDefault="001A41A8" w:rsidP="001A4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1A8">
        <w:rPr>
          <w:rFonts w:ascii="Times New Roman" w:eastAsia="Times New Roman" w:hAnsi="Times New Roman" w:cs="Times New Roman"/>
          <w:kern w:val="0"/>
          <w14:ligatures w14:val="none"/>
        </w:rPr>
        <w:t xml:space="preserve">The feature importance results indicate that </w:t>
      </w:r>
      <w:r w:rsidRPr="001A41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Monetary value</w:t>
      </w:r>
      <w:r w:rsidRPr="001A41A8">
        <w:rPr>
          <w:rFonts w:ascii="Times New Roman" w:eastAsia="Times New Roman" w:hAnsi="Times New Roman" w:cs="Times New Roman"/>
          <w:kern w:val="0"/>
          <w14:ligatures w14:val="none"/>
        </w:rPr>
        <w:t xml:space="preserve"> is the most significant predictor of CLV, contributing approximately </w:t>
      </w:r>
      <w:r w:rsidRPr="001A41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68%</w:t>
      </w:r>
      <w:r w:rsidRPr="001A41A8">
        <w:rPr>
          <w:rFonts w:ascii="Times New Roman" w:eastAsia="Times New Roman" w:hAnsi="Times New Roman" w:cs="Times New Roman"/>
          <w:kern w:val="0"/>
          <w14:ligatures w14:val="none"/>
        </w:rPr>
        <w:t xml:space="preserve"> of the model’s importance. This shows that customers who have spent more historically are likely to generate higher lifetime value in the future.</w:t>
      </w:r>
      <w:r w:rsidRPr="001A41A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41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Recency</w:t>
      </w:r>
      <w:r w:rsidRPr="001A41A8">
        <w:rPr>
          <w:rFonts w:ascii="Times New Roman" w:eastAsia="Times New Roman" w:hAnsi="Times New Roman" w:cs="Times New Roman"/>
          <w:kern w:val="0"/>
          <w14:ligatures w14:val="none"/>
        </w:rPr>
        <w:t xml:space="preserve"> is the second most important feature, contributing around </w:t>
      </w:r>
      <w:r w:rsidRPr="001A41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29%</w:t>
      </w:r>
      <w:r w:rsidRPr="001A41A8">
        <w:rPr>
          <w:rFonts w:ascii="Times New Roman" w:eastAsia="Times New Roman" w:hAnsi="Times New Roman" w:cs="Times New Roman"/>
          <w:kern w:val="0"/>
          <w14:ligatures w14:val="none"/>
        </w:rPr>
        <w:t>, highlighting that customers who have purchased more recently are more valuable and more likely to remain engaged.</w:t>
      </w:r>
      <w:r w:rsidRPr="001A41A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41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</w:t>
      </w:r>
      <w:r w:rsidRPr="001A41A8">
        <w:rPr>
          <w:rFonts w:ascii="Times New Roman" w:eastAsia="Times New Roman" w:hAnsi="Times New Roman" w:cs="Times New Roman"/>
          <w:kern w:val="0"/>
          <w14:ligatures w14:val="none"/>
        </w:rPr>
        <w:t xml:space="preserve"> has a relatively lower contribution, which can be attributed to similar purchase counts across customers in the dataset, reducing its variance and predictive power.</w:t>
      </w:r>
    </w:p>
    <w:p w14:paraId="730A4035" w14:textId="77777777" w:rsidR="001A41A8" w:rsidRPr="001A41A8" w:rsidRDefault="001A41A8" w:rsidP="001A4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41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Implications</w:t>
      </w:r>
    </w:p>
    <w:p w14:paraId="6B4E2A1C" w14:textId="77777777" w:rsidR="001A41A8" w:rsidRPr="001A41A8" w:rsidRDefault="001A41A8" w:rsidP="001A4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1A8">
        <w:rPr>
          <w:rFonts w:ascii="Times New Roman" w:eastAsia="Times New Roman" w:hAnsi="Times New Roman" w:cs="Times New Roman"/>
          <w:kern w:val="0"/>
          <w14:ligatures w14:val="none"/>
        </w:rPr>
        <w:t xml:space="preserve">From a business perspective, these insights can be directly applied to customer relationship and marketing strategies. Customers with </w:t>
      </w:r>
      <w:r w:rsidRPr="001A41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monetary value and recent activity</w:t>
      </w:r>
      <w:r w:rsidRPr="001A41A8">
        <w:rPr>
          <w:rFonts w:ascii="Times New Roman" w:eastAsia="Times New Roman" w:hAnsi="Times New Roman" w:cs="Times New Roman"/>
          <w:kern w:val="0"/>
          <w14:ligatures w14:val="none"/>
        </w:rPr>
        <w:t xml:space="preserve"> should be prioritized for retention initiatives such as loyalty programs, personalized offers, and premium support. Customers with high past spending but low recent activity represent an opportunity for </w:t>
      </w:r>
      <w:r w:rsidRPr="001A41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reactivation campaigns</w:t>
      </w:r>
      <w:r w:rsidRPr="001A41A8">
        <w:rPr>
          <w:rFonts w:ascii="Times New Roman" w:eastAsia="Times New Roman" w:hAnsi="Times New Roman" w:cs="Times New Roman"/>
          <w:kern w:val="0"/>
          <w14:ligatures w14:val="none"/>
        </w:rPr>
        <w:t xml:space="preserve"> through targeted promotions or reminders. Customers with consistently low monetary value can be managed using cost-effective engagement strategies to optimize marketing spend.</w:t>
      </w:r>
    </w:p>
    <w:p w14:paraId="30B273ED" w14:textId="77777777" w:rsidR="001A41A8" w:rsidRPr="001A41A8" w:rsidRDefault="001A41A8" w:rsidP="001A4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1A8">
        <w:rPr>
          <w:rFonts w:ascii="Times New Roman" w:eastAsia="Times New Roman" w:hAnsi="Times New Roman" w:cs="Times New Roman"/>
          <w:kern w:val="0"/>
          <w14:ligatures w14:val="none"/>
        </w:rPr>
        <w:t xml:space="preserve">Overall, the CLV model enables businesses to move from generic customer treatment to </w:t>
      </w:r>
      <w:r w:rsidRPr="001A41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segmentation</w:t>
      </w:r>
      <w:r w:rsidRPr="001A41A8">
        <w:rPr>
          <w:rFonts w:ascii="Times New Roman" w:eastAsia="Times New Roman" w:hAnsi="Times New Roman" w:cs="Times New Roman"/>
          <w:kern w:val="0"/>
          <w14:ligatures w14:val="none"/>
        </w:rPr>
        <w:t>, allowing more efficient allocation of resources, improved customer retention, and increased long-term revenue. The analysis demonstrates how transactional data can be transformed into actionable business insights using machine learning techniques.</w:t>
      </w:r>
    </w:p>
    <w:p w14:paraId="70473868" w14:textId="77777777" w:rsidR="001A41A8" w:rsidRDefault="001A41A8"/>
    <w:sectPr w:rsidR="001A4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A8"/>
    <w:rsid w:val="001A41A8"/>
    <w:rsid w:val="001C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D2BD9"/>
  <w15:chartTrackingRefBased/>
  <w15:docId w15:val="{5CE29F63-BE95-334D-B64F-50EE5B1D7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4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4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4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1A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41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4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1859</Characters>
  <Application>Microsoft Office Word</Application>
  <DocSecurity>0</DocSecurity>
  <Lines>28</Lines>
  <Paragraphs>7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 TRIPATHI</dc:creator>
  <cp:keywords/>
  <dc:description/>
  <cp:lastModifiedBy>AAYUSH  TRIPATHI</cp:lastModifiedBy>
  <cp:revision>1</cp:revision>
  <dcterms:created xsi:type="dcterms:W3CDTF">2026-01-07T19:57:00Z</dcterms:created>
  <dcterms:modified xsi:type="dcterms:W3CDTF">2026-01-07T19:57:00Z</dcterms:modified>
</cp:coreProperties>
</file>