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GreenCompute AI Builds Explainable Carbon Aware Batch Optimization</w:t>
      </w:r>
    </w:p>
    <w:p>
      <w:pPr>
        <w:spacing w:after="340"/>
      </w:pPr>
      <w:r>
        <w:rPr>
          <w:i/>
          <w:color w:val="596675"/>
          <w:sz w:val="26"/>
        </w:rPr>
        <w:t>How Gemini 2.5 Flash and deterministic optimization work together to place batch workloads with lower modeled cost and carbon impact without compromising policy</w:t>
      </w:r>
    </w:p>
    <w:p>
      <w:pPr>
        <w:spacing w:after="400"/>
      </w:pPr>
      <w:r>
        <w:rPr>
          <w:color w:val="596675"/>
          <w:sz w:val="20"/>
        </w:rPr>
        <w:t>By Aayushi Choubey  |  GreenCompute AI</w:t>
      </w:r>
    </w:p>
    <w:p>
      <w:pPr>
        <w:spacing w:after="180" w:line="283" w:lineRule="auto"/>
      </w:pPr>
      <w:r>
        <w:t>Cloud batch computing has a quiet default: send the work to a familiar region, start it immediately, and choose a fixed capacity type. That default is convenient, but it ignores the choices that matter when a workload is movable: regional price differences, static grid-intensity baselines, Spot interruption risk, available slack before a deadline, and the rules that determine where data may run.</w:t>
      </w:r>
    </w:p>
    <w:p>
      <w:pPr>
        <w:spacing w:after="180" w:line="283" w:lineRule="auto"/>
      </w:pPr>
      <w:r>
        <w:t>GreenCompute AI is a working prototype that turns those trade-offs into an auditable placement decision. A user describes a job in plain language. The system validates the request, rejects unsafe or non-compliant candidates, scores the remaining options, dispatches the selected plan through Google Cloud, and records the result in BigQuery.</w:t>
      </w:r>
    </w:p>
    <w:p>
      <w:pPr>
        <w:spacing w:after="180" w:line="283" w:lineRule="auto"/>
      </w:pPr>
      <w:r>
        <w:rPr>
          <w:b/>
        </w:rPr>
        <w:t xml:space="preserve">The central design boundary is simple: </w:t>
      </w:r>
      <w:r>
        <w:t>Gemini understands intent and explains the result; deterministic code enforces the policy and chooses the execution plan.</w:t>
      </w:r>
    </w:p>
    <w:p>
      <w:pPr>
        <w:pStyle w:val="Heading1"/>
      </w:pPr>
      <w:r>
        <w:t>Why batch computing needs a decision layer</w:t>
      </w:r>
    </w:p>
    <w:p>
      <w:pPr>
        <w:spacing w:after="180" w:line="283" w:lineRule="auto"/>
      </w:pPr>
      <w:r>
        <w:t>Monte Carlo simulations, scientific parameter sweeps, batch inference, financial-risk workloads, synthetic-data generation, and media rendering can often tolerate some scheduling flexibility. That makes them good candidates for comparing regions and capacity models. But the comparison is not safe to do with a single carbon number or an LLM recommendation alone.</w:t>
      </w:r>
    </w:p>
    <w:p>
      <w:pPr>
        <w:spacing w:after="180" w:line="283" w:lineRule="auto"/>
      </w:pPr>
      <w:r>
        <w:t>A low-cost option is still wrong if it violates data residency. A low-carbon Spot VM is still wrong when the job cannot recover from interruption. A seemingly attractive region is still wrong when the predicted finish time misses the deadline. The optimizer therefore treats compliance and safety as gates, not as soft preferences.</w:t>
      </w:r>
    </w:p>
    <w:p>
      <w:pPr>
        <w:pStyle w:val="Heading1"/>
      </w:pPr>
      <w:r>
        <w:t>From one sentence to a verified plan</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1555"/>
            <w:shd w:fill="EAF4F0"/>
            <w:tcMar>
              <w:top w:w="120" w:type="dxa"/>
              <w:start w:w="70" w:type="dxa"/>
              <w:bottom w:w="120" w:type="dxa"/>
              <w:end w:w="70" w:type="dxa"/>
            </w:tcMar>
            <w:tcBorders>
              <w:top w:val="single" w:sz="6" w:color="B9D8CE"/>
              <w:left w:val="single" w:sz="6" w:color="B9D8CE"/>
              <w:bottom w:val="single" w:sz="6" w:color="B9D8CE"/>
              <w:right w:val="single" w:sz="6" w:color="B9D8CE"/>
              <w:insideH w:val="single" w:sz="6" w:color="B9D8CE"/>
              <w:insideV w:val="single" w:sz="6" w:color="B9D8CE"/>
            </w:tcBorders>
            <w:vAlign w:val="center"/>
          </w:tcPr>
          <w:p>
            <w:pPr>
              <w:jc w:val="center"/>
            </w:pPr>
            <w:r>
              <w:rPr>
                <w:b/>
                <w:color w:val="0A6B57"/>
              </w:rPr>
              <w:t>1</w:t>
              <w:br/>
            </w:r>
            <w:r>
              <w:t>Intent</w:t>
            </w:r>
          </w:p>
        </w:tc>
        <w:tc>
          <w:tcPr>
            <w:tcW w:type="dxa" w:w="1555"/>
            <w:shd w:fill="DFF0EA"/>
            <w:tcMar>
              <w:top w:w="120" w:type="dxa"/>
              <w:start w:w="70" w:type="dxa"/>
              <w:bottom w:w="120" w:type="dxa"/>
              <w:end w:w="70" w:type="dxa"/>
            </w:tcMar>
            <w:tcBorders>
              <w:top w:val="single" w:sz="6" w:color="B9D8CE"/>
              <w:left w:val="single" w:sz="6" w:color="B9D8CE"/>
              <w:bottom w:val="single" w:sz="6" w:color="B9D8CE"/>
              <w:right w:val="single" w:sz="6" w:color="B9D8CE"/>
              <w:insideH w:val="single" w:sz="6" w:color="B9D8CE"/>
              <w:insideV w:val="single" w:sz="6" w:color="B9D8CE"/>
            </w:tcBorders>
            <w:vAlign w:val="center"/>
          </w:tcPr>
          <w:p>
            <w:pPr>
              <w:jc w:val="center"/>
            </w:pPr>
            <w:r>
              <w:rPr>
                <w:b/>
                <w:color w:val="0A6B57"/>
              </w:rPr>
              <w:t>2</w:t>
              <w:br/>
            </w:r>
            <w:r>
              <w:t>Validate</w:t>
            </w:r>
          </w:p>
        </w:tc>
        <w:tc>
          <w:tcPr>
            <w:tcW w:type="dxa" w:w="1555"/>
            <w:shd w:fill="EAF4F0"/>
            <w:tcMar>
              <w:top w:w="120" w:type="dxa"/>
              <w:start w:w="70" w:type="dxa"/>
              <w:bottom w:w="120" w:type="dxa"/>
              <w:end w:w="70" w:type="dxa"/>
            </w:tcMar>
            <w:tcBorders>
              <w:top w:val="single" w:sz="6" w:color="B9D8CE"/>
              <w:left w:val="single" w:sz="6" w:color="B9D8CE"/>
              <w:bottom w:val="single" w:sz="6" w:color="B9D8CE"/>
              <w:right w:val="single" w:sz="6" w:color="B9D8CE"/>
              <w:insideH w:val="single" w:sz="6" w:color="B9D8CE"/>
              <w:insideV w:val="single" w:sz="6" w:color="B9D8CE"/>
            </w:tcBorders>
            <w:vAlign w:val="center"/>
          </w:tcPr>
          <w:p>
            <w:pPr>
              <w:jc w:val="center"/>
            </w:pPr>
            <w:r>
              <w:rPr>
                <w:b/>
                <w:color w:val="0A6B57"/>
              </w:rPr>
              <w:t>3</w:t>
              <w:br/>
            </w:r>
            <w:r>
              <w:t>Optimize</w:t>
            </w:r>
          </w:p>
        </w:tc>
        <w:tc>
          <w:tcPr>
            <w:tcW w:type="dxa" w:w="1555"/>
            <w:shd w:fill="DFF0EA"/>
            <w:tcMar>
              <w:top w:w="120" w:type="dxa"/>
              <w:start w:w="70" w:type="dxa"/>
              <w:bottom w:w="120" w:type="dxa"/>
              <w:end w:w="70" w:type="dxa"/>
            </w:tcMar>
            <w:tcBorders>
              <w:top w:val="single" w:sz="6" w:color="B9D8CE"/>
              <w:left w:val="single" w:sz="6" w:color="B9D8CE"/>
              <w:bottom w:val="single" w:sz="6" w:color="B9D8CE"/>
              <w:right w:val="single" w:sz="6" w:color="B9D8CE"/>
              <w:insideH w:val="single" w:sz="6" w:color="B9D8CE"/>
              <w:insideV w:val="single" w:sz="6" w:color="B9D8CE"/>
            </w:tcBorders>
            <w:vAlign w:val="center"/>
          </w:tcPr>
          <w:p>
            <w:pPr>
              <w:jc w:val="center"/>
            </w:pPr>
            <w:r>
              <w:rPr>
                <w:b/>
                <w:color w:val="0A6B57"/>
              </w:rPr>
              <w:t>4</w:t>
              <w:br/>
            </w:r>
            <w:r>
              <w:t>Explain</w:t>
            </w:r>
          </w:p>
        </w:tc>
        <w:tc>
          <w:tcPr>
            <w:tcW w:type="dxa" w:w="1555"/>
            <w:shd w:fill="EAF4F0"/>
            <w:tcMar>
              <w:top w:w="120" w:type="dxa"/>
              <w:start w:w="70" w:type="dxa"/>
              <w:bottom w:w="120" w:type="dxa"/>
              <w:end w:w="70" w:type="dxa"/>
            </w:tcMar>
            <w:tcBorders>
              <w:top w:val="single" w:sz="6" w:color="B9D8CE"/>
              <w:left w:val="single" w:sz="6" w:color="B9D8CE"/>
              <w:bottom w:val="single" w:sz="6" w:color="B9D8CE"/>
              <w:right w:val="single" w:sz="6" w:color="B9D8CE"/>
              <w:insideH w:val="single" w:sz="6" w:color="B9D8CE"/>
              <w:insideV w:val="single" w:sz="6" w:color="B9D8CE"/>
            </w:tcBorders>
            <w:vAlign w:val="center"/>
          </w:tcPr>
          <w:p>
            <w:pPr>
              <w:jc w:val="center"/>
            </w:pPr>
            <w:r>
              <w:rPr>
                <w:b/>
                <w:color w:val="0A6B57"/>
              </w:rPr>
              <w:t>5</w:t>
              <w:br/>
            </w:r>
            <w:r>
              <w:t>Execute</w:t>
            </w:r>
          </w:p>
        </w:tc>
        <w:tc>
          <w:tcPr>
            <w:tcW w:type="dxa" w:w="1555"/>
            <w:shd w:fill="DFF0EA"/>
            <w:tcMar>
              <w:top w:w="120" w:type="dxa"/>
              <w:start w:w="70" w:type="dxa"/>
              <w:bottom w:w="120" w:type="dxa"/>
              <w:end w:w="70" w:type="dxa"/>
            </w:tcMar>
            <w:tcBorders>
              <w:top w:val="single" w:sz="6" w:color="B9D8CE"/>
              <w:left w:val="single" w:sz="6" w:color="B9D8CE"/>
              <w:bottom w:val="single" w:sz="6" w:color="B9D8CE"/>
              <w:right w:val="single" w:sz="6" w:color="B9D8CE"/>
              <w:insideH w:val="single" w:sz="6" w:color="B9D8CE"/>
              <w:insideV w:val="single" w:sz="6" w:color="B9D8CE"/>
            </w:tcBorders>
            <w:vAlign w:val="center"/>
          </w:tcPr>
          <w:p>
            <w:pPr>
              <w:jc w:val="center"/>
            </w:pPr>
            <w:r>
              <w:rPr>
                <w:b/>
                <w:color w:val="0A6B57"/>
              </w:rPr>
              <w:t>6</w:t>
              <w:br/>
            </w:r>
            <w:r>
              <w:t>Learn</w:t>
            </w:r>
          </w:p>
        </w:tc>
      </w:tr>
    </w:tbl>
    <w:p>
      <w:pPr>
        <w:spacing w:before="100" w:after="260"/>
        <w:jc w:val="center"/>
      </w:pPr>
      <w:r>
        <w:rPr>
          <w:i/>
          <w:color w:val="596675"/>
        </w:rPr>
        <w:t>From a natural language request to an auditable Batch outcome</w:t>
      </w:r>
    </w:p>
    <w:tbl>
      <w:tblPr>
        <w:tblW w:type="auto" w:w="0"/>
        <w:jc w:val="center"/>
        <w:tblLayout w:type="fixed"/>
        <w:tblLook w:firstColumn="1" w:firstRow="1" w:lastColumn="0" w:lastRow="0" w:noHBand="0" w:noVBand="1" w:val="04A0"/>
      </w:tblPr>
      <w:tblGrid>
        <w:gridCol w:w="3024"/>
        <w:gridCol w:w="6912"/>
      </w:tblGrid>
      <w:tr>
        <w:trPr>
          <w:tblHeader w:val="true"/>
        </w:trPr>
        <w:tc>
          <w:tcPr>
            <w:tcW w:type="dxa" w:w="3024"/>
            <w:shd w:fill="0A6B5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rPr>
              <w:t>Stage</w:t>
            </w:r>
          </w:p>
        </w:tc>
        <w:tc>
          <w:tcPr>
            <w:tcW w:type="dxa" w:w="6912"/>
            <w:shd w:fill="0A6B5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rPr>
              <w:t>What happens</w:t>
            </w:r>
          </w:p>
        </w:tc>
      </w:tr>
      <w:tr>
        <w:tc>
          <w:tcPr>
            <w:tcW w:type="dxa" w:w="302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t>Intent</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t>Gemini 2.5 Flash converts a natural-language request into a structured workload specification with vCPU, memory, deadline, data-locality, checkpointing, reliability, and objective-weight fields.</w:t>
            </w:r>
          </w:p>
        </w:tc>
      </w:tr>
      <w:tr>
        <w:tc>
          <w:tcPr>
            <w:tcW w:type="dxa" w:w="302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4F6F7"/>
          </w:tcPr>
          <w:p>
            <w:pPr>
              <w:spacing w:after="0" w:line="259" w:lineRule="auto"/>
            </w:pPr>
            <w:r>
              <w:t>Validation</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4F6F7"/>
          </w:tcPr>
          <w:p>
            <w:pPr>
              <w:spacing w:after="0" w:line="259" w:lineRule="auto"/>
            </w:pPr>
            <w:r>
              <w:t>Pydantic validates the structured input before the optimizer can use it. Invalid or incomplete requirements are surfaced early.</w:t>
            </w:r>
          </w:p>
        </w:tc>
      </w:tr>
      <w:tr>
        <w:tc>
          <w:tcPr>
            <w:tcW w:type="dxa" w:w="302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t>Optimization</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t>The API reads compute options and comparative metrics from BigQuery, generates region, machine, provisioning, and start-time candidates, then applies hard constraints and weighted scoring.</w:t>
            </w:r>
          </w:p>
        </w:tc>
      </w:tr>
      <w:tr>
        <w:tc>
          <w:tcPr>
            <w:tcW w:type="dxa" w:w="302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4F6F7"/>
          </w:tcPr>
          <w:p>
            <w:pPr>
              <w:spacing w:after="0" w:line="259" w:lineRule="auto"/>
            </w:pPr>
            <w:r>
              <w:t>Explainability</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4F6F7"/>
          </w:tcPr>
          <w:p>
            <w:pPr>
              <w:spacing w:after="0" w:line="259" w:lineRule="auto"/>
            </w:pPr>
            <w:r>
              <w:t>Gemini receives calculated comparison facts and produces a concise explanation of the already-selected plan. It does not alter the decision.</w:t>
            </w:r>
          </w:p>
        </w:tc>
      </w:tr>
      <w:tr>
        <w:tc>
          <w:tcPr>
            <w:tcW w:type="dxa" w:w="302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t>Orchestration</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t>Cloud Workflows schedules the work, triggers Cloud Batch, polls for the terminal state, and calls back to the API with the outcome.</w:t>
            </w:r>
          </w:p>
        </w:tc>
      </w:tr>
      <w:tr>
        <w:tc>
          <w:tcPr>
            <w:tcW w:type="dxa" w:w="302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4F6F7"/>
          </w:tcPr>
          <w:p>
            <w:pPr>
              <w:spacing w:after="0" w:line="259" w:lineRule="auto"/>
            </w:pPr>
            <w:r>
              <w:t>Evidence</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4F6F7"/>
          </w:tcPr>
          <w:p>
            <w:pPr>
              <w:spacing w:after="0" w:line="259" w:lineRule="auto"/>
            </w:pPr>
            <w:r>
              <w:t>BigQuery retains decision evidence, candidate outcomes, Workflow links, Batch status, observed runtime, and runtime-derived cost telemetry.</w:t>
            </w:r>
          </w:p>
        </w:tc>
      </w:tr>
    </w:tbl>
    <w:p>
      <w:pPr>
        <w:spacing w:after="20"/>
      </w:pPr>
    </w:p>
    <w:p>
      <w:pPr>
        <w:pStyle w:val="Heading1"/>
      </w:pPr>
      <w:r>
        <w:t>The optimizer is deterministic by design</w:t>
      </w:r>
    </w:p>
    <w:p>
      <w:pPr>
        <w:spacing w:after="180" w:line="283" w:lineRule="auto"/>
      </w:pPr>
      <w:r>
        <w:t>The optimizer first builds the complete candidate set: allowable regions, appropriate machine shapes, Standard or Spot provisioning, and viable start times. It then applies hard constraints. A candidate can be rejected for a region-policy breach, insufficient resources, a missed deadline, an unsafe Spot selection, an insufficient reliability score, or an excessive premium over the cheapest feasible option.</w:t>
      </w:r>
    </w:p>
    <w:p>
      <w:pPr>
        <w:spacing w:after="180" w:line="283" w:lineRule="auto"/>
      </w:pPr>
      <w:r>
        <w:t>Only feasible candidates receive a normalized benefit score between 0 and 1. Lower modeled cost and lower static grid intensity receive higher benefit values; reliability and SLA buffer work in the opposite direction. Users can set objective weights, but the weights must total 1.0.</w:t>
      </w:r>
    </w:p>
    <w:p>
      <w:pPr>
        <w:spacing w:before="160" w:after="200"/>
        <w:jc w:val="center"/>
      </w:pPr>
      <m:oMathPara>
        <m:oMath>
          <m:r>
            <m:rPr>
              <m:sty m:val="i"/>
            </m:rPr>
            <m:t>Benefit Score</m:t>
          </m:r>
          <m:r>
            <m:t> = </m:t>
          </m:r>
          <m:r>
            <m:t>(</m:t>
          </m:r>
          <m:sSub>
            <m:e>
              <m:r>
                <m:rPr>
                  <m:sty m:val="i"/>
                </m:rPr>
                <m:t>W</m:t>
              </m:r>
            </m:e>
            <m:sub>
              <m:r>
                <m:t>cost</m:t>
              </m:r>
            </m:sub>
          </m:sSub>
          <m:r>
            <m:t> · </m:t>
          </m:r>
          <m:sSub>
            <m:e>
              <m:r>
                <m:rPr>
                  <m:sty m:val="i"/>
                </m:rPr>
                <m:t>Cost</m:t>
              </m:r>
            </m:e>
            <m:sub>
              <m:r>
                <m:t>norm</m:t>
              </m:r>
            </m:sub>
          </m:sSub>
          <m:r>
            <m:t>)</m:t>
          </m:r>
          <m:r>
            <m:t> + (</m:t>
          </m:r>
          <m:sSub>
            <m:e>
              <m:r>
                <m:rPr>
                  <m:sty m:val="i"/>
                </m:rPr>
                <m:t>W</m:t>
              </m:r>
            </m:e>
            <m:sub>
              <m:r>
                <m:t>carbon</m:t>
              </m:r>
            </m:sub>
          </m:sSub>
          <m:r>
            <m:t> · </m:t>
          </m:r>
          <m:sSub>
            <m:e>
              <m:r>
                <m:rPr>
                  <m:sty m:val="i"/>
                </m:rPr>
                <m:t>Carbon</m:t>
              </m:r>
            </m:e>
            <m:sub>
              <m:r>
                <m:t>norm</m:t>
              </m:r>
            </m:sub>
          </m:sSub>
          <m:r>
            <m:t>)</m:t>
          </m:r>
          <m:r>
            <m:t> + (</m:t>
          </m:r>
          <m:sSub>
            <m:e>
              <m:r>
                <m:rPr>
                  <m:sty m:val="i"/>
                </m:rPr>
                <m:t>W</m:t>
              </m:r>
            </m:e>
            <m:sub>
              <m:r>
                <m:t>rel</m:t>
              </m:r>
            </m:sub>
          </m:sSub>
          <m:r>
            <m:t> · </m:t>
          </m:r>
          <m:sSub>
            <m:e>
              <m:r>
                <m:rPr>
                  <m:sty m:val="i"/>
                </m:rPr>
                <m:t>Rel</m:t>
              </m:r>
            </m:e>
            <m:sub>
              <m:r>
                <m:t>norm</m:t>
              </m:r>
            </m:sub>
          </m:sSub>
          <m:r>
            <m:t>)</m:t>
          </m:r>
          <m:r>
            <m:t> + (</m:t>
          </m:r>
          <m:sSub>
            <m:e>
              <m:r>
                <m:rPr>
                  <m:sty m:val="i"/>
                </m:rPr>
                <m:t>W</m:t>
              </m:r>
            </m:e>
            <m:sub>
              <m:r>
                <m:t>sla</m:t>
              </m:r>
            </m:sub>
          </m:sSub>
          <m:r>
            <m:t> · </m:t>
          </m:r>
          <m:sSub>
            <m:e>
              <m:r>
                <m:rPr>
                  <m:sty m:val="i"/>
                </m:rPr>
                <m:t>SLA</m:t>
              </m:r>
            </m:e>
            <m:sub>
              <m:r>
                <m:t>norm</m:t>
              </m:r>
            </m:sub>
          </m:sSub>
          <m:r>
            <m:t>)</m:t>
          </m:r>
        </m:oMath>
      </m:oMathPara>
    </w:p>
    <w:p>
      <w:pPr>
        <w:spacing w:after="180" w:line="283" w:lineRule="auto"/>
      </w:pPr>
      <w:r>
        <w:t>This structure makes the result reproducible. If two inputs and metric snapshots are the same, deterministic logic reaches the same answer. It also makes explanations more trustworthy: Gemini can describe why an option won, but it cannot silently decide that a forbidden option is acceptable.</w:t>
      </w:r>
    </w:p>
    <w:p>
      <w:pPr>
        <w:pStyle w:val="Heading1"/>
      </w:pPr>
      <w:r>
        <w:t>Data locality is not a footnote</w:t>
      </w:r>
    </w:p>
    <w:p>
      <w:pPr>
        <w:spacing w:after="180" w:line="283" w:lineRule="auto"/>
      </w:pPr>
      <w:r>
        <w:t>A carbon-aware scheduler should not assume that every workload should move. GreenCompute AI models locality explicitly:</w:t>
      </w:r>
    </w:p>
    <w:tbl>
      <w:tblPr>
        <w:tblW w:type="auto" w:w="0"/>
        <w:jc w:val="center"/>
        <w:tblLayout w:type="fixed"/>
        <w:tblLook w:firstColumn="1" w:firstRow="1" w:lastColumn="0" w:lastRow="0" w:noHBand="0" w:noVBand="1" w:val="04A0"/>
      </w:tblPr>
      <w:tblGrid>
        <w:gridCol w:w="3024"/>
        <w:gridCol w:w="6912"/>
      </w:tblGrid>
      <w:tr>
        <w:trPr>
          <w:tblHeader w:val="true"/>
        </w:trPr>
        <w:tc>
          <w:tcPr>
            <w:tcW w:type="dxa" w:w="3024"/>
            <w:shd w:fill="0A6B5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rPr>
              <w:t>Locality tier</w:t>
            </w:r>
          </w:p>
        </w:tc>
        <w:tc>
          <w:tcPr>
            <w:tcW w:type="dxa" w:w="6912"/>
            <w:shd w:fill="0A6B5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rPr>
              <w:t>Placement rule</w:t>
            </w:r>
          </w:p>
        </w:tc>
      </w:tr>
      <w:tr>
        <w:tc>
          <w:tcPr>
            <w:tcW w:type="dxa" w:w="302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t>DATA LOCAL</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t>The workload stays in its home region. This is for proprietary databases, sovereignty-bound inputs, and jobs that cannot safely transfer data.</w:t>
            </w:r>
          </w:p>
        </w:tc>
      </w:tr>
      <w:tr>
        <w:tc>
          <w:tcPr>
            <w:tcW w:type="dxa" w:w="302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4F6F7"/>
          </w:tcPr>
          <w:p>
            <w:pPr>
              <w:spacing w:after="0" w:line="259" w:lineRule="auto"/>
            </w:pPr>
            <w:r>
              <w:t>REPLICATED</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4F6F7"/>
          </w:tcPr>
          <w:p>
            <w:pPr>
              <w:spacing w:after="0" w:line="259" w:lineRule="auto"/>
            </w:pPr>
            <w:r>
              <w:t>Execution may run only in regions with an approved data replica. The optimizer can compare those permitted regions without treating replication as an afterthought.</w:t>
            </w:r>
          </w:p>
        </w:tc>
      </w:tr>
      <w:tr>
        <w:tc>
          <w:tcPr>
            <w:tcW w:type="dxa" w:w="302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t>PORTABLE</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t>Compact-input, compute-heavy work can compare explicitly allowed regions and choose the strongest feasible trade-off.</w:t>
            </w:r>
          </w:p>
        </w:tc>
      </w:tr>
    </w:tbl>
    <w:p>
      <w:pPr>
        <w:spacing w:after="20"/>
      </w:pPr>
    </w:p>
    <w:p>
      <w:pPr>
        <w:spacing w:after="180" w:line="283" w:lineRule="auto"/>
      </w:pPr>
      <w:r>
        <w:t>The prototype uses static comparative grid-intensity baselines. In the demonstration, asia-south1 is modeled at 650 gCO2e per kWh and europe-west1 in Belgium at 170 gCO2e per kWh. The relative reduction is (650 minus 170) divided by 650, or 73.8 percent. These are comparative planning baselines, not claims of live measured workload emissions.</w:t>
      </w:r>
    </w:p>
    <w:p>
      <w:pPr>
        <w:pStyle w:val="Heading1"/>
      </w:pPr>
      <w:r>
        <w:t>What the deployed demo showed</w:t>
      </w:r>
    </w:p>
    <w:tbl>
      <w:tblPr>
        <w:tblW w:type="auto" w:w="0"/>
        <w:jc w:val="center"/>
        <w:tblLayout w:type="fixed"/>
        <w:tblLook w:firstColumn="1" w:firstRow="1" w:lastColumn="0" w:lastRow="0" w:noHBand="0" w:noVBand="1" w:val="04A0"/>
      </w:tblPr>
      <w:tblGrid>
        <w:gridCol w:w="3024"/>
        <w:gridCol w:w="6912"/>
      </w:tblGrid>
      <w:tr>
        <w:trPr>
          <w:tblHeader w:val="true"/>
        </w:trPr>
        <w:tc>
          <w:tcPr>
            <w:tcW w:type="dxa" w:w="3024"/>
            <w:shd w:fill="0A6B5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rPr>
              <w:t>Scenario</w:t>
            </w:r>
          </w:p>
        </w:tc>
        <w:tc>
          <w:tcPr>
            <w:tcW w:type="dxa" w:w="6912"/>
            <w:shd w:fill="0A6B5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rPr>
              <w:t>Observed decision</w:t>
            </w:r>
          </w:p>
        </w:tc>
      </w:tr>
      <w:tr>
        <w:tc>
          <w:tcPr>
            <w:tcW w:type="dxa" w:w="302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t>Data local and cost focused</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t>The plan remained in asia-south1 and selected an n2-standard-4 Spot candidate after meeting the configured reliability threshold.</w:t>
            </w:r>
          </w:p>
        </w:tc>
      </w:tr>
      <w:tr>
        <w:tc>
          <w:tcPr>
            <w:tcW w:type="dxa" w:w="302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4F6F7"/>
          </w:tcPr>
          <w:p>
            <w:pPr>
              <w:spacing w:after="0" w:line="259" w:lineRule="auto"/>
            </w:pPr>
            <w:r>
              <w:t>Portable Monte Carlo simulation</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4F6F7"/>
          </w:tcPr>
          <w:p>
            <w:pPr>
              <w:spacing w:after="0" w:line="259" w:lineRule="auto"/>
            </w:pPr>
            <w:r>
              <w:t>The selected europe-west1 n2-standard-4 Spot plan produced a modeled 30.8 percent cost reduction and a 73.8 percent lower static grid-intensity baseline relative to the comparable home-region Spot option.</w:t>
            </w:r>
          </w:p>
        </w:tc>
      </w:tr>
      <w:tr>
        <w:tc>
          <w:tcPr>
            <w:tcW w:type="dxa" w:w="302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t>High reliability requirement</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t>When the minimum reliability threshold rose to 0.98, lower-reliability Spot candidates were rejected and a Standard option was selected.</w:t>
            </w:r>
          </w:p>
        </w:tc>
      </w:tr>
      <w:tr>
        <w:tc>
          <w:tcPr>
            <w:tcW w:type="dxa" w:w="302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4F6F7"/>
          </w:tcPr>
          <w:p>
            <w:pPr>
              <w:spacing w:after="0" w:line="259" w:lineRule="auto"/>
            </w:pPr>
            <w:r>
              <w:t>Impossible job request</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4F6F7"/>
          </w:tcPr>
          <w:p>
            <w:pPr>
              <w:spacing w:after="0" w:line="259" w:lineRule="auto"/>
            </w:pPr>
            <w:r>
              <w:t>When resources, deadline, data locality, reliability, and Spot requirements could not coexist, the system returned No Feasible Plan and prevented Workflow dispatch.</w:t>
            </w:r>
          </w:p>
        </w:tc>
      </w:tr>
    </w:tbl>
    <w:p>
      <w:pPr>
        <w:spacing w:after="20"/>
      </w:pPr>
    </w:p>
    <w:p>
      <w:pPr>
        <w:spacing w:after="180" w:line="283" w:lineRule="auto"/>
      </w:pPr>
      <w:r>
        <w:t>The important result is not that every workload moves to the same clean region. A good answer can be to stay put. The system demonstrates the distinction between a candidate that is attractive and a candidate that is permitted, safe, and feasible.</w:t>
      </w:r>
    </w:p>
    <w:p>
      <w:pPr>
        <w:pStyle w:val="Heading1"/>
      </w:pPr>
      <w:r>
        <w:t>The Google Cloud implementation</w:t>
      </w:r>
    </w:p>
    <w:p>
      <w:pPr>
        <w:pStyle w:val="ListBullet"/>
        <w:spacing w:after="80" w:line="269" w:lineRule="auto"/>
      </w:pPr>
      <w:r>
        <w:t>Cloud Run hosts the FastAPI application and the dashboard used to submit, inspect, and dispatch requests.</w:t>
      </w:r>
    </w:p>
    <w:p>
      <w:pPr>
        <w:pStyle w:val="ListBullet"/>
        <w:spacing w:after="80" w:line="269" w:lineRule="auto"/>
      </w:pPr>
      <w:r>
        <w:t>Vertex AI provides Gemini 2.5 Flash for structured prompt parsing and grounded result explanations.</w:t>
      </w:r>
    </w:p>
    <w:p>
      <w:pPr>
        <w:pStyle w:val="ListBullet"/>
        <w:spacing w:after="80" w:line="269" w:lineRule="auto"/>
      </w:pPr>
      <w:r>
        <w:t>BigQuery stores configuration snapshots, comparative metrics, optimization evidence, execution events, and analytical views including v_execution_summary.</w:t>
      </w:r>
    </w:p>
    <w:p>
      <w:pPr>
        <w:pStyle w:val="ListBullet"/>
        <w:spacing w:after="80" w:line="269" w:lineRule="auto"/>
      </w:pPr>
      <w:r>
        <w:t>Cloud Workflows coordinates scheduling, Batch dispatch, bounded status polling, callbacks, and terminal orchestration state.</w:t>
      </w:r>
    </w:p>
    <w:p>
      <w:pPr>
        <w:pStyle w:val="ListBullet"/>
        <w:spacing w:after="80" w:line="269" w:lineRule="auto"/>
      </w:pPr>
      <w:r>
        <w:t>Cloud Batch runs the selected containerized workload in the region, machine shape, and provisioning model selected by the optimizer.</w:t>
      </w:r>
    </w:p>
    <w:p>
      <w:pPr>
        <w:pStyle w:val="ListBullet"/>
        <w:spacing w:after="80" w:line="269" w:lineRule="auto"/>
      </w:pPr>
      <w:r>
        <w:t>Cloud Logging provides operational diagnostics for Cloud Run, Workflows, and Batch executions.</w:t>
      </w:r>
    </w:p>
    <w:p>
      <w:pPr>
        <w:pStyle w:val="Heading1"/>
      </w:pPr>
      <w:r>
        <w:t>What this approach gets right</w:t>
      </w:r>
    </w:p>
    <w:p>
      <w:pPr>
        <w:spacing w:after="180" w:line="283" w:lineRule="auto"/>
      </w:pPr>
      <w:r>
        <w:t>The most useful role for generative AI here is not to replace an optimization engine. It is to bridge human intent and a structured system, then translate a verified result back into a useful explanation. That division of responsibility is what makes the product credible for a policy-sensitive workload.</w:t>
      </w:r>
    </w:p>
    <w:p>
      <w:pPr>
        <w:spacing w:after="180" w:line="283" w:lineRule="auto"/>
      </w:pPr>
      <w:r>
        <w:t>The prototype also closes the loop. It does not stop at a recommendation card. A selected plan can become a Workflow execution, then a Batch job, then an observable terminal outcome whose duration and cost return to the data layer. That audit trail gives a team something concrete to improve over time.</w:t>
      </w:r>
    </w:p>
    <w:p>
      <w:pPr>
        <w:pStyle w:val="Heading1"/>
      </w:pPr>
      <w:r>
        <w:t>Where GreenCompute AI can go next</w:t>
      </w:r>
    </w:p>
    <w:p>
      <w:pPr>
        <w:pStyle w:val="ListBullet"/>
        <w:spacing w:after="80" w:line="269" w:lineRule="auto"/>
      </w:pPr>
      <w:r>
        <w:t>Replace static comparative grid baselines with live, time-indexed regional carbon-intensity feeds.</w:t>
      </w:r>
    </w:p>
    <w:p>
      <w:pPr>
        <w:pStyle w:val="ListBullet"/>
        <w:spacing w:after="80" w:line="269" w:lineRule="auto"/>
      </w:pPr>
      <w:r>
        <w:t>Model input-transfer cost and duration using explicit asset and replica references.</w:t>
      </w:r>
    </w:p>
    <w:p>
      <w:pPr>
        <w:pStyle w:val="ListBullet"/>
        <w:spacing w:after="80" w:line="269" w:lineRule="auto"/>
      </w:pPr>
      <w:r>
        <w:t>Add automatic recovery after Spot preemption using a retained Standard fallback candidate.</w:t>
      </w:r>
    </w:p>
    <w:p>
      <w:pPr>
        <w:pStyle w:val="ListBullet"/>
        <w:spacing w:after="80" w:line="269" w:lineRule="auto"/>
      </w:pPr>
      <w:r>
        <w:t>Support registered workload containers, controlled commands, and service-account policies for broader team use.</w:t>
      </w:r>
    </w:p>
    <w:p>
      <w:pPr>
        <w:pStyle w:val="ListBullet"/>
        <w:spacing w:after="80" w:line="269" w:lineRule="auto"/>
      </w:pPr>
      <w:r>
        <w:t>Extend the single-job optimizer into portfolio planning across budget, carbon, and deadline objectives.</w:t>
      </w:r>
    </w:p>
    <w:p>
      <w:pPr>
        <w:pStyle w:val="Heading1"/>
      </w:pPr>
      <w:r>
        <w:t>The takeaway</w:t>
      </w:r>
    </w:p>
    <w:p>
      <w:pPr>
        <w:spacing w:after="180" w:line="283" w:lineRule="auto"/>
      </w:pPr>
      <w:r>
        <w:t>Carbon-aware computing becomes useful when it is constrained by the same things engineering teams already care about: data locality, reliability, deadlines, capacity, and cost. GreenCompute AI turns those constraints into a visible decision process. Gemini makes the interface natural; deterministic optimization keeps the decision disciplined; Google Cloud services execute and record the result.</w:t>
      </w:r>
    </w:p>
    <w:p>
      <w:pPr>
        <w:spacing w:after="180" w:line="283" w:lineRule="auto"/>
      </w:pPr>
      <w:r>
        <w:t>That is the practical path from a sustainability aspiration to an explainable batch-placement system.</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675"/>
        <w:sz w:val="17"/>
      </w:rPr>
      <w:t>GreenCompute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8" w:lineRule="auto"/>
    </w:pPr>
    <w:rPr>
      <w:rFonts w:ascii="Aptos" w:hAnsi="Aptos" w:eastAsia="Aptos"/>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40"/>
      <w:outlineLvl w:val="0"/>
    </w:pPr>
    <w:rPr>
      <w:rFonts w:asciiTheme="majorHAnsi" w:eastAsiaTheme="majorEastAsia" w:hAnsiTheme="majorHAnsi" w:cstheme="majorBidi" w:ascii="Aptos" w:hAnsi="Aptos" w:eastAsia="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eastAsia="Apto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GreenCompute AI Carbon Aware Batch Optimization</dc:title>
  <dc:subject>Medium article</dc:subject>
  <dc:creator>Aayushi Choubey</dc:creator>
  <cp:keywords/>
  <dc:description>generated by python-docx</dc:description>
  <cp:lastModifiedBy/>
  <cp:revision>1</cp:revision>
  <dcterms:created xsi:type="dcterms:W3CDTF">2013-12-23T23:15:00Z</dcterms:created>
  <dcterms:modified xsi:type="dcterms:W3CDTF">2013-12-23T23:15:00Z</dcterms:modified>
  <cp:category/>
</cp:coreProperties>
</file>