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480" w:after="120"/>
        <w:jc w:val="center"/>
      </w:pPr>
      <w:r>
        <w:rPr>
          <w:rFonts w:ascii="Arial" w:cs="Arial" w:eastAsia="Arial" w:hAnsi="Arial"/>
          <w:b/>
          <w:bCs/>
          <w:color w:val="888888"/>
          <w:sz w:val="24"/>
          <w:szCs w:val="24"/>
        </w:rPr>
        <w:t xml:space="preserve">PRODUCT REQUIREMENTS DOCUMENT</w:t>
      </w:r>
    </w:p>
    <w:p>
      <w:pPr>
        <w:spacing w:before="0" w:after="160"/>
        <w:jc w:val="center"/>
      </w:pPr>
      <w:r>
        <w:rPr>
          <w:rFonts w:ascii="Arial" w:cs="Arial" w:eastAsia="Arial" w:hAnsi="Arial"/>
          <w:b/>
          <w:bCs/>
          <w:color w:val="1F4E79"/>
          <w:sz w:val="52"/>
          <w:szCs w:val="52"/>
        </w:rPr>
        <w:t xml:space="preserve">Navi Mumbai House Price Predictor</w:t>
      </w:r>
    </w:p>
    <w:p>
      <w:pPr>
        <w:spacing w:before="0" w:after="80"/>
        <w:jc w:val="center"/>
      </w:pPr>
      <w:r>
        <w:rPr>
          <w:rFonts w:ascii="Arial" w:cs="Arial" w:eastAsia="Arial" w:hAnsi="Arial"/>
          <w:color w:val="2E75B6"/>
          <w:sz w:val="28"/>
          <w:szCs w:val="28"/>
        </w:rPr>
        <w:t xml:space="preserve">AI-Powered Real Estate Valuation Platform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Product Area</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Real Estate Technology / AI/ML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Geography</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Navi Mumbai, Maharashtra, India</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Audience</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Product, Engineering, Data Science, Design</w:t>
            </w:r>
          </w:p>
        </w:tc>
      </w:tr>
    </w:tbl>
    <w:p>
      <w:pPr>
        <w:spacing w:before="100" w:after="100"/>
      </w:pPr>
      <w:r>
        <w:t xml:space="preserve"/>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Executive Summary</w:t>
      </w:r>
    </w:p>
    <w:p>
      <w:pPr>
        <w:spacing w:before="60" w:after="80"/>
      </w:pPr>
      <w:r>
        <w:rPr>
          <w:rFonts w:ascii="Arial" w:cs="Arial" w:eastAsia="Arial" w:hAnsi="Arial"/>
          <w:sz w:val="22"/>
          <w:szCs w:val="22"/>
        </w:rPr>
        <w:t xml:space="preserve">The Navi Mumbai House Price Predictor is an AI/ML-powered web and mobile application that provides accurate, real-time residential property price estimates across all nodes and sectors of Navi Mumbai. It enables homebuyers, sellers, brokers, and investors to make informed decisions by leveraging hyperlocal data, machine learning models, and market intelligence.</w:t>
      </w:r>
    </w:p>
    <w:p>
      <w:pPr>
        <w:spacing w:before="100" w:after="100"/>
      </w:pPr>
      <w:r>
        <w:t xml:space="preserve"/>
      </w:r>
    </w:p>
    <w:p>
      <w:pPr>
        <w:pBdr>
          <w:left w:val="single" w:color="2E75B6" w:sz="12" w:space="8"/>
        </w:pBdr>
        <w:shd w:fill="E8F4FD" w:val="clear"/>
        <w:spacing w:before="60" w:after="80"/>
        <w:ind w:left="200"/>
      </w:pPr>
      <w:r>
        <w:rPr>
          <w:rFonts w:ascii="Arial" w:cs="Arial" w:eastAsia="Arial" w:hAnsi="Arial"/>
          <w:i/>
          <w:iCs/>
          <w:color w:val="2C3E50"/>
          <w:sz w:val="22"/>
          <w:szCs w:val="22"/>
        </w:rPr>
        <w:t xml:space="preserve">Goal: Reduce information asymmetry in Navi Mumbai's real estate market by delivering reliable price predictions within ±8% accuracy for 90% of listings.</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Problem Statement</w:t>
      </w:r>
    </w:p>
    <w:p>
      <w:pPr>
        <w:pStyle w:val="Heading2"/>
        <w:spacing w:before="240" w:after="80"/>
      </w:pPr>
      <w:r>
        <w:rPr>
          <w:rFonts w:ascii="Arial" w:cs="Arial" w:eastAsia="Arial" w:hAnsi="Arial"/>
          <w:b/>
          <w:bCs/>
          <w:color w:val="2E75B6"/>
          <w:sz w:val="26"/>
          <w:szCs w:val="26"/>
        </w:rPr>
        <w:t xml:space="preserve">2.1 Market Context</w:t>
      </w:r>
    </w:p>
    <w:p>
      <w:pPr>
        <w:spacing w:before="60" w:after="80"/>
      </w:pPr>
      <w:r>
        <w:rPr>
          <w:rFonts w:ascii="Arial" w:cs="Arial" w:eastAsia="Arial" w:hAnsi="Arial"/>
          <w:sz w:val="22"/>
          <w:szCs w:val="22"/>
        </w:rPr>
        <w:t xml:space="preserve">Navi Mumbai is one of India's fastest-growing planned cities, spanning nodes like Vashi, Kharghar, Nerul, Belapur, Panvel, Ulwe, Dronagiri, and Taloja. The real estate market is fragmented, opaque, and highly node-dependent — property prices can vary 30–50% within a 2 km radius depending on proximity to metro stations, schools, hospitals, and commercial hubs.</w:t>
      </w:r>
    </w:p>
    <w:p>
      <w:pPr>
        <w:pStyle w:val="Heading2"/>
        <w:spacing w:before="240" w:after="80"/>
      </w:pPr>
      <w:r>
        <w:rPr>
          <w:rFonts w:ascii="Arial" w:cs="Arial" w:eastAsia="Arial" w:hAnsi="Arial"/>
          <w:b/>
          <w:bCs/>
          <w:color w:val="2E75B6"/>
          <w:sz w:val="26"/>
          <w:szCs w:val="26"/>
        </w:rPr>
        <w:t xml:space="preserve">2.2 Pain Points</w:t>
      </w:r>
    </w:p>
    <w:p>
      <w:pPr>
        <w:pStyle w:val="ListParagraph"/>
        <w:numPr>
          <w:ilvl w:val="0"/>
          <w:numId w:val="2"/>
        </w:numPr>
        <w:spacing w:before="40" w:after="40"/>
      </w:pPr>
      <w:r>
        <w:rPr>
          <w:rFonts w:ascii="Arial" w:cs="Arial" w:eastAsia="Arial" w:hAnsi="Arial"/>
          <w:sz w:val="22"/>
          <w:szCs w:val="22"/>
        </w:rPr>
        <w:t xml:space="preserve">Buyers have no reliable baseline to evaluate if an asking price is fair</w:t>
      </w:r>
    </w:p>
    <w:p>
      <w:pPr>
        <w:pStyle w:val="ListParagraph"/>
        <w:numPr>
          <w:ilvl w:val="0"/>
          <w:numId w:val="2"/>
        </w:numPr>
        <w:spacing w:before="40" w:after="40"/>
      </w:pPr>
      <w:r>
        <w:rPr>
          <w:rFonts w:ascii="Arial" w:cs="Arial" w:eastAsia="Arial" w:hAnsi="Arial"/>
          <w:sz w:val="22"/>
          <w:szCs w:val="22"/>
        </w:rPr>
        <w:t xml:space="preserve">Sellers and brokers set prices based on anecdotal data rather than real-time market signals</w:t>
      </w:r>
    </w:p>
    <w:p>
      <w:pPr>
        <w:pStyle w:val="ListParagraph"/>
        <w:numPr>
          <w:ilvl w:val="0"/>
          <w:numId w:val="2"/>
        </w:numPr>
        <w:spacing w:before="40" w:after="40"/>
      </w:pPr>
      <w:r>
        <w:rPr>
          <w:rFonts w:ascii="Arial" w:cs="Arial" w:eastAsia="Arial" w:hAnsi="Arial"/>
          <w:sz w:val="22"/>
          <w:szCs w:val="22"/>
        </w:rPr>
        <w:t xml:space="preserve">Investors lack node-level trend data to assess appreciation potential</w:t>
      </w:r>
    </w:p>
    <w:p>
      <w:pPr>
        <w:pStyle w:val="ListParagraph"/>
        <w:numPr>
          <w:ilvl w:val="0"/>
          <w:numId w:val="2"/>
        </w:numPr>
        <w:spacing w:before="40" w:after="40"/>
      </w:pPr>
      <w:r>
        <w:rPr>
          <w:rFonts w:ascii="Arial" w:cs="Arial" w:eastAsia="Arial" w:hAnsi="Arial"/>
          <w:sz w:val="22"/>
          <w:szCs w:val="22"/>
        </w:rPr>
        <w:t xml:space="preserve">Existing national platforms (MagicBricks, 99acres) provide generic estimates not calibrated to Navi Mumbai's micro-markets</w:t>
      </w:r>
    </w:p>
    <w:p>
      <w:pPr>
        <w:pStyle w:val="ListParagraph"/>
        <w:numPr>
          <w:ilvl w:val="0"/>
          <w:numId w:val="2"/>
        </w:numPr>
        <w:spacing w:before="40" w:after="40"/>
      </w:pPr>
      <w:r>
        <w:rPr>
          <w:rFonts w:ascii="Arial" w:cs="Arial" w:eastAsia="Arial" w:hAnsi="Arial"/>
          <w:sz w:val="22"/>
          <w:szCs w:val="22"/>
        </w:rPr>
        <w:t xml:space="preserve">CIDCO auctions and resale markets are priced very differently with no unified model</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Goals &amp; Success Metrics</w:t>
      </w:r>
    </w:p>
    <w:p>
      <w:pPr>
        <w:pStyle w:val="Heading2"/>
        <w:spacing w:before="240" w:after="80"/>
      </w:pPr>
      <w:r>
        <w:rPr>
          <w:rFonts w:ascii="Arial" w:cs="Arial" w:eastAsia="Arial" w:hAnsi="Arial"/>
          <w:b/>
          <w:bCs/>
          <w:color w:val="2E75B6"/>
          <w:sz w:val="26"/>
          <w:szCs w:val="26"/>
        </w:rPr>
        <w:t xml:space="preserve">3.1 Product Goals</w:t>
      </w:r>
    </w:p>
    <w:p>
      <w:pPr>
        <w:pStyle w:val="ListParagraph"/>
        <w:numPr>
          <w:ilvl w:val="0"/>
          <w:numId w:val="2"/>
        </w:numPr>
        <w:spacing w:before="40" w:after="40"/>
      </w:pPr>
      <w:r>
        <w:rPr>
          <w:rFonts w:ascii="Arial" w:cs="Arial" w:eastAsia="Arial" w:hAnsi="Arial"/>
          <w:sz w:val="22"/>
          <w:szCs w:val="22"/>
        </w:rPr>
        <w:t xml:space="preserve">Deliver residential property price estimates with median absolute percentage error (MdAPE) ≤ 8%</w:t>
      </w:r>
    </w:p>
    <w:p>
      <w:pPr>
        <w:pStyle w:val="ListParagraph"/>
        <w:numPr>
          <w:ilvl w:val="0"/>
          <w:numId w:val="2"/>
        </w:numPr>
        <w:spacing w:before="40" w:after="40"/>
      </w:pPr>
      <w:r>
        <w:rPr>
          <w:rFonts w:ascii="Arial" w:cs="Arial" w:eastAsia="Arial" w:hAnsi="Arial"/>
          <w:sz w:val="22"/>
          <w:szCs w:val="22"/>
        </w:rPr>
        <w:t xml:space="preserve">Cover all 14 nodes of Navi Mumbai including emerging areas like Ulwe and Dronagiri</w:t>
      </w:r>
    </w:p>
    <w:p>
      <w:pPr>
        <w:pStyle w:val="ListParagraph"/>
        <w:numPr>
          <w:ilvl w:val="0"/>
          <w:numId w:val="2"/>
        </w:numPr>
        <w:spacing w:before="40" w:after="40"/>
      </w:pPr>
      <w:r>
        <w:rPr>
          <w:rFonts w:ascii="Arial" w:cs="Arial" w:eastAsia="Arial" w:hAnsi="Arial"/>
          <w:sz w:val="22"/>
          <w:szCs w:val="22"/>
        </w:rPr>
        <w:t xml:space="preserve">Provide actionable market insights beyond a single price estimate</w:t>
      </w:r>
    </w:p>
    <w:p>
      <w:pPr>
        <w:pStyle w:val="ListParagraph"/>
        <w:numPr>
          <w:ilvl w:val="0"/>
          <w:numId w:val="2"/>
        </w:numPr>
        <w:spacing w:before="40" w:after="40"/>
      </w:pPr>
      <w:r>
        <w:rPr>
          <w:rFonts w:ascii="Arial" w:cs="Arial" w:eastAsia="Arial" w:hAnsi="Arial"/>
          <w:sz w:val="22"/>
          <w:szCs w:val="22"/>
        </w:rPr>
        <w:t xml:space="preserve">Achieve a 3-minute time-to-first-estimate experience from cold start</w:t>
      </w:r>
    </w:p>
    <w:p>
      <w:pPr>
        <w:pStyle w:val="Heading2"/>
        <w:spacing w:before="240" w:after="80"/>
      </w:pPr>
      <w:r>
        <w:rPr>
          <w:rFonts w:ascii="Arial" w:cs="Arial" w:eastAsia="Arial" w:hAnsi="Arial"/>
          <w:b/>
          <w:bCs/>
          <w:color w:val="2E75B6"/>
          <w:sz w:val="26"/>
          <w:szCs w:val="26"/>
        </w:rPr>
        <w:t xml:space="preserve">3.2 Key Performance Indicators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KPI</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Measurement Frequency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Prediction accuracy (MdAPE)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8%</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MAU (Monthly Active Users)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50,000 by Month 6</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to first estimate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3 minutes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 session</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User satisfaction (CSAT)</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 4.2 / 5.0</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Post-session survey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Broker/agent sign-ups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 by Month 3</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Data freshness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Listings refreshed ≤ 24 hrs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 crash rate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0.5%</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r>
    </w:tbl>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Target Users &amp; Personas</w:t>
      </w:r>
    </w:p>
    <w:p>
      <w:pPr>
        <w:pStyle w:val="Heading2"/>
        <w:spacing w:before="240" w:after="80"/>
      </w:pPr>
      <w:r>
        <w:rPr>
          <w:rFonts w:ascii="Arial" w:cs="Arial" w:eastAsia="Arial" w:hAnsi="Arial"/>
          <w:b/>
          <w:bCs/>
          <w:color w:val="2E75B6"/>
          <w:sz w:val="26"/>
          <w:szCs w:val="26"/>
        </w:rPr>
        <w:t xml:space="preserve">4.1 Primary Personas</w:t>
      </w:r>
    </w:p>
    <w:p>
      <w:pPr>
        <w:pStyle w:val="Heading3"/>
        <w:spacing w:before="160" w:after="60"/>
      </w:pPr>
      <w:r>
        <w:rPr>
          <w:rFonts w:ascii="Arial" w:cs="Arial" w:eastAsia="Arial" w:hAnsi="Arial"/>
          <w:b/>
          <w:bCs/>
          <w:color w:val="2C3E50"/>
          <w:sz w:val="22"/>
          <w:szCs w:val="22"/>
        </w:rPr>
        <w:t xml:space="preserve">Persona 1: First-Time Homebuyer (Ravi, 32)</w:t>
      </w:r>
    </w:p>
    <w:p>
      <w:pPr>
        <w:spacing w:before="60" w:after="80"/>
      </w:pPr>
      <w:r>
        <w:rPr>
          <w:rFonts w:ascii="Arial" w:cs="Arial" w:eastAsia="Arial" w:hAnsi="Arial"/>
          <w:sz w:val="22"/>
          <w:szCs w:val="22"/>
        </w:rPr>
        <w:t xml:space="preserve">Ravi is an IT professional working in Airoli looking to buy his first 2BHK. He has a budget of ₹80–1.2 Cr and is confused by the wide price range across Kharghar, Ulwe, and Panvel. He needs a trustworthy tool to validate broker quotes and understand what drives price differences.</w:t>
      </w:r>
    </w:p>
    <w:p>
      <w:pPr>
        <w:pStyle w:val="Heading3"/>
        <w:spacing w:before="160" w:after="60"/>
      </w:pPr>
      <w:r>
        <w:rPr>
          <w:rFonts w:ascii="Arial" w:cs="Arial" w:eastAsia="Arial" w:hAnsi="Arial"/>
          <w:b/>
          <w:bCs/>
          <w:color w:val="2C3E50"/>
          <w:sz w:val="22"/>
          <w:szCs w:val="22"/>
        </w:rPr>
        <w:t xml:space="preserve">Persona 2: Property Investor (Meera, 45)</w:t>
      </w:r>
    </w:p>
    <w:p>
      <w:pPr>
        <w:spacing w:before="60" w:after="80"/>
      </w:pPr>
      <w:r>
        <w:rPr>
          <w:rFonts w:ascii="Arial" w:cs="Arial" w:eastAsia="Arial" w:hAnsi="Arial"/>
          <w:sz w:val="22"/>
          <w:szCs w:val="22"/>
        </w:rPr>
        <w:t xml:space="preserve">Meera is a Mumbai-based investor who has bought 3 flats in Navi Mumbai over the past decade. She wants node-level price trend data, rental yield estimates, and appreciation forecasts to decide whether to invest in Dronagiri or NAINA zone.</w:t>
      </w:r>
    </w:p>
    <w:p>
      <w:pPr>
        <w:pStyle w:val="Heading3"/>
        <w:spacing w:before="160" w:after="60"/>
      </w:pPr>
      <w:r>
        <w:rPr>
          <w:rFonts w:ascii="Arial" w:cs="Arial" w:eastAsia="Arial" w:hAnsi="Arial"/>
          <w:b/>
          <w:bCs/>
          <w:color w:val="2C3E50"/>
          <w:sz w:val="22"/>
          <w:szCs w:val="22"/>
        </w:rPr>
        <w:t xml:space="preserve">Persona 3: Real Estate Broker (Suresh, 38)</w:t>
      </w:r>
    </w:p>
    <w:p>
      <w:pPr>
        <w:spacing w:before="60" w:after="80"/>
      </w:pPr>
      <w:r>
        <w:rPr>
          <w:rFonts w:ascii="Arial" w:cs="Arial" w:eastAsia="Arial" w:hAnsi="Arial"/>
          <w:sz w:val="22"/>
          <w:szCs w:val="22"/>
        </w:rPr>
        <w:t xml:space="preserve">Suresh runs an agency in Belapur. He needs a quick valuation tool to back his pricing recommendations to clients and generate professional property reports.</w:t>
      </w:r>
    </w:p>
    <w:p>
      <w:pPr>
        <w:pStyle w:val="Heading2"/>
        <w:spacing w:before="240" w:after="80"/>
      </w:pPr>
      <w:r>
        <w:rPr>
          <w:rFonts w:ascii="Arial" w:cs="Arial" w:eastAsia="Arial" w:hAnsi="Arial"/>
          <w:b/>
          <w:bCs/>
          <w:color w:val="2E75B6"/>
          <w:sz w:val="26"/>
          <w:szCs w:val="26"/>
        </w:rPr>
        <w:t xml:space="preserve">4.2 Secondary Users</w:t>
      </w:r>
    </w:p>
    <w:p>
      <w:pPr>
        <w:pStyle w:val="ListParagraph"/>
        <w:numPr>
          <w:ilvl w:val="0"/>
          <w:numId w:val="2"/>
        </w:numPr>
        <w:spacing w:before="40" w:after="40"/>
      </w:pPr>
      <w:r>
        <w:rPr>
          <w:rFonts w:ascii="Arial" w:cs="Arial" w:eastAsia="Arial" w:hAnsi="Arial"/>
          <w:sz w:val="22"/>
          <w:szCs w:val="22"/>
        </w:rPr>
        <w:t xml:space="preserve">Banks and NBFCs for mortgage valuation assistance</w:t>
      </w:r>
    </w:p>
    <w:p>
      <w:pPr>
        <w:pStyle w:val="ListParagraph"/>
        <w:numPr>
          <w:ilvl w:val="0"/>
          <w:numId w:val="2"/>
        </w:numPr>
        <w:spacing w:before="40" w:after="40"/>
      </w:pPr>
      <w:r>
        <w:rPr>
          <w:rFonts w:ascii="Arial" w:cs="Arial" w:eastAsia="Arial" w:hAnsi="Arial"/>
          <w:sz w:val="22"/>
          <w:szCs w:val="22"/>
        </w:rPr>
        <w:t xml:space="preserve">Property developers for competitive pricing intelligence</w:t>
      </w:r>
    </w:p>
    <w:p>
      <w:pPr>
        <w:pStyle w:val="ListParagraph"/>
        <w:numPr>
          <w:ilvl w:val="0"/>
          <w:numId w:val="2"/>
        </w:numPr>
        <w:spacing w:before="40" w:after="40"/>
      </w:pPr>
      <w:r>
        <w:rPr>
          <w:rFonts w:ascii="Arial" w:cs="Arial" w:eastAsia="Arial" w:hAnsi="Arial"/>
          <w:sz w:val="22"/>
          <w:szCs w:val="22"/>
        </w:rPr>
        <w:t xml:space="preserve">NRI buyers making decisions remotely</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Features &amp; Requirements</w:t>
      </w:r>
    </w:p>
    <w:p>
      <w:pPr>
        <w:pStyle w:val="Heading2"/>
        <w:spacing w:before="240" w:after="80"/>
      </w:pPr>
      <w:r>
        <w:rPr>
          <w:rFonts w:ascii="Arial" w:cs="Arial" w:eastAsia="Arial" w:hAnsi="Arial"/>
          <w:b/>
          <w:bCs/>
          <w:color w:val="2E75B6"/>
          <w:sz w:val="26"/>
          <w:szCs w:val="26"/>
        </w:rPr>
        <w:t xml:space="preserve">5.1 Core Features — MVP (Phase 1)</w:t>
      </w:r>
    </w:p>
    <w:p>
      <w:pPr>
        <w:pStyle w:val="Heading3"/>
        <w:spacing w:before="160" w:after="60"/>
      </w:pPr>
      <w:r>
        <w:rPr>
          <w:rFonts w:ascii="Arial" w:cs="Arial" w:eastAsia="Arial" w:hAnsi="Arial"/>
          <w:b/>
          <w:bCs/>
          <w:color w:val="2C3E50"/>
          <w:sz w:val="22"/>
          <w:szCs w:val="22"/>
        </w:rPr>
        <w:t xml:space="preserve">F1: Property Price Estimator</w:t>
      </w:r>
    </w:p>
    <w:p>
      <w:pPr>
        <w:spacing w:before="60" w:after="80"/>
      </w:pPr>
      <w:r>
        <w:rPr>
          <w:rFonts w:ascii="Arial" w:cs="Arial" w:eastAsia="Arial" w:hAnsi="Arial"/>
          <w:sz w:val="22"/>
          <w:szCs w:val="22"/>
        </w:rPr>
        <w:t xml:space="preserve">The primary prediction interface. Users enter property details and receive an instant estimated price range.</w:t>
      </w:r>
    </w:p>
    <w:p>
      <w:pPr>
        <w:spacing w:before="60" w:after="80"/>
      </w:pPr>
      <w:r>
        <w:rPr>
          <w:rFonts w:ascii="Arial" w:cs="Arial" w:eastAsia="Arial" w:hAnsi="Arial"/>
          <w:b/>
          <w:bCs/>
          <w:sz w:val="22"/>
          <w:szCs w:val="22"/>
        </w:rPr>
        <w:t xml:space="preserve">Input Parameters:</w:t>
      </w:r>
    </w:p>
    <w:p>
      <w:pPr>
        <w:pStyle w:val="ListParagraph"/>
        <w:numPr>
          <w:ilvl w:val="0"/>
          <w:numId w:val="2"/>
        </w:numPr>
        <w:spacing w:before="40" w:after="40"/>
      </w:pPr>
      <w:r>
        <w:rPr>
          <w:rFonts w:ascii="Arial" w:cs="Arial" w:eastAsia="Arial" w:hAnsi="Arial"/>
          <w:sz w:val="22"/>
          <w:szCs w:val="22"/>
        </w:rPr>
        <w:t xml:space="preserve">Node / Sector / Society name</w:t>
      </w:r>
    </w:p>
    <w:p>
      <w:pPr>
        <w:pStyle w:val="ListParagraph"/>
        <w:numPr>
          <w:ilvl w:val="0"/>
          <w:numId w:val="2"/>
        </w:numPr>
        <w:spacing w:before="40" w:after="40"/>
      </w:pPr>
      <w:r>
        <w:rPr>
          <w:rFonts w:ascii="Arial" w:cs="Arial" w:eastAsia="Arial" w:hAnsi="Arial"/>
          <w:sz w:val="22"/>
          <w:szCs w:val="22"/>
        </w:rPr>
        <w:t xml:space="preserve">Property type (Flat, Row House, Penthouse, Studio)</w:t>
      </w:r>
    </w:p>
    <w:p>
      <w:pPr>
        <w:pStyle w:val="ListParagraph"/>
        <w:numPr>
          <w:ilvl w:val="0"/>
          <w:numId w:val="2"/>
        </w:numPr>
        <w:spacing w:before="40" w:after="40"/>
      </w:pPr>
      <w:r>
        <w:rPr>
          <w:rFonts w:ascii="Arial" w:cs="Arial" w:eastAsia="Arial" w:hAnsi="Arial"/>
          <w:sz w:val="22"/>
          <w:szCs w:val="22"/>
        </w:rPr>
        <w:t xml:space="preserve">BHK configuration (1BHK, 2BHK, 3BHK, 4BHK+)</w:t>
      </w:r>
    </w:p>
    <w:p>
      <w:pPr>
        <w:pStyle w:val="ListParagraph"/>
        <w:numPr>
          <w:ilvl w:val="0"/>
          <w:numId w:val="2"/>
        </w:numPr>
        <w:spacing w:before="40" w:after="40"/>
      </w:pPr>
      <w:r>
        <w:rPr>
          <w:rFonts w:ascii="Arial" w:cs="Arial" w:eastAsia="Arial" w:hAnsi="Arial"/>
          <w:sz w:val="22"/>
          <w:szCs w:val="22"/>
        </w:rPr>
        <w:t xml:space="preserve">Carpet area (sq ft)</w:t>
      </w:r>
    </w:p>
    <w:p>
      <w:pPr>
        <w:pStyle w:val="ListParagraph"/>
        <w:numPr>
          <w:ilvl w:val="0"/>
          <w:numId w:val="2"/>
        </w:numPr>
        <w:spacing w:before="40" w:after="40"/>
      </w:pPr>
      <w:r>
        <w:rPr>
          <w:rFonts w:ascii="Arial" w:cs="Arial" w:eastAsia="Arial" w:hAnsi="Arial"/>
          <w:sz w:val="22"/>
          <w:szCs w:val="22"/>
        </w:rPr>
        <w:t xml:space="preserve">Floor number and total floors in the building</w:t>
      </w:r>
    </w:p>
    <w:p>
      <w:pPr>
        <w:pStyle w:val="ListParagraph"/>
        <w:numPr>
          <w:ilvl w:val="0"/>
          <w:numId w:val="2"/>
        </w:numPr>
        <w:spacing w:before="40" w:after="40"/>
      </w:pPr>
      <w:r>
        <w:rPr>
          <w:rFonts w:ascii="Arial" w:cs="Arial" w:eastAsia="Arial" w:hAnsi="Arial"/>
          <w:sz w:val="22"/>
          <w:szCs w:val="22"/>
        </w:rPr>
        <w:t xml:space="preserve">Age of property / possession year</w:t>
      </w:r>
    </w:p>
    <w:p>
      <w:pPr>
        <w:pStyle w:val="ListParagraph"/>
        <w:numPr>
          <w:ilvl w:val="0"/>
          <w:numId w:val="2"/>
        </w:numPr>
        <w:spacing w:before="40" w:after="40"/>
      </w:pPr>
      <w:r>
        <w:rPr>
          <w:rFonts w:ascii="Arial" w:cs="Arial" w:eastAsia="Arial" w:hAnsi="Arial"/>
          <w:sz w:val="22"/>
          <w:szCs w:val="22"/>
        </w:rPr>
        <w:t xml:space="preserve">Furnishing status (Unfurnished / Semi / Fully)</w:t>
      </w:r>
    </w:p>
    <w:p>
      <w:pPr>
        <w:pStyle w:val="ListParagraph"/>
        <w:numPr>
          <w:ilvl w:val="0"/>
          <w:numId w:val="2"/>
        </w:numPr>
        <w:spacing w:before="40" w:after="40"/>
      </w:pPr>
      <w:r>
        <w:rPr>
          <w:rFonts w:ascii="Arial" w:cs="Arial" w:eastAsia="Arial" w:hAnsi="Arial"/>
          <w:sz w:val="22"/>
          <w:szCs w:val="22"/>
        </w:rPr>
        <w:t xml:space="preserve">Parking (None / 1 / 2)</w:t>
      </w:r>
    </w:p>
    <w:p>
      <w:pPr>
        <w:pStyle w:val="ListParagraph"/>
        <w:numPr>
          <w:ilvl w:val="0"/>
          <w:numId w:val="2"/>
        </w:numPr>
        <w:spacing w:before="40" w:after="40"/>
      </w:pPr>
      <w:r>
        <w:rPr>
          <w:rFonts w:ascii="Arial" w:cs="Arial" w:eastAsia="Arial" w:hAnsi="Arial"/>
          <w:sz w:val="22"/>
          <w:szCs w:val="22"/>
        </w:rPr>
        <w:t xml:space="preserve">Amenities (Gym, Pool, Clubhouse, Garden — multi-select)</w:t>
      </w:r>
    </w:p>
    <w:p>
      <w:pPr>
        <w:spacing w:before="60" w:after="80"/>
      </w:pPr>
      <w:r>
        <w:rPr>
          <w:rFonts w:ascii="Arial" w:cs="Arial" w:eastAsia="Arial" w:hAnsi="Arial"/>
          <w:b/>
          <w:bCs/>
          <w:sz w:val="22"/>
          <w:szCs w:val="22"/>
        </w:rPr>
        <w:t xml:space="preserve">Output:</w:t>
      </w:r>
    </w:p>
    <w:p>
      <w:pPr>
        <w:pStyle w:val="ListParagraph"/>
        <w:numPr>
          <w:ilvl w:val="0"/>
          <w:numId w:val="2"/>
        </w:numPr>
        <w:spacing w:before="40" w:after="40"/>
      </w:pPr>
      <w:r>
        <w:rPr>
          <w:rFonts w:ascii="Arial" w:cs="Arial" w:eastAsia="Arial" w:hAnsi="Arial"/>
          <w:sz w:val="22"/>
          <w:szCs w:val="22"/>
        </w:rPr>
        <w:t xml:space="preserve">Estimated price range (e.g., ₹85L – ₹95L) with a point estimate</w:t>
      </w:r>
    </w:p>
    <w:p>
      <w:pPr>
        <w:pStyle w:val="ListParagraph"/>
        <w:numPr>
          <w:ilvl w:val="0"/>
          <w:numId w:val="2"/>
        </w:numPr>
        <w:spacing w:before="40" w:after="40"/>
      </w:pPr>
      <w:r>
        <w:rPr>
          <w:rFonts w:ascii="Arial" w:cs="Arial" w:eastAsia="Arial" w:hAnsi="Arial"/>
          <w:sz w:val="22"/>
          <w:szCs w:val="22"/>
        </w:rPr>
        <w:t xml:space="preserve">Price per sq ft estimate</w:t>
      </w:r>
    </w:p>
    <w:p>
      <w:pPr>
        <w:pStyle w:val="ListParagraph"/>
        <w:numPr>
          <w:ilvl w:val="0"/>
          <w:numId w:val="2"/>
        </w:numPr>
        <w:spacing w:before="40" w:after="40"/>
      </w:pPr>
      <w:r>
        <w:rPr>
          <w:rFonts w:ascii="Arial" w:cs="Arial" w:eastAsia="Arial" w:hAnsi="Arial"/>
          <w:sz w:val="22"/>
          <w:szCs w:val="22"/>
        </w:rPr>
        <w:t xml:space="preserve">Confidence score (High / Medium / Low)</w:t>
      </w:r>
    </w:p>
    <w:p>
      <w:pPr>
        <w:pStyle w:val="ListParagraph"/>
        <w:numPr>
          <w:ilvl w:val="0"/>
          <w:numId w:val="2"/>
        </w:numPr>
        <w:spacing w:before="40" w:after="40"/>
      </w:pPr>
      <w:r>
        <w:rPr>
          <w:rFonts w:ascii="Arial" w:cs="Arial" w:eastAsia="Arial" w:hAnsi="Arial"/>
          <w:sz w:val="22"/>
          <w:szCs w:val="22"/>
        </w:rPr>
        <w:t xml:space="preserve">Comparable listings (3–5 recent transactions in the same micro-market)</w:t>
      </w:r>
    </w:p>
    <w:p>
      <w:pPr>
        <w:spacing w:before="100" w:after="100"/>
      </w:pPr>
      <w:r>
        <w:t xml:space="preserve"/>
      </w:r>
    </w:p>
    <w:p>
      <w:pPr>
        <w:pStyle w:val="Heading3"/>
        <w:spacing w:before="160" w:after="60"/>
      </w:pPr>
      <w:r>
        <w:rPr>
          <w:rFonts w:ascii="Arial" w:cs="Arial" w:eastAsia="Arial" w:hAnsi="Arial"/>
          <w:b/>
          <w:bCs/>
          <w:color w:val="2C3E50"/>
          <w:sz w:val="22"/>
          <w:szCs w:val="22"/>
        </w:rPr>
        <w:t xml:space="preserve">F2: Node &amp; Sector Market Dashboard</w:t>
      </w:r>
    </w:p>
    <w:p>
      <w:pPr>
        <w:spacing w:before="60" w:after="80"/>
      </w:pPr>
      <w:r>
        <w:rPr>
          <w:rFonts w:ascii="Arial" w:cs="Arial" w:eastAsia="Arial" w:hAnsi="Arial"/>
          <w:sz w:val="22"/>
          <w:szCs w:val="22"/>
        </w:rPr>
        <w:t xml:space="preserve">An interactive dashboard showing macro and micro market trends for each Navi Mumbai node.</w:t>
      </w:r>
    </w:p>
    <w:p>
      <w:pPr>
        <w:pStyle w:val="ListParagraph"/>
        <w:numPr>
          <w:ilvl w:val="0"/>
          <w:numId w:val="2"/>
        </w:numPr>
        <w:spacing w:before="40" w:after="40"/>
      </w:pPr>
      <w:r>
        <w:rPr>
          <w:rFonts w:ascii="Arial" w:cs="Arial" w:eastAsia="Arial" w:hAnsi="Arial"/>
          <w:sz w:val="22"/>
          <w:szCs w:val="22"/>
        </w:rPr>
        <w:t xml:space="preserve">Average price per sq ft by node (heatmap)</w:t>
      </w:r>
    </w:p>
    <w:p>
      <w:pPr>
        <w:pStyle w:val="ListParagraph"/>
        <w:numPr>
          <w:ilvl w:val="0"/>
          <w:numId w:val="2"/>
        </w:numPr>
        <w:spacing w:before="40" w:after="40"/>
      </w:pPr>
      <w:r>
        <w:rPr>
          <w:rFonts w:ascii="Arial" w:cs="Arial" w:eastAsia="Arial" w:hAnsi="Arial"/>
          <w:sz w:val="22"/>
          <w:szCs w:val="22"/>
        </w:rPr>
        <w:t xml:space="preserve">Price trend chart: last 12 months, 3 years, 5 years</w:t>
      </w:r>
    </w:p>
    <w:p>
      <w:pPr>
        <w:pStyle w:val="ListParagraph"/>
        <w:numPr>
          <w:ilvl w:val="0"/>
          <w:numId w:val="2"/>
        </w:numPr>
        <w:spacing w:before="40" w:after="40"/>
      </w:pPr>
      <w:r>
        <w:rPr>
          <w:rFonts w:ascii="Arial" w:cs="Arial" w:eastAsia="Arial" w:hAnsi="Arial"/>
          <w:sz w:val="22"/>
          <w:szCs w:val="22"/>
        </w:rPr>
        <w:t xml:space="preserve">Supply vs. demand indicator (listings count vs. searches)</w:t>
      </w:r>
    </w:p>
    <w:p>
      <w:pPr>
        <w:pStyle w:val="ListParagraph"/>
        <w:numPr>
          <w:ilvl w:val="0"/>
          <w:numId w:val="2"/>
        </w:numPr>
        <w:spacing w:before="40" w:after="40"/>
      </w:pPr>
      <w:r>
        <w:rPr>
          <w:rFonts w:ascii="Arial" w:cs="Arial" w:eastAsia="Arial" w:hAnsi="Arial"/>
          <w:sz w:val="22"/>
          <w:szCs w:val="22"/>
        </w:rPr>
        <w:t xml:space="preserve">Upcoming infrastructure projects affecting prices (NMSEZ, Metro Line 1 extension, Navi Mumbai Airport)</w:t>
      </w:r>
    </w:p>
    <w:p>
      <w:pPr>
        <w:spacing w:before="100" w:after="100"/>
      </w:pPr>
      <w:r>
        <w:t xml:space="preserve"/>
      </w:r>
    </w:p>
    <w:p>
      <w:pPr>
        <w:pStyle w:val="Heading3"/>
        <w:spacing w:before="160" w:after="60"/>
      </w:pPr>
      <w:r>
        <w:rPr>
          <w:rFonts w:ascii="Arial" w:cs="Arial" w:eastAsia="Arial" w:hAnsi="Arial"/>
          <w:b/>
          <w:bCs/>
          <w:color w:val="2C3E50"/>
          <w:sz w:val="22"/>
          <w:szCs w:val="22"/>
        </w:rPr>
        <w:t xml:space="preserve">F3: Price History &amp; Trend Analysis</w:t>
      </w:r>
    </w:p>
    <w:p>
      <w:pPr>
        <w:pStyle w:val="ListParagraph"/>
        <w:numPr>
          <w:ilvl w:val="0"/>
          <w:numId w:val="2"/>
        </w:numPr>
        <w:spacing w:before="40" w:after="40"/>
      </w:pPr>
      <w:r>
        <w:rPr>
          <w:rFonts w:ascii="Arial" w:cs="Arial" w:eastAsia="Arial" w:hAnsi="Arial"/>
          <w:sz w:val="22"/>
          <w:szCs w:val="22"/>
        </w:rPr>
        <w:t xml:space="preserve">Historical registered transaction data from IGR Maharashtra</w:t>
      </w:r>
    </w:p>
    <w:p>
      <w:pPr>
        <w:pStyle w:val="ListParagraph"/>
        <w:numPr>
          <w:ilvl w:val="0"/>
          <w:numId w:val="2"/>
        </w:numPr>
        <w:spacing w:before="40" w:after="40"/>
      </w:pPr>
      <w:r>
        <w:rPr>
          <w:rFonts w:ascii="Arial" w:cs="Arial" w:eastAsia="Arial" w:hAnsi="Arial"/>
          <w:sz w:val="22"/>
          <w:szCs w:val="22"/>
        </w:rPr>
        <w:t xml:space="preserve">Price appreciation / depreciation by locality over time</w:t>
      </w:r>
    </w:p>
    <w:p>
      <w:pPr>
        <w:pStyle w:val="ListParagraph"/>
        <w:numPr>
          <w:ilvl w:val="0"/>
          <w:numId w:val="2"/>
        </w:numPr>
        <w:spacing w:before="40" w:after="40"/>
      </w:pPr>
      <w:r>
        <w:rPr>
          <w:rFonts w:ascii="Arial" w:cs="Arial" w:eastAsia="Arial" w:hAnsi="Arial"/>
          <w:sz w:val="22"/>
          <w:szCs w:val="22"/>
        </w:rPr>
        <w:t xml:space="preserve">Seasonal pricing trends (festive season uplift etc.)</w:t>
      </w:r>
    </w:p>
    <w:p>
      <w:pPr>
        <w:spacing w:before="100" w:after="100"/>
      </w:pPr>
      <w:r>
        <w:t xml:space="preserve"/>
      </w:r>
    </w:p>
    <w:p>
      <w:pPr>
        <w:pStyle w:val="Heading3"/>
        <w:spacing w:before="160" w:after="60"/>
      </w:pPr>
      <w:r>
        <w:rPr>
          <w:rFonts w:ascii="Arial" w:cs="Arial" w:eastAsia="Arial" w:hAnsi="Arial"/>
          <w:b/>
          <w:bCs/>
          <w:color w:val="2C3E50"/>
          <w:sz w:val="22"/>
          <w:szCs w:val="22"/>
        </w:rPr>
        <w:t xml:space="preserve">F4: Comparable Property Search</w:t>
      </w:r>
    </w:p>
    <w:p>
      <w:pPr>
        <w:pStyle w:val="ListParagraph"/>
        <w:numPr>
          <w:ilvl w:val="0"/>
          <w:numId w:val="2"/>
        </w:numPr>
        <w:spacing w:before="40" w:after="40"/>
      </w:pPr>
      <w:r>
        <w:rPr>
          <w:rFonts w:ascii="Arial" w:cs="Arial" w:eastAsia="Arial" w:hAnsi="Arial"/>
          <w:sz w:val="22"/>
          <w:szCs w:val="22"/>
        </w:rPr>
        <w:t xml:space="preserve">Auto-suggest similar properties sold in the last 90 days</w:t>
      </w:r>
    </w:p>
    <w:p>
      <w:pPr>
        <w:pStyle w:val="ListParagraph"/>
        <w:numPr>
          <w:ilvl w:val="0"/>
          <w:numId w:val="2"/>
        </w:numPr>
        <w:spacing w:before="40" w:after="40"/>
      </w:pPr>
      <w:r>
        <w:rPr>
          <w:rFonts w:ascii="Arial" w:cs="Arial" w:eastAsia="Arial" w:hAnsi="Arial"/>
          <w:sz w:val="22"/>
          <w:szCs w:val="22"/>
        </w:rPr>
        <w:t xml:space="preserve">Side-by-side comparison of up to 4 properties</w:t>
      </w:r>
    </w:p>
    <w:p>
      <w:pPr>
        <w:pStyle w:val="ListParagraph"/>
        <w:numPr>
          <w:ilvl w:val="0"/>
          <w:numId w:val="2"/>
        </w:numPr>
        <w:spacing w:before="40" w:after="40"/>
      </w:pPr>
      <w:r>
        <w:rPr>
          <w:rFonts w:ascii="Arial" w:cs="Arial" w:eastAsia="Arial" w:hAnsi="Arial"/>
          <w:sz w:val="22"/>
          <w:szCs w:val="22"/>
        </w:rPr>
        <w:t xml:space="preserve">Highlight key value drivers (proximity to metro, school rating, society quality)</w:t>
      </w:r>
    </w:p>
    <w:p>
      <w:pPr>
        <w:spacing w:before="100" w:after="100"/>
      </w:pPr>
      <w:r>
        <w:t xml:space="preserve"/>
      </w:r>
    </w:p>
    <w:p>
      <w:pPr>
        <w:pStyle w:val="Heading2"/>
        <w:spacing w:before="240" w:after="80"/>
      </w:pPr>
      <w:r>
        <w:rPr>
          <w:rFonts w:ascii="Arial" w:cs="Arial" w:eastAsia="Arial" w:hAnsi="Arial"/>
          <w:b/>
          <w:bCs/>
          <w:color w:val="2E75B6"/>
          <w:sz w:val="26"/>
          <w:szCs w:val="26"/>
        </w:rPr>
        <w:t xml:space="preserve">5.2 Enhanced Features — Phase 2</w:t>
      </w:r>
    </w:p>
    <w:p>
      <w:pPr>
        <w:pStyle w:val="Heading3"/>
        <w:spacing w:before="160" w:after="60"/>
      </w:pPr>
      <w:r>
        <w:rPr>
          <w:rFonts w:ascii="Arial" w:cs="Arial" w:eastAsia="Arial" w:hAnsi="Arial"/>
          <w:b/>
          <w:bCs/>
          <w:color w:val="2C3E50"/>
          <w:sz w:val="22"/>
          <w:szCs w:val="22"/>
        </w:rPr>
        <w:t xml:space="preserve">F5: AI-Powered Valuation Report</w:t>
      </w:r>
    </w:p>
    <w:p>
      <w:pPr>
        <w:pStyle w:val="ListParagraph"/>
        <w:numPr>
          <w:ilvl w:val="0"/>
          <w:numId w:val="2"/>
        </w:numPr>
        <w:spacing w:before="40" w:after="40"/>
      </w:pPr>
      <w:r>
        <w:rPr>
          <w:rFonts w:ascii="Arial" w:cs="Arial" w:eastAsia="Arial" w:hAnsi="Arial"/>
          <w:sz w:val="22"/>
          <w:szCs w:val="22"/>
        </w:rPr>
        <w:t xml:space="preserve">PDF report exportable for bank submissions and legal documentation</w:t>
      </w:r>
    </w:p>
    <w:p>
      <w:pPr>
        <w:pStyle w:val="ListParagraph"/>
        <w:numPr>
          <w:ilvl w:val="0"/>
          <w:numId w:val="2"/>
        </w:numPr>
        <w:spacing w:before="40" w:after="40"/>
      </w:pPr>
      <w:r>
        <w:rPr>
          <w:rFonts w:ascii="Arial" w:cs="Arial" w:eastAsia="Arial" w:hAnsi="Arial"/>
          <w:sz w:val="22"/>
          <w:szCs w:val="22"/>
        </w:rPr>
        <w:t xml:space="preserve">Includes: model assumptions, market context, comparable transactions, risk factors</w:t>
      </w:r>
    </w:p>
    <w:p>
      <w:pPr>
        <w:pStyle w:val="ListParagraph"/>
        <w:numPr>
          <w:ilvl w:val="0"/>
          <w:numId w:val="2"/>
        </w:numPr>
        <w:spacing w:before="40" w:after="40"/>
      </w:pPr>
      <w:r>
        <w:rPr>
          <w:rFonts w:ascii="Arial" w:cs="Arial" w:eastAsia="Arial" w:hAnsi="Arial"/>
          <w:sz w:val="22"/>
          <w:szCs w:val="22"/>
        </w:rPr>
        <w:t xml:space="preserve">Watermarked with disclaimer for non-certified use</w:t>
      </w:r>
    </w:p>
    <w:p>
      <w:pPr>
        <w:pStyle w:val="Heading3"/>
        <w:spacing w:before="160" w:after="60"/>
      </w:pPr>
      <w:r>
        <w:rPr>
          <w:rFonts w:ascii="Arial" w:cs="Arial" w:eastAsia="Arial" w:hAnsi="Arial"/>
          <w:b/>
          <w:bCs/>
          <w:color w:val="2C3E50"/>
          <w:sz w:val="22"/>
          <w:szCs w:val="22"/>
        </w:rPr>
        <w:t xml:space="preserve">F6: Rental Yield Estimator</w:t>
      </w:r>
    </w:p>
    <w:p>
      <w:pPr>
        <w:pStyle w:val="ListParagraph"/>
        <w:numPr>
          <w:ilvl w:val="0"/>
          <w:numId w:val="2"/>
        </w:numPr>
        <w:spacing w:before="40" w:after="40"/>
      </w:pPr>
      <w:r>
        <w:rPr>
          <w:rFonts w:ascii="Arial" w:cs="Arial" w:eastAsia="Arial" w:hAnsi="Arial"/>
          <w:sz w:val="22"/>
          <w:szCs w:val="22"/>
        </w:rPr>
        <w:t xml:space="preserve">Expected monthly rent range by property type and node</w:t>
      </w:r>
    </w:p>
    <w:p>
      <w:pPr>
        <w:pStyle w:val="ListParagraph"/>
        <w:numPr>
          <w:ilvl w:val="0"/>
          <w:numId w:val="2"/>
        </w:numPr>
        <w:spacing w:before="40" w:after="40"/>
      </w:pPr>
      <w:r>
        <w:rPr>
          <w:rFonts w:ascii="Arial" w:cs="Arial" w:eastAsia="Arial" w:hAnsi="Arial"/>
          <w:sz w:val="22"/>
          <w:szCs w:val="22"/>
        </w:rPr>
        <w:t xml:space="preserve">Gross rental yield calculation</w:t>
      </w:r>
    </w:p>
    <w:p>
      <w:pPr>
        <w:pStyle w:val="ListParagraph"/>
        <w:numPr>
          <w:ilvl w:val="0"/>
          <w:numId w:val="2"/>
        </w:numPr>
        <w:spacing w:before="40" w:after="40"/>
      </w:pPr>
      <w:r>
        <w:rPr>
          <w:rFonts w:ascii="Arial" w:cs="Arial" w:eastAsia="Arial" w:hAnsi="Arial"/>
          <w:sz w:val="22"/>
          <w:szCs w:val="22"/>
        </w:rPr>
        <w:t xml:space="preserve">Comparison with fixed deposit / equity returns (contextual)</w:t>
      </w:r>
    </w:p>
    <w:p>
      <w:pPr>
        <w:pStyle w:val="Heading3"/>
        <w:spacing w:before="160" w:after="60"/>
      </w:pPr>
      <w:r>
        <w:rPr>
          <w:rFonts w:ascii="Arial" w:cs="Arial" w:eastAsia="Arial" w:hAnsi="Arial"/>
          <w:b/>
          <w:bCs/>
          <w:color w:val="2C3E50"/>
          <w:sz w:val="22"/>
          <w:szCs w:val="22"/>
        </w:rPr>
        <w:t xml:space="preserve">F7: Broker &amp; Developer Portal</w:t>
      </w:r>
    </w:p>
    <w:p>
      <w:pPr>
        <w:pStyle w:val="ListParagraph"/>
        <w:numPr>
          <w:ilvl w:val="0"/>
          <w:numId w:val="2"/>
        </w:numPr>
        <w:spacing w:before="40" w:after="40"/>
      </w:pPr>
      <w:r>
        <w:rPr>
          <w:rFonts w:ascii="Arial" w:cs="Arial" w:eastAsia="Arial" w:hAnsi="Arial"/>
          <w:sz w:val="22"/>
          <w:szCs w:val="22"/>
        </w:rPr>
        <w:t xml:space="preserve">Bulk property valuation via CSV upload</w:t>
      </w:r>
    </w:p>
    <w:p>
      <w:pPr>
        <w:pStyle w:val="ListParagraph"/>
        <w:numPr>
          <w:ilvl w:val="0"/>
          <w:numId w:val="2"/>
        </w:numPr>
        <w:spacing w:before="40" w:after="40"/>
      </w:pPr>
      <w:r>
        <w:rPr>
          <w:rFonts w:ascii="Arial" w:cs="Arial" w:eastAsia="Arial" w:hAnsi="Arial"/>
          <w:sz w:val="22"/>
          <w:szCs w:val="22"/>
        </w:rPr>
        <w:t xml:space="preserve">Custom branding for exported reports</w:t>
      </w:r>
    </w:p>
    <w:p>
      <w:pPr>
        <w:pStyle w:val="ListParagraph"/>
        <w:numPr>
          <w:ilvl w:val="0"/>
          <w:numId w:val="2"/>
        </w:numPr>
        <w:spacing w:before="40" w:after="40"/>
      </w:pPr>
      <w:r>
        <w:rPr>
          <w:rFonts w:ascii="Arial" w:cs="Arial" w:eastAsia="Arial" w:hAnsi="Arial"/>
          <w:sz w:val="22"/>
          <w:szCs w:val="22"/>
        </w:rPr>
        <w:t xml:space="preserve">Lead management integration</w:t>
      </w:r>
    </w:p>
    <w:p>
      <w:pPr>
        <w:pStyle w:val="ListParagraph"/>
        <w:numPr>
          <w:ilvl w:val="0"/>
          <w:numId w:val="2"/>
        </w:numPr>
        <w:spacing w:before="40" w:after="40"/>
      </w:pPr>
      <w:r>
        <w:rPr>
          <w:rFonts w:ascii="Arial" w:cs="Arial" w:eastAsia="Arial" w:hAnsi="Arial"/>
          <w:sz w:val="22"/>
          <w:szCs w:val="22"/>
        </w:rPr>
        <w:t xml:space="preserve">API access for CRM integration</w:t>
      </w:r>
    </w:p>
    <w:p>
      <w:pPr>
        <w:pStyle w:val="Heading3"/>
        <w:spacing w:before="160" w:after="60"/>
      </w:pPr>
      <w:r>
        <w:rPr>
          <w:rFonts w:ascii="Arial" w:cs="Arial" w:eastAsia="Arial" w:hAnsi="Arial"/>
          <w:b/>
          <w:bCs/>
          <w:color w:val="2C3E50"/>
          <w:sz w:val="22"/>
          <w:szCs w:val="22"/>
        </w:rPr>
        <w:t xml:space="preserve">F8: Price Alert &amp; Watchlist</w:t>
      </w:r>
    </w:p>
    <w:p>
      <w:pPr>
        <w:pStyle w:val="ListParagraph"/>
        <w:numPr>
          <w:ilvl w:val="0"/>
          <w:numId w:val="2"/>
        </w:numPr>
        <w:spacing w:before="40" w:after="40"/>
      </w:pPr>
      <w:r>
        <w:rPr>
          <w:rFonts w:ascii="Arial" w:cs="Arial" w:eastAsia="Arial" w:hAnsi="Arial"/>
          <w:sz w:val="22"/>
          <w:szCs w:val="22"/>
        </w:rPr>
        <w:t xml:space="preserve">Users can bookmark properties or localities</w:t>
      </w:r>
    </w:p>
    <w:p>
      <w:pPr>
        <w:pStyle w:val="ListParagraph"/>
        <w:numPr>
          <w:ilvl w:val="0"/>
          <w:numId w:val="2"/>
        </w:numPr>
        <w:spacing w:before="40" w:after="40"/>
      </w:pPr>
      <w:r>
        <w:rPr>
          <w:rFonts w:ascii="Arial" w:cs="Arial" w:eastAsia="Arial" w:hAnsi="Arial"/>
          <w:sz w:val="22"/>
          <w:szCs w:val="22"/>
        </w:rPr>
        <w:t xml:space="preserve">Receive push/email notification when price crosses a threshold</w:t>
      </w:r>
    </w:p>
    <w:p>
      <w:pPr>
        <w:pStyle w:val="ListParagraph"/>
        <w:numPr>
          <w:ilvl w:val="0"/>
          <w:numId w:val="2"/>
        </w:numPr>
        <w:spacing w:before="40" w:after="40"/>
      </w:pPr>
      <w:r>
        <w:rPr>
          <w:rFonts w:ascii="Arial" w:cs="Arial" w:eastAsia="Arial" w:hAnsi="Arial"/>
          <w:sz w:val="22"/>
          <w:szCs w:val="22"/>
        </w:rPr>
        <w:t xml:space="preserve">Monthly market digest email</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ML Model Requirements</w:t>
      </w:r>
    </w:p>
    <w:p>
      <w:pPr>
        <w:pStyle w:val="Heading2"/>
        <w:spacing w:before="240" w:after="80"/>
      </w:pPr>
      <w:r>
        <w:rPr>
          <w:rFonts w:ascii="Arial" w:cs="Arial" w:eastAsia="Arial" w:hAnsi="Arial"/>
          <w:b/>
          <w:bCs/>
          <w:color w:val="2E75B6"/>
          <w:sz w:val="26"/>
          <w:szCs w:val="26"/>
        </w:rPr>
        <w:t xml:space="preserve">6.1 Model Architecture</w:t>
      </w:r>
    </w:p>
    <w:p>
      <w:pPr>
        <w:spacing w:before="60" w:after="80"/>
      </w:pPr>
      <w:r>
        <w:rPr>
          <w:rFonts w:ascii="Arial" w:cs="Arial" w:eastAsia="Arial" w:hAnsi="Arial"/>
          <w:sz w:val="22"/>
          <w:szCs w:val="22"/>
        </w:rPr>
        <w:t xml:space="preserve">A gradient boosted ensemble model (XGBoost / LightGBM) with a geospatial layer for location embeddings. A neural network branch will handle image-based quality scoring (Phase 2).</w:t>
      </w:r>
    </w:p>
    <w:p>
      <w:pPr>
        <w:pStyle w:val="Heading2"/>
        <w:spacing w:before="240" w:after="80"/>
      </w:pPr>
      <w:r>
        <w:rPr>
          <w:rFonts w:ascii="Arial" w:cs="Arial" w:eastAsia="Arial" w:hAnsi="Arial"/>
          <w:b/>
          <w:bCs/>
          <w:color w:val="2E75B6"/>
          <w:sz w:val="26"/>
          <w:szCs w:val="26"/>
        </w:rPr>
        <w:t xml:space="preserve">6.2 Feature Set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Feature Category</w:t>
            </w:r>
          </w:p>
        </w:tc>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Carpet area, BHK, floor, age, construction quality</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Node, sector, lat/long, distance to metro station, distance to CBD</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Amenities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Gym, pool, security, parking, power backup</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Macro-economic</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Repo rate, inflation index, construction cost index</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Market signals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Days on market, listing-to-sale ratio, quarterly price index</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External data</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School ratings (Google/Zomato), hospital proximity, crime index</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CIDCO-specific</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Scheme type, possession letter, CIDCO vs. private developer</w:t>
            </w:r>
          </w:p>
        </w:tc>
      </w:tr>
    </w:tbl>
    <w:p>
      <w:pPr>
        <w:spacing w:before="100" w:after="100"/>
      </w:pPr>
      <w:r>
        <w:t xml:space="preserve"/>
      </w:r>
    </w:p>
    <w:p>
      <w:pPr>
        <w:pStyle w:val="Heading2"/>
        <w:spacing w:before="240" w:after="80"/>
      </w:pPr>
      <w:r>
        <w:rPr>
          <w:rFonts w:ascii="Arial" w:cs="Arial" w:eastAsia="Arial" w:hAnsi="Arial"/>
          <w:b/>
          <w:bCs/>
          <w:color w:val="2E75B6"/>
          <w:sz w:val="26"/>
          <w:szCs w:val="26"/>
        </w:rPr>
        <w:t xml:space="preserve">6.3 Training Data Sources</w:t>
      </w:r>
    </w:p>
    <w:p>
      <w:pPr>
        <w:pStyle w:val="ListParagraph"/>
        <w:numPr>
          <w:ilvl w:val="0"/>
          <w:numId w:val="2"/>
        </w:numPr>
        <w:spacing w:before="40" w:after="40"/>
      </w:pPr>
      <w:r>
        <w:rPr>
          <w:rFonts w:ascii="Arial" w:cs="Arial" w:eastAsia="Arial" w:hAnsi="Arial"/>
          <w:sz w:val="22"/>
          <w:szCs w:val="22"/>
        </w:rPr>
        <w:t xml:space="preserve">IGR Maharashtra — registered transaction data (primary ground truth)</w:t>
      </w:r>
    </w:p>
    <w:p>
      <w:pPr>
        <w:pStyle w:val="ListParagraph"/>
        <w:numPr>
          <w:ilvl w:val="0"/>
          <w:numId w:val="2"/>
        </w:numPr>
        <w:spacing w:before="40" w:after="40"/>
      </w:pPr>
      <w:r>
        <w:rPr>
          <w:rFonts w:ascii="Arial" w:cs="Arial" w:eastAsia="Arial" w:hAnsi="Arial"/>
          <w:sz w:val="22"/>
          <w:szCs w:val="22"/>
        </w:rPr>
        <w:t xml:space="preserve">RERA Maharashtra — approved projects and completion status</w:t>
      </w:r>
    </w:p>
    <w:p>
      <w:pPr>
        <w:pStyle w:val="ListParagraph"/>
        <w:numPr>
          <w:ilvl w:val="0"/>
          <w:numId w:val="2"/>
        </w:numPr>
        <w:spacing w:before="40" w:after="40"/>
      </w:pPr>
      <w:r>
        <w:rPr>
          <w:rFonts w:ascii="Arial" w:cs="Arial" w:eastAsia="Arial" w:hAnsi="Arial"/>
          <w:sz w:val="22"/>
          <w:szCs w:val="22"/>
        </w:rPr>
        <w:t xml:space="preserve">NoBroker, MagicBricks, 99acres — listing prices (scraped / API)</w:t>
      </w:r>
    </w:p>
    <w:p>
      <w:pPr>
        <w:pStyle w:val="ListParagraph"/>
        <w:numPr>
          <w:ilvl w:val="0"/>
          <w:numId w:val="2"/>
        </w:numPr>
        <w:spacing w:before="40" w:after="40"/>
      </w:pPr>
      <w:r>
        <w:rPr>
          <w:rFonts w:ascii="Arial" w:cs="Arial" w:eastAsia="Arial" w:hAnsi="Arial"/>
          <w:sz w:val="22"/>
          <w:szCs w:val="22"/>
        </w:rPr>
        <w:t xml:space="preserve">CIDCO tender and auction data</w:t>
      </w:r>
    </w:p>
    <w:p>
      <w:pPr>
        <w:pStyle w:val="ListParagraph"/>
        <w:numPr>
          <w:ilvl w:val="0"/>
          <w:numId w:val="2"/>
        </w:numPr>
        <w:spacing w:before="40" w:after="40"/>
      </w:pPr>
      <w:r>
        <w:rPr>
          <w:rFonts w:ascii="Arial" w:cs="Arial" w:eastAsia="Arial" w:hAnsi="Arial"/>
          <w:sz w:val="22"/>
          <w:szCs w:val="22"/>
        </w:rPr>
        <w:t xml:space="preserve">OpenStreetMap and Google Maps — POI distance features</w:t>
      </w:r>
    </w:p>
    <w:p>
      <w:pPr>
        <w:pStyle w:val="ListParagraph"/>
        <w:numPr>
          <w:ilvl w:val="0"/>
          <w:numId w:val="2"/>
        </w:numPr>
        <w:spacing w:before="40" w:after="40"/>
      </w:pPr>
      <w:r>
        <w:rPr>
          <w:rFonts w:ascii="Arial" w:cs="Arial" w:eastAsia="Arial" w:hAnsi="Arial"/>
          <w:sz w:val="22"/>
          <w:szCs w:val="22"/>
        </w:rPr>
        <w:t xml:space="preserve">Census and satellite imagery — neighborhood quality proxy</w:t>
      </w:r>
    </w:p>
    <w:p>
      <w:pPr>
        <w:pStyle w:val="Heading2"/>
        <w:spacing w:before="240" w:after="80"/>
      </w:pPr>
      <w:r>
        <w:rPr>
          <w:rFonts w:ascii="Arial" w:cs="Arial" w:eastAsia="Arial" w:hAnsi="Arial"/>
          <w:b/>
          <w:bCs/>
          <w:color w:val="2E75B6"/>
          <w:sz w:val="26"/>
          <w:szCs w:val="26"/>
        </w:rPr>
        <w:t xml:space="preserve">6.4 Model Performance Requirements</w:t>
      </w:r>
    </w:p>
    <w:p>
      <w:pPr>
        <w:pStyle w:val="ListParagraph"/>
        <w:numPr>
          <w:ilvl w:val="0"/>
          <w:numId w:val="2"/>
        </w:numPr>
        <w:spacing w:before="40" w:after="40"/>
      </w:pPr>
      <w:r>
        <w:rPr>
          <w:rFonts w:ascii="Arial" w:cs="Arial" w:eastAsia="Arial" w:hAnsi="Arial"/>
          <w:sz w:val="22"/>
          <w:szCs w:val="22"/>
        </w:rPr>
        <w:t xml:space="preserve">MdAPE ≤ 8% on test set (holdout: last 6 months of transactions)</w:t>
      </w:r>
    </w:p>
    <w:p>
      <w:pPr>
        <w:pStyle w:val="ListParagraph"/>
        <w:numPr>
          <w:ilvl w:val="0"/>
          <w:numId w:val="2"/>
        </w:numPr>
        <w:spacing w:before="40" w:after="40"/>
      </w:pPr>
      <w:r>
        <w:rPr>
          <w:rFonts w:ascii="Arial" w:cs="Arial" w:eastAsia="Arial" w:hAnsi="Arial"/>
          <w:sz w:val="22"/>
          <w:szCs w:val="22"/>
        </w:rPr>
        <w:t xml:space="preserve">R² ≥ 0.88 on the regression target</w:t>
      </w:r>
    </w:p>
    <w:p>
      <w:pPr>
        <w:pStyle w:val="ListParagraph"/>
        <w:numPr>
          <w:ilvl w:val="0"/>
          <w:numId w:val="2"/>
        </w:numPr>
        <w:spacing w:before="40" w:after="40"/>
      </w:pPr>
      <w:r>
        <w:rPr>
          <w:rFonts w:ascii="Arial" w:cs="Arial" w:eastAsia="Arial" w:hAnsi="Arial"/>
          <w:sz w:val="22"/>
          <w:szCs w:val="22"/>
        </w:rPr>
        <w:t xml:space="preserve">P90 prediction latency ≤ 500ms (API call to response)</w:t>
      </w:r>
    </w:p>
    <w:p>
      <w:pPr>
        <w:pStyle w:val="ListParagraph"/>
        <w:numPr>
          <w:ilvl w:val="0"/>
          <w:numId w:val="2"/>
        </w:numPr>
        <w:spacing w:before="40" w:after="40"/>
      </w:pPr>
      <w:r>
        <w:rPr>
          <w:rFonts w:ascii="Arial" w:cs="Arial" w:eastAsia="Arial" w:hAnsi="Arial"/>
          <w:sz w:val="22"/>
          <w:szCs w:val="22"/>
        </w:rPr>
        <w:t xml:space="preserve">Model retrained at minimum every 30 days with fresh transaction data</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UX &amp; Design Requirements</w:t>
      </w:r>
    </w:p>
    <w:p>
      <w:pPr>
        <w:pStyle w:val="Heading2"/>
        <w:spacing w:before="240" w:after="80"/>
      </w:pPr>
      <w:r>
        <w:rPr>
          <w:rFonts w:ascii="Arial" w:cs="Arial" w:eastAsia="Arial" w:hAnsi="Arial"/>
          <w:b/>
          <w:bCs/>
          <w:color w:val="2E75B6"/>
          <w:sz w:val="26"/>
          <w:szCs w:val="26"/>
        </w:rPr>
        <w:t xml:space="preserve">7.1 Platform</w:t>
      </w:r>
    </w:p>
    <w:p>
      <w:pPr>
        <w:pStyle w:val="ListParagraph"/>
        <w:numPr>
          <w:ilvl w:val="0"/>
          <w:numId w:val="2"/>
        </w:numPr>
        <w:spacing w:before="40" w:after="40"/>
      </w:pPr>
      <w:r>
        <w:rPr>
          <w:rFonts w:ascii="Arial" w:cs="Arial" w:eastAsia="Arial" w:hAnsi="Arial"/>
          <w:sz w:val="22"/>
          <w:szCs w:val="22"/>
        </w:rPr>
        <w:t xml:space="preserve">Responsive Web App (primary) — Progressive Web App (PWA) capable</w:t>
      </w:r>
    </w:p>
    <w:p>
      <w:pPr>
        <w:pStyle w:val="ListParagraph"/>
        <w:numPr>
          <w:ilvl w:val="0"/>
          <w:numId w:val="2"/>
        </w:numPr>
        <w:spacing w:before="40" w:after="40"/>
      </w:pPr>
      <w:r>
        <w:rPr>
          <w:rFonts w:ascii="Arial" w:cs="Arial" w:eastAsia="Arial" w:hAnsi="Arial"/>
          <w:sz w:val="22"/>
          <w:szCs w:val="22"/>
        </w:rPr>
        <w:t xml:space="preserve">Native iOS and Android apps (Phase 2)</w:t>
      </w:r>
    </w:p>
    <w:p>
      <w:pPr>
        <w:pStyle w:val="Heading2"/>
        <w:spacing w:before="240" w:after="80"/>
      </w:pPr>
      <w:r>
        <w:rPr>
          <w:rFonts w:ascii="Arial" w:cs="Arial" w:eastAsia="Arial" w:hAnsi="Arial"/>
          <w:b/>
          <w:bCs/>
          <w:color w:val="2E75B6"/>
          <w:sz w:val="26"/>
          <w:szCs w:val="26"/>
        </w:rPr>
        <w:t xml:space="preserve">7.2 Key UX Principles</w:t>
      </w:r>
    </w:p>
    <w:p>
      <w:pPr>
        <w:pStyle w:val="ListParagraph"/>
        <w:numPr>
          <w:ilvl w:val="0"/>
          <w:numId w:val="2"/>
        </w:numPr>
        <w:spacing w:before="40" w:after="40"/>
      </w:pPr>
      <w:r>
        <w:rPr>
          <w:rFonts w:ascii="Arial" w:cs="Arial" w:eastAsia="Arial" w:hAnsi="Arial"/>
          <w:sz w:val="22"/>
          <w:szCs w:val="22"/>
        </w:rPr>
        <w:t xml:space="preserve">3-click maximum to reach a price estimate from the home screen</w:t>
      </w:r>
    </w:p>
    <w:p>
      <w:pPr>
        <w:pStyle w:val="ListParagraph"/>
        <w:numPr>
          <w:ilvl w:val="0"/>
          <w:numId w:val="2"/>
        </w:numPr>
        <w:spacing w:before="40" w:after="40"/>
      </w:pPr>
      <w:r>
        <w:rPr>
          <w:rFonts w:ascii="Arial" w:cs="Arial" w:eastAsia="Arial" w:hAnsi="Arial"/>
          <w:sz w:val="22"/>
          <w:szCs w:val="22"/>
        </w:rPr>
        <w:t xml:space="preserve">Progressive disclosure — show price range first, detailed breakdown on tap</w:t>
      </w:r>
    </w:p>
    <w:p>
      <w:pPr>
        <w:pStyle w:val="ListParagraph"/>
        <w:numPr>
          <w:ilvl w:val="0"/>
          <w:numId w:val="2"/>
        </w:numPr>
        <w:spacing w:before="40" w:after="40"/>
      </w:pPr>
      <w:r>
        <w:rPr>
          <w:rFonts w:ascii="Arial" w:cs="Arial" w:eastAsia="Arial" w:hAnsi="Arial"/>
          <w:sz w:val="22"/>
          <w:szCs w:val="22"/>
        </w:rPr>
        <w:t xml:space="preserve">No login required for basic estimation; login unlocks saved searches and history</w:t>
      </w:r>
    </w:p>
    <w:p>
      <w:pPr>
        <w:pStyle w:val="ListParagraph"/>
        <w:numPr>
          <w:ilvl w:val="0"/>
          <w:numId w:val="2"/>
        </w:numPr>
        <w:spacing w:before="40" w:after="40"/>
      </w:pPr>
      <w:r>
        <w:rPr>
          <w:rFonts w:ascii="Arial" w:cs="Arial" w:eastAsia="Arial" w:hAnsi="Arial"/>
          <w:sz w:val="22"/>
          <w:szCs w:val="22"/>
        </w:rPr>
        <w:t xml:space="preserve">Vernacular support: English and Marathi in Phase 1</w:t>
      </w:r>
    </w:p>
    <w:p>
      <w:pPr>
        <w:pStyle w:val="ListParagraph"/>
        <w:numPr>
          <w:ilvl w:val="0"/>
          <w:numId w:val="2"/>
        </w:numPr>
        <w:spacing w:before="40" w:after="40"/>
      </w:pPr>
      <w:r>
        <w:rPr>
          <w:rFonts w:ascii="Arial" w:cs="Arial" w:eastAsia="Arial" w:hAnsi="Arial"/>
          <w:sz w:val="22"/>
          <w:szCs w:val="22"/>
        </w:rPr>
        <w:t xml:space="preserve">Accessibility: WCAG 2.1 AA compliance</w:t>
      </w:r>
    </w:p>
    <w:p>
      <w:pPr>
        <w:pStyle w:val="Heading2"/>
        <w:spacing w:before="240" w:after="80"/>
      </w:pPr>
      <w:r>
        <w:rPr>
          <w:rFonts w:ascii="Arial" w:cs="Arial" w:eastAsia="Arial" w:hAnsi="Arial"/>
          <w:b/>
          <w:bCs/>
          <w:color w:val="2E75B6"/>
          <w:sz w:val="26"/>
          <w:szCs w:val="26"/>
        </w:rPr>
        <w:t xml:space="preserve">7.3 Key Screens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468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Home / Landing</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Search bar with node auto-suggest, featured insights, quick stats</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Estimator Form</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Step-by-step guided form with smart defaults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Results Page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Price card, confidence band, comparables, market context</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Node Dashboard</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Heatmap, trend charts, supply/demand widgets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 Page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Full detailed breakdown with shareable / exportable layout</w:t>
            </w:r>
          </w:p>
        </w:tc>
      </w:tr>
      <w:tr>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User Dashboard</w:t>
            </w:r>
          </w:p>
        </w:tc>
        <w:tc>
          <w:tcPr>
            <w:tcW w:type="dxa" w:w="468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Saved searches, watchlist, alert settings</w:t>
            </w:r>
          </w:p>
        </w:tc>
      </w:tr>
    </w:tbl>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Data &amp; Integration Requirements</w:t>
      </w:r>
    </w:p>
    <w:p>
      <w:pPr>
        <w:pStyle w:val="Heading2"/>
        <w:spacing w:before="240" w:after="80"/>
      </w:pPr>
      <w:r>
        <w:rPr>
          <w:rFonts w:ascii="Arial" w:cs="Arial" w:eastAsia="Arial" w:hAnsi="Arial"/>
          <w:b/>
          <w:bCs/>
          <w:color w:val="2E75B6"/>
          <w:sz w:val="26"/>
          <w:szCs w:val="26"/>
        </w:rPr>
        <w:t xml:space="preserve">8.1 Data Ingestion</w:t>
      </w:r>
    </w:p>
    <w:p>
      <w:pPr>
        <w:pStyle w:val="ListParagraph"/>
        <w:numPr>
          <w:ilvl w:val="0"/>
          <w:numId w:val="2"/>
        </w:numPr>
        <w:spacing w:before="40" w:after="40"/>
      </w:pPr>
      <w:r>
        <w:rPr>
          <w:rFonts w:ascii="Arial" w:cs="Arial" w:eastAsia="Arial" w:hAnsi="Arial"/>
          <w:sz w:val="22"/>
          <w:szCs w:val="22"/>
        </w:rPr>
        <w:t xml:space="preserve">IGR data feed: weekly batch pull via Maharashtra government portal</w:t>
      </w:r>
    </w:p>
    <w:p>
      <w:pPr>
        <w:pStyle w:val="ListParagraph"/>
        <w:numPr>
          <w:ilvl w:val="0"/>
          <w:numId w:val="2"/>
        </w:numPr>
        <w:spacing w:before="40" w:after="40"/>
      </w:pPr>
      <w:r>
        <w:rPr>
          <w:rFonts w:ascii="Arial" w:cs="Arial" w:eastAsia="Arial" w:hAnsi="Arial"/>
          <w:sz w:val="22"/>
          <w:szCs w:val="22"/>
        </w:rPr>
        <w:t xml:space="preserve">RERA: real-time webhook for new project registrations</w:t>
      </w:r>
    </w:p>
    <w:p>
      <w:pPr>
        <w:pStyle w:val="ListParagraph"/>
        <w:numPr>
          <w:ilvl w:val="0"/>
          <w:numId w:val="2"/>
        </w:numPr>
        <w:spacing w:before="40" w:after="40"/>
      </w:pPr>
      <w:r>
        <w:rPr>
          <w:rFonts w:ascii="Arial" w:cs="Arial" w:eastAsia="Arial" w:hAnsi="Arial"/>
          <w:sz w:val="22"/>
          <w:szCs w:val="22"/>
        </w:rPr>
        <w:t xml:space="preserve">Listing aggregation: daily scrape of major portals with deduplication</w:t>
      </w:r>
    </w:p>
    <w:p>
      <w:pPr>
        <w:pStyle w:val="ListParagraph"/>
        <w:numPr>
          <w:ilvl w:val="0"/>
          <w:numId w:val="2"/>
        </w:numPr>
        <w:spacing w:before="40" w:after="40"/>
      </w:pPr>
      <w:r>
        <w:rPr>
          <w:rFonts w:ascii="Arial" w:cs="Arial" w:eastAsia="Arial" w:hAnsi="Arial"/>
          <w:sz w:val="22"/>
          <w:szCs w:val="22"/>
        </w:rPr>
        <w:t xml:space="preserve">Google Maps Platform API: POI distances, place IDs, ratings</w:t>
      </w:r>
    </w:p>
    <w:p>
      <w:pPr>
        <w:pStyle w:val="Heading2"/>
        <w:spacing w:before="240" w:after="80"/>
      </w:pPr>
      <w:r>
        <w:rPr>
          <w:rFonts w:ascii="Arial" w:cs="Arial" w:eastAsia="Arial" w:hAnsi="Arial"/>
          <w:b/>
          <w:bCs/>
          <w:color w:val="2E75B6"/>
          <w:sz w:val="26"/>
          <w:szCs w:val="26"/>
        </w:rPr>
        <w:t xml:space="preserve">8.2 Third-Party Integrations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Integration</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IGR Maharashtra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Registered transaction ground truth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RERA Maharashtra</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Project approval and status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Google Maps Platform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Geospatial features, maps display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Firebase / Supabase</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Auth, real-time alerts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Subscription payments for premium tier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SendGrid / Mailchimp</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Email digests and alerts</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Mixpanel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analytics and funnel tracking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Sentry</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Error monitoring</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P0</w:t>
            </w:r>
          </w:p>
        </w:tc>
      </w:tr>
    </w:tbl>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Non-Functional Requirements</w:t>
      </w:r>
    </w:p>
    <w:p>
      <w:pPr>
        <w:pStyle w:val="Heading2"/>
        <w:spacing w:before="240" w:after="80"/>
      </w:pPr>
      <w:r>
        <w:rPr>
          <w:rFonts w:ascii="Arial" w:cs="Arial" w:eastAsia="Arial" w:hAnsi="Arial"/>
          <w:b/>
          <w:bCs/>
          <w:color w:val="2E75B6"/>
          <w:sz w:val="26"/>
          <w:szCs w:val="26"/>
        </w:rPr>
        <w:t xml:space="preserve">9.1 Performance</w:t>
      </w:r>
    </w:p>
    <w:p>
      <w:pPr>
        <w:pStyle w:val="ListParagraph"/>
        <w:numPr>
          <w:ilvl w:val="0"/>
          <w:numId w:val="2"/>
        </w:numPr>
        <w:spacing w:before="40" w:after="40"/>
      </w:pPr>
      <w:r>
        <w:rPr>
          <w:rFonts w:ascii="Arial" w:cs="Arial" w:eastAsia="Arial" w:hAnsi="Arial"/>
          <w:sz w:val="22"/>
          <w:szCs w:val="22"/>
        </w:rPr>
        <w:t xml:space="preserve">API response time P50 &lt; 200ms, P99 &lt; 1s for price predictions</w:t>
      </w:r>
    </w:p>
    <w:p>
      <w:pPr>
        <w:pStyle w:val="ListParagraph"/>
        <w:numPr>
          <w:ilvl w:val="0"/>
          <w:numId w:val="2"/>
        </w:numPr>
        <w:spacing w:before="40" w:after="40"/>
      </w:pPr>
      <w:r>
        <w:rPr>
          <w:rFonts w:ascii="Arial" w:cs="Arial" w:eastAsia="Arial" w:hAnsi="Arial"/>
          <w:sz w:val="22"/>
          <w:szCs w:val="22"/>
        </w:rPr>
        <w:t xml:space="preserve">Page load time &lt; 2.5s on 4G connection (Lighthouse score ≥ 85)</w:t>
      </w:r>
    </w:p>
    <w:p>
      <w:pPr>
        <w:pStyle w:val="ListParagraph"/>
        <w:numPr>
          <w:ilvl w:val="0"/>
          <w:numId w:val="2"/>
        </w:numPr>
        <w:spacing w:before="40" w:after="40"/>
      </w:pPr>
      <w:r>
        <w:rPr>
          <w:rFonts w:ascii="Arial" w:cs="Arial" w:eastAsia="Arial" w:hAnsi="Arial"/>
          <w:sz w:val="22"/>
          <w:szCs w:val="22"/>
        </w:rPr>
        <w:t xml:space="preserve">Support for 10,000 concurrent users without degradation</w:t>
      </w:r>
    </w:p>
    <w:p>
      <w:pPr>
        <w:pStyle w:val="Heading2"/>
        <w:spacing w:before="240" w:after="80"/>
      </w:pPr>
      <w:r>
        <w:rPr>
          <w:rFonts w:ascii="Arial" w:cs="Arial" w:eastAsia="Arial" w:hAnsi="Arial"/>
          <w:b/>
          <w:bCs/>
          <w:color w:val="2E75B6"/>
          <w:sz w:val="26"/>
          <w:szCs w:val="26"/>
        </w:rPr>
        <w:t xml:space="preserve">9.2 Reliability &amp; Availability</w:t>
      </w:r>
    </w:p>
    <w:p>
      <w:pPr>
        <w:pStyle w:val="ListParagraph"/>
        <w:numPr>
          <w:ilvl w:val="0"/>
          <w:numId w:val="2"/>
        </w:numPr>
        <w:spacing w:before="40" w:after="40"/>
      </w:pPr>
      <w:r>
        <w:rPr>
          <w:rFonts w:ascii="Arial" w:cs="Arial" w:eastAsia="Arial" w:hAnsi="Arial"/>
          <w:sz w:val="22"/>
          <w:szCs w:val="22"/>
        </w:rPr>
        <w:t xml:space="preserve">99.5% uptime SLA for web and API</w:t>
      </w:r>
    </w:p>
    <w:p>
      <w:pPr>
        <w:pStyle w:val="ListParagraph"/>
        <w:numPr>
          <w:ilvl w:val="0"/>
          <w:numId w:val="2"/>
        </w:numPr>
        <w:spacing w:before="40" w:after="40"/>
      </w:pPr>
      <w:r>
        <w:rPr>
          <w:rFonts w:ascii="Arial" w:cs="Arial" w:eastAsia="Arial" w:hAnsi="Arial"/>
          <w:sz w:val="22"/>
          <w:szCs w:val="22"/>
        </w:rPr>
        <w:t xml:space="preserve">Graceful degradation: if ML service is down, serve cached predictions with staleness label</w:t>
      </w:r>
    </w:p>
    <w:p>
      <w:pPr>
        <w:pStyle w:val="ListParagraph"/>
        <w:numPr>
          <w:ilvl w:val="0"/>
          <w:numId w:val="2"/>
        </w:numPr>
        <w:spacing w:before="40" w:after="40"/>
      </w:pPr>
      <w:r>
        <w:rPr>
          <w:rFonts w:ascii="Arial" w:cs="Arial" w:eastAsia="Arial" w:hAnsi="Arial"/>
          <w:sz w:val="22"/>
          <w:szCs w:val="22"/>
        </w:rPr>
        <w:t xml:space="preserve">Zero data loss: all user data and predictions persisted to durable storage</w:t>
      </w:r>
    </w:p>
    <w:p>
      <w:pPr>
        <w:pStyle w:val="Heading2"/>
        <w:spacing w:before="240" w:after="80"/>
      </w:pPr>
      <w:r>
        <w:rPr>
          <w:rFonts w:ascii="Arial" w:cs="Arial" w:eastAsia="Arial" w:hAnsi="Arial"/>
          <w:b/>
          <w:bCs/>
          <w:color w:val="2E75B6"/>
          <w:sz w:val="26"/>
          <w:szCs w:val="26"/>
        </w:rPr>
        <w:t xml:space="preserve">9.3 Security &amp; Privacy</w:t>
      </w:r>
    </w:p>
    <w:p>
      <w:pPr>
        <w:pStyle w:val="ListParagraph"/>
        <w:numPr>
          <w:ilvl w:val="0"/>
          <w:numId w:val="2"/>
        </w:numPr>
        <w:spacing w:before="40" w:after="40"/>
      </w:pPr>
      <w:r>
        <w:rPr>
          <w:rFonts w:ascii="Arial" w:cs="Arial" w:eastAsia="Arial" w:hAnsi="Arial"/>
          <w:sz w:val="22"/>
          <w:szCs w:val="22"/>
        </w:rPr>
        <w:t xml:space="preserve">No PII collected without explicit consent; GDPR/PDPB compliant</w:t>
      </w:r>
    </w:p>
    <w:p>
      <w:pPr>
        <w:pStyle w:val="ListParagraph"/>
        <w:numPr>
          <w:ilvl w:val="0"/>
          <w:numId w:val="2"/>
        </w:numPr>
        <w:spacing w:before="40" w:after="40"/>
      </w:pPr>
      <w:r>
        <w:rPr>
          <w:rFonts w:ascii="Arial" w:cs="Arial" w:eastAsia="Arial" w:hAnsi="Arial"/>
          <w:sz w:val="22"/>
          <w:szCs w:val="22"/>
        </w:rPr>
        <w:t xml:space="preserve">All data encrypted in transit (TLS 1.3) and at rest (AES-256)</w:t>
      </w:r>
    </w:p>
    <w:p>
      <w:pPr>
        <w:pStyle w:val="ListParagraph"/>
        <w:numPr>
          <w:ilvl w:val="0"/>
          <w:numId w:val="2"/>
        </w:numPr>
        <w:spacing w:before="40" w:after="40"/>
      </w:pPr>
      <w:r>
        <w:rPr>
          <w:rFonts w:ascii="Arial" w:cs="Arial" w:eastAsia="Arial" w:hAnsi="Arial"/>
          <w:sz w:val="22"/>
          <w:szCs w:val="22"/>
        </w:rPr>
        <w:t xml:space="preserve">Rate limiting and bot protection on prediction API</w:t>
      </w:r>
    </w:p>
    <w:p>
      <w:pPr>
        <w:pStyle w:val="ListParagraph"/>
        <w:numPr>
          <w:ilvl w:val="0"/>
          <w:numId w:val="2"/>
        </w:numPr>
        <w:spacing w:before="40" w:after="40"/>
      </w:pPr>
      <w:r>
        <w:rPr>
          <w:rFonts w:ascii="Arial" w:cs="Arial" w:eastAsia="Arial" w:hAnsi="Arial"/>
          <w:sz w:val="22"/>
          <w:szCs w:val="22"/>
        </w:rPr>
        <w:t xml:space="preserve">SOC 2 Type II roadmap for enterprise / bank partnerships</w:t>
      </w:r>
    </w:p>
    <w:p>
      <w:pPr>
        <w:pStyle w:val="Heading2"/>
        <w:spacing w:before="240" w:after="80"/>
      </w:pPr>
      <w:r>
        <w:rPr>
          <w:rFonts w:ascii="Arial" w:cs="Arial" w:eastAsia="Arial" w:hAnsi="Arial"/>
          <w:b/>
          <w:bCs/>
          <w:color w:val="2E75B6"/>
          <w:sz w:val="26"/>
          <w:szCs w:val="26"/>
        </w:rPr>
        <w:t xml:space="preserve">9.4 Scalability</w:t>
      </w:r>
    </w:p>
    <w:p>
      <w:pPr>
        <w:pStyle w:val="ListParagraph"/>
        <w:numPr>
          <w:ilvl w:val="0"/>
          <w:numId w:val="2"/>
        </w:numPr>
        <w:spacing w:before="40" w:after="40"/>
      </w:pPr>
      <w:r>
        <w:rPr>
          <w:rFonts w:ascii="Arial" w:cs="Arial" w:eastAsia="Arial" w:hAnsi="Arial"/>
          <w:sz w:val="22"/>
          <w:szCs w:val="22"/>
        </w:rPr>
        <w:t xml:space="preserve">Microservices architecture: ML inference, data ingestion, web serving scaled independently</w:t>
      </w:r>
    </w:p>
    <w:p>
      <w:pPr>
        <w:pStyle w:val="ListParagraph"/>
        <w:numPr>
          <w:ilvl w:val="0"/>
          <w:numId w:val="2"/>
        </w:numPr>
        <w:spacing w:before="40" w:after="40"/>
      </w:pPr>
      <w:r>
        <w:rPr>
          <w:rFonts w:ascii="Arial" w:cs="Arial" w:eastAsia="Arial" w:hAnsi="Arial"/>
          <w:sz w:val="22"/>
          <w:szCs w:val="22"/>
        </w:rPr>
        <w:t xml:space="preserve">Auto-scaling on cloud (AWS / GCP) with Kubernetes orchestration</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10. Phased Roadmap</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0: Data &amp; Foundation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IGR data pipeline, training dataset v1, baseline model, design system</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Phase 1: MVP Launch</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Month 3–4</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Estimator, Node Dashboard, Comparables, PWA, Web launch</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 Growth</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Month 5–7</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Rental yield, AI Report, Broker portal, iOS/Android apps, Marathi UI</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Phase 3: Monetisation</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Month 8–10</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Premium subscriptions, API access, bank partnerships, NRI targeting</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4: Expansion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Month 11–12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Model v2 (image-based), Mumbai Metropolitan Region expansion</w:t>
            </w:r>
          </w:p>
        </w:tc>
      </w:tr>
    </w:tbl>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11. Risks &amp; Mitigations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234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IGR data quality / gaps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Supplement with listing prices; flag confidence level accordingly</w:t>
            </w:r>
          </w:p>
        </w:tc>
      </w:tr>
      <w:tr>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Model drift due to market shock</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Monthly retraining; real-time drift monitoring alerts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Regulatory scrutiny on valuations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Prominent disclaimers; non-certified valuation framing</w:t>
            </w:r>
          </w:p>
        </w:tc>
      </w:tr>
      <w:tr>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Low data density in emerging nodes (Ulwe, Dronagiri)</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High</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Use geographic interpolation; cluster-level fallback</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Competitor replication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Focus on hyperlocal data moat and UX differentiation</w:t>
            </w:r>
          </w:p>
        </w:tc>
      </w:tr>
      <w:tr>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Scraping blocks from portals</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Medium</w:t>
            </w:r>
          </w:p>
        </w:tc>
        <w:tc>
          <w:tcPr>
            <w:tcW w:type="dxa" w:w="234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Diversify sources; negotiate official data partnerships</w:t>
            </w:r>
          </w:p>
        </w:tc>
      </w:tr>
    </w:tbl>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12. Open Questions</w:t>
      </w:r>
    </w:p>
    <w:p>
      <w:pPr>
        <w:pStyle w:val="ListParagraph"/>
        <w:numPr>
          <w:ilvl w:val="0"/>
          <w:numId w:val="2"/>
        </w:numPr>
        <w:spacing w:before="40" w:after="40"/>
      </w:pPr>
      <w:r>
        <w:rPr>
          <w:rFonts w:ascii="Arial" w:cs="Arial" w:eastAsia="Arial" w:hAnsi="Arial"/>
          <w:sz w:val="22"/>
          <w:szCs w:val="22"/>
        </w:rPr>
        <w:t xml:space="preserve">Should the MVP include a broker-facing pricing mode (with different UX) from day 1?</w:t>
      </w:r>
    </w:p>
    <w:p>
      <w:pPr>
        <w:pStyle w:val="ListParagraph"/>
        <w:numPr>
          <w:ilvl w:val="0"/>
          <w:numId w:val="2"/>
        </w:numPr>
        <w:spacing w:before="40" w:after="40"/>
      </w:pPr>
      <w:r>
        <w:rPr>
          <w:rFonts w:ascii="Arial" w:cs="Arial" w:eastAsia="Arial" w:hAnsi="Arial"/>
          <w:sz w:val="22"/>
          <w:szCs w:val="22"/>
        </w:rPr>
        <w:t xml:space="preserve">What is the minimum viable node coverage at launch — all 14 nodes or top 7 by transaction volume?</w:t>
      </w:r>
    </w:p>
    <w:p>
      <w:pPr>
        <w:pStyle w:val="ListParagraph"/>
        <w:numPr>
          <w:ilvl w:val="0"/>
          <w:numId w:val="2"/>
        </w:numPr>
        <w:spacing w:before="40" w:after="40"/>
      </w:pPr>
      <w:r>
        <w:rPr>
          <w:rFonts w:ascii="Arial" w:cs="Arial" w:eastAsia="Arial" w:hAnsi="Arial"/>
          <w:sz w:val="22"/>
          <w:szCs w:val="22"/>
        </w:rPr>
        <w:t xml:space="preserve">Will the valuation report be monetised from Phase 1, or remain free to drive adoption?</w:t>
      </w:r>
    </w:p>
    <w:p>
      <w:pPr>
        <w:pStyle w:val="ListParagraph"/>
        <w:numPr>
          <w:ilvl w:val="0"/>
          <w:numId w:val="2"/>
        </w:numPr>
        <w:spacing w:before="40" w:after="40"/>
      </w:pPr>
      <w:r>
        <w:rPr>
          <w:rFonts w:ascii="Arial" w:cs="Arial" w:eastAsia="Arial" w:hAnsi="Arial"/>
          <w:sz w:val="22"/>
          <w:szCs w:val="22"/>
        </w:rPr>
        <w:t xml:space="preserve">Should price predictions surface the model's top feature importances to the user (explainability)?</w:t>
      </w:r>
    </w:p>
    <w:p>
      <w:pPr>
        <w:pStyle w:val="ListParagraph"/>
        <w:numPr>
          <w:ilvl w:val="0"/>
          <w:numId w:val="2"/>
        </w:numPr>
        <w:spacing w:before="40" w:after="40"/>
      </w:pPr>
      <w:r>
        <w:rPr>
          <w:rFonts w:ascii="Arial" w:cs="Arial" w:eastAsia="Arial" w:hAnsi="Arial"/>
          <w:sz w:val="22"/>
          <w:szCs w:val="22"/>
        </w:rPr>
        <w:t xml:space="preserve">Partnership strategy: build direct API relationships with RERA and IGR, or use a data aggregator?</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13. Out of Scope (v1.0)</w:t>
      </w:r>
    </w:p>
    <w:p>
      <w:pPr>
        <w:pStyle w:val="ListParagraph"/>
        <w:numPr>
          <w:ilvl w:val="0"/>
          <w:numId w:val="2"/>
        </w:numPr>
        <w:spacing w:before="40" w:after="40"/>
      </w:pPr>
      <w:r>
        <w:rPr>
          <w:rFonts w:ascii="Arial" w:cs="Arial" w:eastAsia="Arial" w:hAnsi="Arial"/>
          <w:sz w:val="22"/>
          <w:szCs w:val="22"/>
        </w:rPr>
        <w:t xml:space="preserve">Commercial or industrial property valuations</w:t>
      </w:r>
    </w:p>
    <w:p>
      <w:pPr>
        <w:pStyle w:val="ListParagraph"/>
        <w:numPr>
          <w:ilvl w:val="0"/>
          <w:numId w:val="2"/>
        </w:numPr>
        <w:spacing w:before="40" w:after="40"/>
      </w:pPr>
      <w:r>
        <w:rPr>
          <w:rFonts w:ascii="Arial" w:cs="Arial" w:eastAsia="Arial" w:hAnsi="Arial"/>
          <w:sz w:val="22"/>
          <w:szCs w:val="22"/>
        </w:rPr>
        <w:t xml:space="preserve">Plot / land valuations</w:t>
      </w:r>
    </w:p>
    <w:p>
      <w:pPr>
        <w:pStyle w:val="ListParagraph"/>
        <w:numPr>
          <w:ilvl w:val="0"/>
          <w:numId w:val="2"/>
        </w:numPr>
        <w:spacing w:before="40" w:after="40"/>
      </w:pPr>
      <w:r>
        <w:rPr>
          <w:rFonts w:ascii="Arial" w:cs="Arial" w:eastAsia="Arial" w:hAnsi="Arial"/>
          <w:sz w:val="22"/>
          <w:szCs w:val="22"/>
        </w:rPr>
        <w:t xml:space="preserve">Properties outside Navi Mumbai municipal limits</w:t>
      </w:r>
    </w:p>
    <w:p>
      <w:pPr>
        <w:pStyle w:val="ListParagraph"/>
        <w:numPr>
          <w:ilvl w:val="0"/>
          <w:numId w:val="2"/>
        </w:numPr>
        <w:spacing w:before="40" w:after="40"/>
      </w:pPr>
      <w:r>
        <w:rPr>
          <w:rFonts w:ascii="Arial" w:cs="Arial" w:eastAsia="Arial" w:hAnsi="Arial"/>
          <w:sz w:val="22"/>
          <w:szCs w:val="22"/>
        </w:rPr>
        <w:t xml:space="preserve">Legal due diligence or title verification</w:t>
      </w:r>
    </w:p>
    <w:p>
      <w:pPr>
        <w:pStyle w:val="ListParagraph"/>
        <w:numPr>
          <w:ilvl w:val="0"/>
          <w:numId w:val="2"/>
        </w:numPr>
        <w:spacing w:before="40" w:after="40"/>
      </w:pPr>
      <w:r>
        <w:rPr>
          <w:rFonts w:ascii="Arial" w:cs="Arial" w:eastAsia="Arial" w:hAnsi="Arial"/>
          <w:sz w:val="22"/>
          <w:szCs w:val="22"/>
        </w:rPr>
        <w:t xml:space="preserve">Mortgage / loan application workflows</w:t>
      </w:r>
    </w:p>
    <w:p>
      <w:pPr>
        <w:pStyle w:val="ListParagraph"/>
        <w:numPr>
          <w:ilvl w:val="0"/>
          <w:numId w:val="2"/>
        </w:numPr>
        <w:spacing w:before="40" w:after="40"/>
      </w:pPr>
      <w:r>
        <w:rPr>
          <w:rFonts w:ascii="Arial" w:cs="Arial" w:eastAsia="Arial" w:hAnsi="Arial"/>
          <w:sz w:val="22"/>
          <w:szCs w:val="22"/>
        </w:rPr>
        <w:t xml:space="preserve">Agent or developer listings marketplace</w:t>
      </w:r>
    </w:p>
    <w:p>
      <w:pPr>
        <w:spacing w:before="100" w:after="10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14. Appendix</w:t>
      </w:r>
    </w:p>
    <w:p>
      <w:pPr>
        <w:pStyle w:val="Heading2"/>
        <w:spacing w:before="240" w:after="80"/>
      </w:pPr>
      <w:r>
        <w:rPr>
          <w:rFonts w:ascii="Arial" w:cs="Arial" w:eastAsia="Arial" w:hAnsi="Arial"/>
          <w:b/>
          <w:bCs/>
          <w:color w:val="2E75B6"/>
          <w:sz w:val="26"/>
          <w:szCs w:val="26"/>
        </w:rPr>
        <w:t xml:space="preserve">14.1 Navi Mumbai Node Reference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Node</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Localities</w:t>
            </w:r>
          </w:p>
        </w:tc>
        <w:tc>
          <w:tcPr>
            <w:tcW w:type="dxa" w:w="3120"/>
            <w:tcBorders>
              <w:top w:val="single" w:color="BBBBBB" w:sz="1"/>
              <w:left w:val="single" w:color="BBBBBB" w:sz="1"/>
              <w:bottom w:val="single" w:color="BBBBBB" w:sz="1"/>
              <w:right w:val="single" w:color="BBBBBB"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Typical Price Range (₹/sq ft, 2025)</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Vashi</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10, 17, 30A</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₹18,000 – ₹28,000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Nerul</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Sector 1–56</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₹15,000 – ₹24,000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Belapur (CBD)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7, 8, 11</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₹14,000 – ₹22,000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Kharghar</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Sector 1–50</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₹10,000 – ₹17,000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Panvel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Old Panvel, New Panvel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₹7,500 – ₹13,000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Ulwe</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Sector 1–25</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₹7,000 – ₹11,000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Dronagiri</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1–10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₹5,500 – ₹9,000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Airoli</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Sector 1–20</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₹12,000 – ₹19,000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Ghansoli</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1–12</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₹12,000 – ₹18,000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Rabale</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MIDC, Residential</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₹11,000 – ₹16,000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Kopar Khairane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1–20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₹11,000 – ₹17,000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Sanpada</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Sector 1–8</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₹16,000 – ₹23,000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Juinagar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Sector 1–20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₹13,000 – ₹20,000</w:t>
            </w:r>
          </w:p>
        </w:tc>
      </w:tr>
      <w:tr>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Taloja</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MIDC, NAINA Zone</w:t>
            </w:r>
          </w:p>
        </w:tc>
        <w:tc>
          <w:tcPr>
            <w:tcW w:type="dxa" w:w="3120"/>
            <w:tcBorders>
              <w:top w:val="single" w:color="BBBBBB" w:sz="1"/>
              <w:left w:val="single" w:color="BBBBBB" w:sz="1"/>
              <w:bottom w:val="single" w:color="BBBBBB" w:sz="1"/>
              <w:right w:val="single" w:color="BBBBBB" w:sz="1"/>
            </w:tcBorders>
            <w:shd w:fill="F5F9FC" w:val="clear"/>
            <w:tcMar>
              <w:top w:type="dxa" w:w="80"/>
              <w:left w:type="dxa" w:w="120"/>
              <w:bottom w:type="dxa" w:w="80"/>
              <w:right w:type="dxa" w:w="120"/>
            </w:tcMar>
          </w:tcPr>
          <w:p>
            <w:r>
              <w:rPr>
                <w:rFonts w:ascii="Arial" w:cs="Arial" w:eastAsia="Arial" w:hAnsi="Arial"/>
                <w:sz w:val="20"/>
                <w:szCs w:val="20"/>
              </w:rPr>
              <w:t xml:space="preserve">₹5,000 – ₹8,000</w:t>
            </w:r>
          </w:p>
        </w:tc>
      </w:tr>
    </w:tbl>
    <w:p>
      <w:pPr>
        <w:spacing w:before="100" w:after="100"/>
      </w:pPr>
      <w:r>
        <w:t xml:space="preserve"/>
      </w:r>
    </w:p>
    <w:p>
      <w:pPr>
        <w:pStyle w:val="Heading2"/>
        <w:spacing w:before="240" w:after="80"/>
      </w:pPr>
      <w:r>
        <w:rPr>
          <w:rFonts w:ascii="Arial" w:cs="Arial" w:eastAsia="Arial" w:hAnsi="Arial"/>
          <w:b/>
          <w:bCs/>
          <w:color w:val="2E75B6"/>
          <w:sz w:val="26"/>
          <w:szCs w:val="26"/>
        </w:rPr>
        <w:t xml:space="preserve">14.2 Glossary</w:t>
      </w:r>
    </w:p>
    <w:p>
      <w:pPr>
        <w:pStyle w:val="ListParagraph"/>
        <w:numPr>
          <w:ilvl w:val="0"/>
          <w:numId w:val="2"/>
        </w:numPr>
        <w:spacing w:before="40" w:after="40"/>
      </w:pPr>
      <w:r>
        <w:rPr>
          <w:rFonts w:ascii="Arial" w:cs="Arial" w:eastAsia="Arial" w:hAnsi="Arial"/>
          <w:sz w:val="22"/>
          <w:szCs w:val="22"/>
        </w:rPr>
        <w:t xml:space="preserve">MdAPE: Median Absolute Percentage Error — measure of prediction accuracy</w:t>
      </w:r>
    </w:p>
    <w:p>
      <w:pPr>
        <w:pStyle w:val="ListParagraph"/>
        <w:numPr>
          <w:ilvl w:val="0"/>
          <w:numId w:val="2"/>
        </w:numPr>
        <w:spacing w:before="40" w:after="40"/>
      </w:pPr>
      <w:r>
        <w:rPr>
          <w:rFonts w:ascii="Arial" w:cs="Arial" w:eastAsia="Arial" w:hAnsi="Arial"/>
          <w:sz w:val="22"/>
          <w:szCs w:val="22"/>
        </w:rPr>
        <w:t xml:space="preserve">IGR: Inspector General of Registration — Maharashtra's property registration authority</w:t>
      </w:r>
    </w:p>
    <w:p>
      <w:pPr>
        <w:pStyle w:val="ListParagraph"/>
        <w:numPr>
          <w:ilvl w:val="0"/>
          <w:numId w:val="2"/>
        </w:numPr>
        <w:spacing w:before="40" w:after="40"/>
      </w:pPr>
      <w:r>
        <w:rPr>
          <w:rFonts w:ascii="Arial" w:cs="Arial" w:eastAsia="Arial" w:hAnsi="Arial"/>
          <w:sz w:val="22"/>
          <w:szCs w:val="22"/>
        </w:rPr>
        <w:t xml:space="preserve">RERA: Real Estate Regulatory Authority — Maharashtra project approval body</w:t>
      </w:r>
    </w:p>
    <w:p>
      <w:pPr>
        <w:pStyle w:val="ListParagraph"/>
        <w:numPr>
          <w:ilvl w:val="0"/>
          <w:numId w:val="2"/>
        </w:numPr>
        <w:spacing w:before="40" w:after="40"/>
      </w:pPr>
      <w:r>
        <w:rPr>
          <w:rFonts w:ascii="Arial" w:cs="Arial" w:eastAsia="Arial" w:hAnsi="Arial"/>
          <w:sz w:val="22"/>
          <w:szCs w:val="22"/>
        </w:rPr>
        <w:t xml:space="preserve">CIDCO: City and Industrial Development Corporation — Navi Mumbai's planning authority</w:t>
      </w:r>
    </w:p>
    <w:p>
      <w:pPr>
        <w:pStyle w:val="ListParagraph"/>
        <w:numPr>
          <w:ilvl w:val="0"/>
          <w:numId w:val="2"/>
        </w:numPr>
        <w:spacing w:before="40" w:after="40"/>
      </w:pPr>
      <w:r>
        <w:rPr>
          <w:rFonts w:ascii="Arial" w:cs="Arial" w:eastAsia="Arial" w:hAnsi="Arial"/>
          <w:sz w:val="22"/>
          <w:szCs w:val="22"/>
        </w:rPr>
        <w:t xml:space="preserve">NAINA: Navi Mumbai Airport Influence Notified Area</w:t>
      </w:r>
    </w:p>
    <w:p>
      <w:pPr>
        <w:pStyle w:val="ListParagraph"/>
        <w:numPr>
          <w:ilvl w:val="0"/>
          <w:numId w:val="2"/>
        </w:numPr>
        <w:spacing w:before="40" w:after="40"/>
      </w:pPr>
      <w:r>
        <w:rPr>
          <w:rFonts w:ascii="Arial" w:cs="Arial" w:eastAsia="Arial" w:hAnsi="Arial"/>
          <w:sz w:val="22"/>
          <w:szCs w:val="22"/>
        </w:rPr>
        <w:t xml:space="preserve">BHK: Bedroom, Hall, Kitchen — standard Indian residential unit configuration</w:t>
      </w:r>
    </w:p>
    <w:p>
      <w:pPr>
        <w:pStyle w:val="ListParagraph"/>
        <w:numPr>
          <w:ilvl w:val="0"/>
          <w:numId w:val="2"/>
        </w:numPr>
        <w:spacing w:before="40" w:after="40"/>
      </w:pPr>
      <w:r>
        <w:rPr>
          <w:rFonts w:ascii="Arial" w:cs="Arial" w:eastAsia="Arial" w:hAnsi="Arial"/>
          <w:sz w:val="22"/>
          <w:szCs w:val="22"/>
        </w:rPr>
        <w:t xml:space="preserve">Carpet Area: Usable floor area within a flat, excluding walls and common areas</w:t>
      </w:r>
    </w:p>
    <w:p>
      <w:pPr>
        <w:spacing w:before="100" w:after="100"/>
      </w:pPr>
      <w:r>
        <w:t xml:space="preserve"/>
      </w:r>
    </w:p>
    <w:p>
      <w:pPr>
        <w:spacing w:before="60" w:after="80"/>
      </w:pPr>
      <w:r>
        <w:rPr>
          <w:rFonts w:ascii="Arial" w:cs="Arial" w:eastAsia="Arial" w:hAnsi="Arial"/>
          <w:i/>
          <w:iCs/>
          <w:color w:val="888888"/>
          <w:sz w:val="18"/>
          <w:szCs w:val="18"/>
        </w:rPr>
        <w:t xml:space="preserve">Document prepared by Product Team. For queries, contact: product@navihouseprice.in</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Navi Mumbai House Price Predictor — PRD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2026-02-23T09:19:39.111Z</dcterms:created>
  <dcterms:modified xsi:type="dcterms:W3CDTF">2026-02-23T09:19:39.112Z</dcterms:modified>
</cp:coreProperties>
</file>

<file path=docProps/custom.xml><?xml version="1.0" encoding="utf-8"?>
<Properties xmlns="http://schemas.openxmlformats.org/officeDocument/2006/custom-properties" xmlns:vt="http://schemas.openxmlformats.org/officeDocument/2006/docPropsVTypes"/>
</file>