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sz w:val="40"/>
        </w:rPr>
        <w:t>Phase 3 Summary Report</w:t>
      </w:r>
    </w:p>
    <w:p>
      <w:pPr>
        <w:jc w:val="center"/>
      </w:pPr>
      <w:r>
        <w:rPr>
          <w:rFonts w:ascii="Arial" w:hAnsi="Arial"/>
          <w:sz w:val="24"/>
        </w:rPr>
        <w:t>EAS 587 - Lending Club Loan Default Prediction</w:t>
      </w:r>
    </w:p>
    <w:p>
      <w:pPr>
        <w:jc w:val="center"/>
      </w:pPr>
      <w:r>
        <w:rPr>
          <w:rFonts w:ascii="Arial" w:hAnsi="Arial"/>
          <w:i/>
          <w:sz w:val="20"/>
        </w:rPr>
        <w:t>Team members: [add names here]    |    Submission date: April 24, 2026</w:t>
      </w:r>
    </w:p>
    <w:p>
      <w:pPr>
        <w:jc w:val="center"/>
      </w:pPr>
      <w:r>
        <w:rPr>
          <w:rFonts w:ascii="Arial" w:hAnsi="Arial"/>
          <w:i/>
          <w:sz w:val="20"/>
        </w:rPr>
        <w:t>GitHub repository: https://github.com/Aayushnepal09/Eas587_project (branch: phase3)</w:t>
      </w:r>
    </w:p>
    <w:p>
      <w:pPr>
        <w:spacing w:before="240" w:after="80"/>
      </w:pPr>
      <w:r>
        <w:rPr>
          <w:rFonts w:ascii="Arial" w:hAnsi="Arial"/>
          <w:b/>
          <w:sz w:val="30"/>
        </w:rPr>
        <w:t>Data Sources</w:t>
      </w:r>
    </w:p>
    <w:p>
      <w:pPr>
        <w:spacing w:after="120"/>
      </w:pPr>
      <w:r>
        <w:rPr>
          <w:rFonts w:ascii="Arial" w:hAnsi="Arial"/>
          <w:i w:val="0"/>
          <w:sz w:val="22"/>
        </w:rPr>
        <w:t>Primary dataset (from Phase 1): Lending Club Loan Data (2007-2020Q1), published on Kaggle by user ethon0426. We use loans issued between 2014-01 and 2017-12.</w:t>
      </w:r>
    </w:p>
    <w:p>
      <w:pPr>
        <w:pStyle w:val="ListBullet"/>
      </w:pPr>
      <w:r>
        <w:rPr>
          <w:rFonts w:ascii="Arial" w:hAnsi="Arial"/>
          <w:sz w:val="22"/>
        </w:rPr>
        <w:t>Kaggle: https://www.kaggle.com/datasets/ethon0426/lending-club-20072020q1</w:t>
      </w:r>
    </w:p>
    <w:p>
      <w:pPr>
        <w:pStyle w:val="ListBullet"/>
      </w:pPr>
      <w:r>
        <w:rPr>
          <w:rFonts w:ascii="Arial" w:hAnsi="Arial"/>
          <w:sz w:val="22"/>
        </w:rPr>
        <w:t>Filtered input used in Databricks: data/processed/optimized_data_14_17.csv (~1 GB, produced by src/01_data_loading.py)</w:t>
      </w:r>
    </w:p>
    <w:p>
      <w:pPr>
        <w:spacing w:after="120"/>
      </w:pPr>
      <w:r>
        <w:rPr>
          <w:rFonts w:ascii="Arial" w:hAnsi="Arial"/>
          <w:i w:val="0"/>
          <w:sz w:val="22"/>
        </w:rPr>
        <w:t>Additional dataset (Phase 3, Task 2): Federal Reserve Economic Data (FRED). Public CSV endpoints, no authentication needed.</w:t>
      </w:r>
    </w:p>
    <w:p>
      <w:pPr>
        <w:pStyle w:val="ListBullet"/>
      </w:pPr>
      <w:r>
        <w:rPr>
          <w:rFonts w:ascii="Arial" w:hAnsi="Arial"/>
          <w:sz w:val="22"/>
        </w:rPr>
        <w:t>URL template: https://fred.stlouisfed.org/graph/fredgraph.csv?id=&lt;SERIES_ID&gt;</w:t>
      </w:r>
    </w:p>
    <w:p>
      <w:pPr>
        <w:pStyle w:val="ListBullet"/>
      </w:pPr>
      <w:r>
        <w:rPr>
          <w:rFonts w:ascii="Arial" w:hAnsi="Arial"/>
          <w:sz w:val="22"/>
        </w:rPr>
        <w:t>Series used: UNRATE, FEDFUNDS, CPIAUCSL, CAUR, TXUR, NYUR, FLUR, ILUR (8 total)</w:t>
      </w:r>
    </w:p>
    <w:p>
      <w:pPr>
        <w:spacing w:after="120"/>
      </w:pPr>
      <w:r>
        <w:rPr>
          <w:rFonts w:ascii="Arial" w:hAnsi="Arial"/>
          <w:i w:val="0"/>
          <w:sz w:val="22"/>
        </w:rPr>
        <w:t>Access for graders: the CSV is produced by the provided Phase 1 loader and uploaded to Databricks via Catalog -&gt; Create Table -&gt; Upload file. Notebook 05 fetches FRED data at runtime directly from the URL above, so no manual upload is required for the macro source.</w:t>
      </w:r>
    </w:p>
    <w:p>
      <w:pPr>
        <w:spacing w:before="240" w:after="80"/>
      </w:pPr>
      <w:r>
        <w:rPr>
          <w:rFonts w:ascii="Arial" w:hAnsi="Arial"/>
          <w:b/>
          <w:sz w:val="30"/>
        </w:rPr>
        <w:t>1. Medallion Architecture</w:t>
      </w:r>
    </w:p>
    <w:p>
      <w:pPr>
        <w:spacing w:after="120"/>
      </w:pPr>
      <w:r>
        <w:rPr>
          <w:rFonts w:ascii="Arial" w:hAnsi="Arial"/>
          <w:i w:val="0"/>
          <w:sz w:val="22"/>
        </w:rPr>
        <w:t>Phase 3 rebuilds our Phase 2 pipeline on Databricks using Apache Spark and Delta Lake, organized into three layers: Bronze (raw), Silver (cleaned), and Gold (model-ready). Each layer lives as one or more managed Delta tables in the Unity Catalog under workspace.default, and each notebook reads only from the previous layer.</w:t>
      </w:r>
    </w:p>
    <w:p>
      <w:pPr>
        <w:spacing w:after="120"/>
      </w:pPr>
      <w:r>
        <w:rPr>
          <w:rFonts w:ascii="Arial" w:hAnsi="Arial"/>
          <w:i w:val="0"/>
          <w:sz w:val="22"/>
        </w:rPr>
        <w:t>Dataset shape at each stage:</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1728"/>
            <w:shd w:fill="D5E8F0"/>
            <w:vAlign w:val="center"/>
          </w:tcPr>
          <w:p>
            <w:r/>
            <w:r>
              <w:rPr>
                <w:rFonts w:ascii="Arial" w:hAnsi="Arial"/>
                <w:b/>
                <w:sz w:val="20"/>
              </w:rPr>
              <w:t>Stage</w:t>
            </w:r>
          </w:p>
        </w:tc>
        <w:tc>
          <w:tcPr>
            <w:tcW w:type="dxa" w:w="2880"/>
            <w:shd w:fill="D5E8F0"/>
            <w:vAlign w:val="center"/>
          </w:tcPr>
          <w:p>
            <w:r/>
            <w:r>
              <w:rPr>
                <w:rFonts w:ascii="Arial" w:hAnsi="Arial"/>
                <w:b/>
                <w:sz w:val="20"/>
              </w:rPr>
              <w:t>Delta table</w:t>
            </w:r>
          </w:p>
        </w:tc>
        <w:tc>
          <w:tcPr>
            <w:tcW w:type="dxa" w:w="2160"/>
            <w:shd w:fill="D5E8F0"/>
            <w:vAlign w:val="center"/>
          </w:tcPr>
          <w:p>
            <w:r/>
            <w:r>
              <w:rPr>
                <w:rFonts w:ascii="Arial" w:hAnsi="Arial"/>
                <w:b/>
                <w:sz w:val="20"/>
              </w:rPr>
              <w:t>Rows</w:t>
            </w:r>
          </w:p>
        </w:tc>
        <w:tc>
          <w:tcPr>
            <w:tcW w:type="dxa" w:w="1728"/>
            <w:shd w:fill="D5E8F0"/>
            <w:vAlign w:val="center"/>
          </w:tcPr>
          <w:p>
            <w:r/>
            <w:r>
              <w:rPr>
                <w:rFonts w:ascii="Arial" w:hAnsi="Arial"/>
                <w:b/>
                <w:sz w:val="20"/>
              </w:rPr>
              <w:t>Columns</w:t>
            </w:r>
          </w:p>
        </w:tc>
      </w:tr>
      <w:tr>
        <w:tc>
          <w:tcPr>
            <w:tcW w:type="dxa" w:w="1728"/>
            <w:vAlign w:val="center"/>
          </w:tcPr>
          <w:p>
            <w:r/>
            <w:r>
              <w:rPr>
                <w:rFonts w:ascii="Arial" w:hAnsi="Arial"/>
                <w:b w:val="0"/>
                <w:sz w:val="20"/>
              </w:rPr>
              <w:t>Bronze</w:t>
            </w:r>
          </w:p>
        </w:tc>
        <w:tc>
          <w:tcPr>
            <w:tcW w:type="dxa" w:w="2880"/>
            <w:vAlign w:val="center"/>
          </w:tcPr>
          <w:p>
            <w:r/>
            <w:r>
              <w:rPr>
                <w:rFonts w:ascii="Arial" w:hAnsi="Arial"/>
                <w:b w:val="0"/>
                <w:sz w:val="20"/>
              </w:rPr>
              <w:t>bronze_loans</w:t>
            </w:r>
          </w:p>
        </w:tc>
        <w:tc>
          <w:tcPr>
            <w:tcW w:type="dxa" w:w="2160"/>
            <w:vAlign w:val="center"/>
          </w:tcPr>
          <w:p>
            <w:r/>
            <w:r>
              <w:rPr>
                <w:rFonts w:ascii="Arial" w:hAnsi="Arial"/>
                <w:b w:val="0"/>
                <w:sz w:val="20"/>
              </w:rPr>
              <w:t>1,534,710</w:t>
            </w:r>
          </w:p>
        </w:tc>
        <w:tc>
          <w:tcPr>
            <w:tcW w:type="dxa" w:w="1728"/>
            <w:vAlign w:val="center"/>
          </w:tcPr>
          <w:p>
            <w:r/>
            <w:r>
              <w:rPr>
                <w:rFonts w:ascii="Arial" w:hAnsi="Arial"/>
                <w:b w:val="0"/>
                <w:sz w:val="20"/>
              </w:rPr>
              <w:t>142</w:t>
            </w:r>
          </w:p>
        </w:tc>
      </w:tr>
      <w:tr>
        <w:tc>
          <w:tcPr>
            <w:tcW w:type="dxa" w:w="1728"/>
            <w:vAlign w:val="center"/>
          </w:tcPr>
          <w:p>
            <w:r/>
            <w:r>
              <w:rPr>
                <w:rFonts w:ascii="Arial" w:hAnsi="Arial"/>
                <w:b w:val="0"/>
                <w:sz w:val="20"/>
              </w:rPr>
              <w:t>Silver</w:t>
            </w:r>
          </w:p>
        </w:tc>
        <w:tc>
          <w:tcPr>
            <w:tcW w:type="dxa" w:w="2880"/>
            <w:vAlign w:val="center"/>
          </w:tcPr>
          <w:p>
            <w:r/>
            <w:r>
              <w:rPr>
                <w:rFonts w:ascii="Arial" w:hAnsi="Arial"/>
                <w:b w:val="0"/>
                <w:sz w:val="20"/>
              </w:rPr>
              <w:t>silver_loans</w:t>
            </w:r>
          </w:p>
        </w:tc>
        <w:tc>
          <w:tcPr>
            <w:tcW w:type="dxa" w:w="2160"/>
            <w:vAlign w:val="center"/>
          </w:tcPr>
          <w:p>
            <w:r/>
            <w:r>
              <w:rPr>
                <w:rFonts w:ascii="Arial" w:hAnsi="Arial"/>
                <w:b w:val="0"/>
                <w:sz w:val="20"/>
              </w:rPr>
              <w:t>1,355,679</w:t>
            </w:r>
          </w:p>
        </w:tc>
        <w:tc>
          <w:tcPr>
            <w:tcW w:type="dxa" w:w="1728"/>
            <w:vAlign w:val="center"/>
          </w:tcPr>
          <w:p>
            <w:r/>
            <w:r>
              <w:rPr>
                <w:rFonts w:ascii="Arial" w:hAnsi="Arial"/>
                <w:b w:val="0"/>
                <w:sz w:val="20"/>
              </w:rPr>
              <w:t>57</w:t>
            </w:r>
          </w:p>
        </w:tc>
      </w:tr>
      <w:tr>
        <w:tc>
          <w:tcPr>
            <w:tcW w:type="dxa" w:w="1728"/>
            <w:vAlign w:val="center"/>
          </w:tcPr>
          <w:p>
            <w:r/>
            <w:r>
              <w:rPr>
                <w:rFonts w:ascii="Arial" w:hAnsi="Arial"/>
                <w:b w:val="0"/>
                <w:sz w:val="20"/>
              </w:rPr>
              <w:t>Gold train</w:t>
            </w:r>
          </w:p>
        </w:tc>
        <w:tc>
          <w:tcPr>
            <w:tcW w:type="dxa" w:w="2880"/>
            <w:vAlign w:val="center"/>
          </w:tcPr>
          <w:p>
            <w:r/>
            <w:r>
              <w:rPr>
                <w:rFonts w:ascii="Arial" w:hAnsi="Arial"/>
                <w:b w:val="0"/>
                <w:sz w:val="20"/>
              </w:rPr>
              <w:t>gold_loans_train</w:t>
            </w:r>
          </w:p>
        </w:tc>
        <w:tc>
          <w:tcPr>
            <w:tcW w:type="dxa" w:w="2160"/>
            <w:vAlign w:val="center"/>
          </w:tcPr>
          <w:p>
            <w:r/>
            <w:r>
              <w:rPr>
                <w:rFonts w:ascii="Arial" w:hAnsi="Arial"/>
                <w:b w:val="0"/>
                <w:sz w:val="20"/>
              </w:rPr>
              <w:t>200,796</w:t>
            </w:r>
          </w:p>
        </w:tc>
        <w:tc>
          <w:tcPr>
            <w:tcW w:type="dxa" w:w="1728"/>
            <w:vAlign w:val="center"/>
          </w:tcPr>
          <w:p>
            <w:r/>
            <w:r>
              <w:rPr>
                <w:rFonts w:ascii="Arial" w:hAnsi="Arial"/>
                <w:b w:val="0"/>
                <w:sz w:val="20"/>
              </w:rPr>
              <w:t>56</w:t>
            </w:r>
          </w:p>
        </w:tc>
      </w:tr>
      <w:tr>
        <w:tc>
          <w:tcPr>
            <w:tcW w:type="dxa" w:w="1728"/>
            <w:vAlign w:val="center"/>
          </w:tcPr>
          <w:p>
            <w:r/>
            <w:r>
              <w:rPr>
                <w:rFonts w:ascii="Arial" w:hAnsi="Arial"/>
                <w:b w:val="0"/>
                <w:sz w:val="20"/>
              </w:rPr>
              <w:t>Gold val</w:t>
            </w:r>
          </w:p>
        </w:tc>
        <w:tc>
          <w:tcPr>
            <w:tcW w:type="dxa" w:w="2880"/>
            <w:vAlign w:val="center"/>
          </w:tcPr>
          <w:p>
            <w:r/>
            <w:r>
              <w:rPr>
                <w:rFonts w:ascii="Arial" w:hAnsi="Arial"/>
                <w:b w:val="0"/>
                <w:sz w:val="20"/>
              </w:rPr>
              <w:t>gold_loans_val</w:t>
            </w:r>
          </w:p>
        </w:tc>
        <w:tc>
          <w:tcPr>
            <w:tcW w:type="dxa" w:w="2160"/>
            <w:vAlign w:val="center"/>
          </w:tcPr>
          <w:p>
            <w:r/>
            <w:r>
              <w:rPr>
                <w:rFonts w:ascii="Arial" w:hAnsi="Arial"/>
                <w:b w:val="0"/>
                <w:sz w:val="20"/>
              </w:rPr>
              <w:t>50,260</w:t>
            </w:r>
          </w:p>
        </w:tc>
        <w:tc>
          <w:tcPr>
            <w:tcW w:type="dxa" w:w="1728"/>
            <w:vAlign w:val="center"/>
          </w:tcPr>
          <w:p>
            <w:r/>
            <w:r>
              <w:rPr>
                <w:rFonts w:ascii="Arial" w:hAnsi="Arial"/>
                <w:b w:val="0"/>
                <w:sz w:val="20"/>
              </w:rPr>
              <w:t>56</w:t>
            </w:r>
          </w:p>
        </w:tc>
      </w:tr>
      <w:tr>
        <w:tc>
          <w:tcPr>
            <w:tcW w:type="dxa" w:w="1728"/>
            <w:vAlign w:val="center"/>
          </w:tcPr>
          <w:p>
            <w:r/>
            <w:r>
              <w:rPr>
                <w:rFonts w:ascii="Arial" w:hAnsi="Arial"/>
                <w:b w:val="0"/>
                <w:sz w:val="20"/>
              </w:rPr>
              <w:t>Gold test</w:t>
            </w:r>
          </w:p>
        </w:tc>
        <w:tc>
          <w:tcPr>
            <w:tcW w:type="dxa" w:w="2880"/>
            <w:vAlign w:val="center"/>
          </w:tcPr>
          <w:p>
            <w:r/>
            <w:r>
              <w:rPr>
                <w:rFonts w:ascii="Arial" w:hAnsi="Arial"/>
                <w:b w:val="0"/>
                <w:sz w:val="20"/>
              </w:rPr>
              <w:t>gold_loans_test</w:t>
            </w:r>
          </w:p>
        </w:tc>
        <w:tc>
          <w:tcPr>
            <w:tcW w:type="dxa" w:w="2160"/>
            <w:vAlign w:val="center"/>
          </w:tcPr>
          <w:p>
            <w:r/>
            <w:r>
              <w:rPr>
                <w:rFonts w:ascii="Arial" w:hAnsi="Arial"/>
                <w:b w:val="0"/>
                <w:sz w:val="20"/>
              </w:rPr>
              <w:t>314,212</w:t>
            </w:r>
          </w:p>
        </w:tc>
        <w:tc>
          <w:tcPr>
            <w:tcW w:type="dxa" w:w="1728"/>
            <w:vAlign w:val="center"/>
          </w:tcPr>
          <w:p>
            <w:r/>
            <w:r>
              <w:rPr>
                <w:rFonts w:ascii="Arial" w:hAnsi="Arial"/>
                <w:b w:val="0"/>
                <w:sz w:val="20"/>
              </w:rPr>
              <w:t>56</w:t>
            </w:r>
          </w:p>
        </w:tc>
      </w:tr>
    </w:tbl>
    <w:p>
      <w:pPr>
        <w:spacing w:before="240" w:after="80"/>
      </w:pPr>
      <w:r>
        <w:rPr>
          <w:rFonts w:ascii="Arial" w:hAnsi="Arial"/>
          <w:b/>
          <w:sz w:val="24"/>
        </w:rPr>
        <w:t>Bronze layer - raw ingestion</w:t>
      </w:r>
    </w:p>
    <w:p>
      <w:pPr>
        <w:spacing w:after="120"/>
      </w:pPr>
      <w:r>
        <w:rPr>
          <w:rFonts w:ascii="Arial" w:hAnsi="Arial"/>
          <w:i w:val="0"/>
          <w:sz w:val="22"/>
        </w:rPr>
        <w:t>Notebook 01 takes the Lending Club CSV and registers it as workspace.default.bronze_loans. No cleaning, filtering, or type changes happen here - Bronze is a faithful copy of the source so that if we find a bug downstream we can always re-read the original. The one exception is a cosmetic column-name sanitization pass that replaces characters Delta does not accept (spaces, colons, etc.) with underscores. In our data this only affects the 'Unnamed: 0' pandas index artifact (renamed to unnamed_0).</w:t>
      </w:r>
    </w:p>
    <w:p>
      <w:pPr>
        <w:spacing w:before="240" w:after="80"/>
      </w:pPr>
      <w:r>
        <w:rPr>
          <w:rFonts w:ascii="Arial" w:hAnsi="Arial"/>
          <w:b/>
          <w:sz w:val="24"/>
        </w:rPr>
        <w:t>Silver layer - cleaning and typing</w:t>
      </w:r>
    </w:p>
    <w:p>
      <w:pPr>
        <w:spacing w:after="120"/>
      </w:pPr>
      <w:r>
        <w:rPr>
          <w:rFonts w:ascii="Arial" w:hAnsi="Arial"/>
          <w:i w:val="0"/>
          <w:sz w:val="22"/>
        </w:rPr>
        <w:t>Notebook 02 applies seven cleaning operations to bronze_loans, rewritten from our Phase 1 cleaning script in Spark: (1) filter to completed loans and derive the charged_off target; (2) drop 49 columns with more than 30% nulls; (3) drop 22 post-loan leakage columns (total_pymnt, recoveries, last_fico_range_*, settlement_*); (4) drop IDs, free-text, and near-constant columns; (5) strip units and percent signs from term, int_rate, revol_util; (6) parse emp_length to an ordinal integer and earliest_cr_line / issue_d to dates; (7) null out physically impossible values (negative DTI, revol_util above 200%). The output silver_loans has 1,355,679 rows and 57 columns - we dropped 85 columns in total.</w:t>
      </w:r>
    </w:p>
    <w:p>
      <w:pPr>
        <w:spacing w:before="240" w:after="80"/>
      </w:pPr>
      <w:r>
        <w:rPr>
          <w:rFonts w:ascii="Arial" w:hAnsi="Arial"/>
          <w:b/>
          <w:sz w:val="24"/>
        </w:rPr>
        <w:t>Gold layer - train / validation / test tables</w:t>
      </w:r>
    </w:p>
    <w:p>
      <w:pPr>
        <w:spacing w:after="120"/>
      </w:pPr>
      <w:r>
        <w:rPr>
          <w:rFonts w:ascii="Arial" w:hAnsi="Arial"/>
          <w:i w:val="0"/>
          <w:sz w:val="22"/>
        </w:rPr>
        <w:t>Notebook 03 builds three model-ready tables by time-splitting silver_loans. Test is all of 2017 (kept at full size so final metrics are directly comparable to Phase 2). Train and validation come from 2014-2016, ordered by issue_d, with the first 80% going to train and the last 20% to validation. A stratified sample brings train down to 200,796 rows and val down to 50,260 rows while preserving the charge-off ratio:</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304"/>
            <w:shd w:fill="D5E8F0"/>
            <w:vAlign w:val="center"/>
          </w:tcPr>
          <w:p>
            <w:r/>
            <w:r>
              <w:rPr>
                <w:rFonts w:ascii="Arial" w:hAnsi="Arial"/>
                <w:b/>
                <w:sz w:val="20"/>
              </w:rPr>
              <w:t>Split</w:t>
            </w:r>
          </w:p>
        </w:tc>
        <w:tc>
          <w:tcPr>
            <w:tcW w:type="dxa" w:w="1728"/>
            <w:shd w:fill="D5E8F0"/>
            <w:vAlign w:val="center"/>
          </w:tcPr>
          <w:p>
            <w:r/>
            <w:r>
              <w:rPr>
                <w:rFonts w:ascii="Arial" w:hAnsi="Arial"/>
                <w:b/>
                <w:sz w:val="20"/>
              </w:rPr>
              <w:t>Rows</w:t>
            </w:r>
          </w:p>
        </w:tc>
        <w:tc>
          <w:tcPr>
            <w:tcW w:type="dxa" w:w="2304"/>
            <w:shd w:fill="D5E8F0"/>
            <w:vAlign w:val="center"/>
          </w:tcPr>
          <w:p>
            <w:r/>
            <w:r>
              <w:rPr>
                <w:rFonts w:ascii="Arial" w:hAnsi="Arial"/>
                <w:b/>
                <w:sz w:val="20"/>
              </w:rPr>
              <w:t>Charge-off rate</w:t>
            </w:r>
          </w:p>
        </w:tc>
        <w:tc>
          <w:tcPr>
            <w:tcW w:type="dxa" w:w="2736"/>
            <w:shd w:fill="D5E8F0"/>
            <w:vAlign w:val="center"/>
          </w:tcPr>
          <w:p>
            <w:r/>
            <w:r>
              <w:rPr>
                <w:rFonts w:ascii="Arial" w:hAnsi="Arial"/>
                <w:b/>
                <w:sz w:val="20"/>
              </w:rPr>
              <w:t>Date range</w:t>
            </w:r>
          </w:p>
        </w:tc>
      </w:tr>
      <w:tr>
        <w:tc>
          <w:tcPr>
            <w:tcW w:type="dxa" w:w="2304"/>
            <w:vAlign w:val="center"/>
          </w:tcPr>
          <w:p>
            <w:r/>
            <w:r>
              <w:rPr>
                <w:rFonts w:ascii="Arial" w:hAnsi="Arial"/>
                <w:b w:val="0"/>
                <w:sz w:val="20"/>
              </w:rPr>
              <w:t>Train (sampled)</w:t>
            </w:r>
          </w:p>
        </w:tc>
        <w:tc>
          <w:tcPr>
            <w:tcW w:type="dxa" w:w="1728"/>
            <w:vAlign w:val="center"/>
          </w:tcPr>
          <w:p>
            <w:r/>
            <w:r>
              <w:rPr>
                <w:rFonts w:ascii="Arial" w:hAnsi="Arial"/>
                <w:b w:val="0"/>
                <w:sz w:val="20"/>
              </w:rPr>
              <w:t>200,796</w:t>
            </w:r>
          </w:p>
        </w:tc>
        <w:tc>
          <w:tcPr>
            <w:tcW w:type="dxa" w:w="2304"/>
            <w:vAlign w:val="center"/>
          </w:tcPr>
          <w:p>
            <w:r/>
            <w:r>
              <w:rPr>
                <w:rFonts w:ascii="Arial" w:hAnsi="Arial"/>
                <w:b w:val="0"/>
                <w:sz w:val="20"/>
              </w:rPr>
              <w:t>19.3%</w:t>
            </w:r>
          </w:p>
        </w:tc>
        <w:tc>
          <w:tcPr>
            <w:tcW w:type="dxa" w:w="2736"/>
            <w:vAlign w:val="center"/>
          </w:tcPr>
          <w:p>
            <w:r/>
            <w:r>
              <w:rPr>
                <w:rFonts w:ascii="Arial" w:hAnsi="Arial"/>
                <w:b w:val="0"/>
                <w:sz w:val="20"/>
              </w:rPr>
              <w:t>Jan 2014 - Jul 2016</w:t>
            </w:r>
          </w:p>
        </w:tc>
      </w:tr>
      <w:tr>
        <w:tc>
          <w:tcPr>
            <w:tcW w:type="dxa" w:w="2304"/>
            <w:vAlign w:val="center"/>
          </w:tcPr>
          <w:p>
            <w:r/>
            <w:r>
              <w:rPr>
                <w:rFonts w:ascii="Arial" w:hAnsi="Arial"/>
                <w:b w:val="0"/>
                <w:sz w:val="20"/>
              </w:rPr>
              <w:t>Val (sampled)</w:t>
            </w:r>
          </w:p>
        </w:tc>
        <w:tc>
          <w:tcPr>
            <w:tcW w:type="dxa" w:w="1728"/>
            <w:vAlign w:val="center"/>
          </w:tcPr>
          <w:p>
            <w:r/>
            <w:r>
              <w:rPr>
                <w:rFonts w:ascii="Arial" w:hAnsi="Arial"/>
                <w:b w:val="0"/>
                <w:sz w:val="20"/>
              </w:rPr>
              <w:t>50,260</w:t>
            </w:r>
          </w:p>
        </w:tc>
        <w:tc>
          <w:tcPr>
            <w:tcW w:type="dxa" w:w="2304"/>
            <w:vAlign w:val="center"/>
          </w:tcPr>
          <w:p>
            <w:r/>
            <w:r>
              <w:rPr>
                <w:rFonts w:ascii="Arial" w:hAnsi="Arial"/>
                <w:b w:val="0"/>
                <w:sz w:val="20"/>
              </w:rPr>
              <w:t>19.6%</w:t>
            </w:r>
          </w:p>
        </w:tc>
        <w:tc>
          <w:tcPr>
            <w:tcW w:type="dxa" w:w="2736"/>
            <w:vAlign w:val="center"/>
          </w:tcPr>
          <w:p>
            <w:r/>
            <w:r>
              <w:rPr>
                <w:rFonts w:ascii="Arial" w:hAnsi="Arial"/>
                <w:b w:val="0"/>
                <w:sz w:val="20"/>
              </w:rPr>
              <w:t>Jul 2016 - Dec 2016</w:t>
            </w:r>
          </w:p>
        </w:tc>
      </w:tr>
      <w:tr>
        <w:tc>
          <w:tcPr>
            <w:tcW w:type="dxa" w:w="2304"/>
            <w:vAlign w:val="center"/>
          </w:tcPr>
          <w:p>
            <w:r/>
            <w:r>
              <w:rPr>
                <w:rFonts w:ascii="Arial" w:hAnsi="Arial"/>
                <w:b w:val="0"/>
                <w:sz w:val="20"/>
              </w:rPr>
              <w:t>Test (full 2017)</w:t>
            </w:r>
          </w:p>
        </w:tc>
        <w:tc>
          <w:tcPr>
            <w:tcW w:type="dxa" w:w="1728"/>
            <w:vAlign w:val="center"/>
          </w:tcPr>
          <w:p>
            <w:r/>
            <w:r>
              <w:rPr>
                <w:rFonts w:ascii="Arial" w:hAnsi="Arial"/>
                <w:b w:val="0"/>
                <w:sz w:val="20"/>
              </w:rPr>
              <w:t>314,212</w:t>
            </w:r>
          </w:p>
        </w:tc>
        <w:tc>
          <w:tcPr>
            <w:tcW w:type="dxa" w:w="2304"/>
            <w:vAlign w:val="center"/>
          </w:tcPr>
          <w:p>
            <w:r/>
            <w:r>
              <w:rPr>
                <w:rFonts w:ascii="Arial" w:hAnsi="Arial"/>
                <w:b w:val="0"/>
                <w:sz w:val="20"/>
              </w:rPr>
              <w:t>21.0%</w:t>
            </w:r>
          </w:p>
        </w:tc>
        <w:tc>
          <w:tcPr>
            <w:tcW w:type="dxa" w:w="2736"/>
            <w:vAlign w:val="center"/>
          </w:tcPr>
          <w:p>
            <w:r/>
            <w:r>
              <w:rPr>
                <w:rFonts w:ascii="Arial" w:hAnsi="Arial"/>
                <w:b w:val="0"/>
                <w:sz w:val="20"/>
              </w:rPr>
              <w:t>Jan 2017 - Dec 2017</w:t>
            </w:r>
          </w:p>
        </w:tc>
      </w:tr>
    </w:tbl>
    <w:p>
      <w:pPr>
        <w:spacing w:after="120"/>
      </w:pPr>
      <w:r>
        <w:rPr>
          <w:rFonts w:ascii="Arial" w:hAnsi="Arial"/>
          <w:i w:val="0"/>
          <w:sz w:val="22"/>
        </w:rPr>
        <w:t>Imputation, encoding, and scaling are deferred to notebook 04 so that the same transformer is fit on train and applied to val/test - this is the only way to prevent leakage through the preprocessing step.</w:t>
      </w:r>
    </w:p>
    <w:p>
      <w:pPr>
        <w:spacing w:before="240" w:after="80"/>
      </w:pPr>
      <w:r>
        <w:rPr>
          <w:rFonts w:ascii="Arial" w:hAnsi="Arial"/>
          <w:b/>
          <w:sz w:val="30"/>
        </w:rPr>
        <w:t>2. Spark MLlib Models</w:t>
      </w:r>
    </w:p>
    <w:p>
      <w:pPr>
        <w:spacing w:after="120"/>
      </w:pPr>
      <w:r>
        <w:rPr>
          <w:rFonts w:ascii="Arial" w:hAnsi="Arial"/>
          <w:i w:val="0"/>
          <w:sz w:val="22"/>
        </w:rPr>
        <w:t>Our Phase 2 best performers were Logistic Regression, XGBoost, and HistGradientBoosting. For Phase 3 we re-implemented three of those model families - Logistic Regression, Random Forest, and HistGradientBoosting - so we can see how different algorithm classes behave on the Gold-Delta data. The Logistic Regression is additionally hyperparameter-tuned with 3-fold cross-validation (sweeping C over {0.01, 0.1, 1.0, 10.0}), which is the scikit-learn equivalent of Spark MLlib's CrossValidator. All three models share the same preprocessing pipeline - median imputation + standard scaling for numerics, most-frequent imputation + one-hot encoding for categoricals - so the comparison is fair.</w:t>
      </w:r>
    </w:p>
    <w:p>
      <w:pPr>
        <w:spacing w:after="120"/>
      </w:pPr>
      <w:r>
        <w:rPr>
          <w:rFonts w:ascii="Arial" w:hAnsi="Arial"/>
          <w:i w:val="0"/>
          <w:sz w:val="22"/>
        </w:rPr>
        <w:t>We originally intended to use pyspark.ml.Pipeline with Imputer, StringIndexer, OneHotEncoder, VectorAssembler, StandardScaler, and LogisticRegression. On Databricks Free Edition, the serverless compute enforces a Py4J security whitelist that rejects the Java constructors for Imputer, StringIndexer, and OneHotEncoder (verified: the first instantiation of Imputer raises Py4JSecurityException: 'Constructor public org.apache.spark.ml.feature.Imputer(java.lang.String) is not whitelisted'). Free Edition does not expose classic single-node clusters as an alternative - the Compute page only lists SQL warehouses and serverless - so an end-to-end pyspark.ml pipeline cannot run on this tier. We kept the Bronze / Silver / Gold stages in Spark and Delta and pulled the ~200k-row Gold training set into pandas for the model-fit step using scikit-learn's equivalent API. The cross-validation step uses sklearn's GridSearchCV, which plays the same role as MLlib's CrossValidator.</w:t>
      </w:r>
    </w:p>
    <w:p>
      <w:pPr>
        <w:spacing w:before="240" w:after="80"/>
      </w:pPr>
      <w:r>
        <w:rPr>
          <w:rFonts w:ascii="Arial" w:hAnsi="Arial"/>
          <w:b/>
          <w:sz w:val="24"/>
        </w:rPr>
        <w:t>Performance comparison</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4896"/>
            <w:shd w:fill="D5E8F0"/>
            <w:vAlign w:val="center"/>
          </w:tcPr>
          <w:p>
            <w:r/>
            <w:r>
              <w:rPr>
                <w:rFonts w:ascii="Arial" w:hAnsi="Arial"/>
                <w:b/>
                <w:sz w:val="20"/>
              </w:rPr>
              <w:t>Phase / Model</w:t>
            </w:r>
          </w:p>
        </w:tc>
        <w:tc>
          <w:tcPr>
            <w:tcW w:type="dxa" w:w="1296"/>
            <w:shd w:fill="D5E8F0"/>
            <w:vAlign w:val="center"/>
          </w:tcPr>
          <w:p>
            <w:r/>
            <w:r>
              <w:rPr>
                <w:rFonts w:ascii="Arial" w:hAnsi="Arial"/>
                <w:b/>
                <w:sz w:val="20"/>
              </w:rPr>
              <w:t>Val AUC-ROC</w:t>
            </w:r>
          </w:p>
        </w:tc>
        <w:tc>
          <w:tcPr>
            <w:tcW w:type="dxa" w:w="1296"/>
            <w:shd w:fill="D5E8F0"/>
            <w:vAlign w:val="center"/>
          </w:tcPr>
          <w:p>
            <w:r/>
            <w:r>
              <w:rPr>
                <w:rFonts w:ascii="Arial" w:hAnsi="Arial"/>
                <w:b/>
                <w:sz w:val="20"/>
              </w:rPr>
              <w:t>Val AUC-PR</w:t>
            </w:r>
          </w:p>
        </w:tc>
        <w:tc>
          <w:tcPr>
            <w:tcW w:type="dxa" w:w="1296"/>
            <w:shd w:fill="D5E8F0"/>
            <w:vAlign w:val="center"/>
          </w:tcPr>
          <w:p>
            <w:r/>
            <w:r>
              <w:rPr>
                <w:rFonts w:ascii="Arial" w:hAnsi="Arial"/>
                <w:b/>
                <w:sz w:val="20"/>
              </w:rPr>
              <w:t>Test AUC-ROC</w:t>
            </w:r>
          </w:p>
        </w:tc>
        <w:tc>
          <w:tcPr>
            <w:tcW w:type="dxa" w:w="1296"/>
            <w:shd w:fill="D5E8F0"/>
            <w:vAlign w:val="center"/>
          </w:tcPr>
          <w:p>
            <w:r/>
            <w:r>
              <w:rPr>
                <w:rFonts w:ascii="Arial" w:hAnsi="Arial"/>
                <w:b/>
                <w:sz w:val="20"/>
              </w:rPr>
              <w:t>Test AUC-PR</w:t>
            </w:r>
          </w:p>
        </w:tc>
      </w:tr>
      <w:tr>
        <w:tc>
          <w:tcPr>
            <w:tcW w:type="dxa" w:w="4896"/>
            <w:vAlign w:val="center"/>
          </w:tcPr>
          <w:p>
            <w:r/>
            <w:r>
              <w:rPr>
                <w:rFonts w:ascii="Arial" w:hAnsi="Arial"/>
                <w:b w:val="0"/>
                <w:sz w:val="20"/>
              </w:rPr>
              <w:t>Phase 2 LogisticRegression (baseline, full data)</w:t>
            </w:r>
          </w:p>
        </w:tc>
        <w:tc>
          <w:tcPr>
            <w:tcW w:type="dxa" w:w="1296"/>
            <w:vAlign w:val="center"/>
          </w:tcPr>
          <w:p>
            <w:r/>
            <w:r>
              <w:rPr>
                <w:rFonts w:ascii="Arial" w:hAnsi="Arial"/>
                <w:b w:val="0"/>
                <w:sz w:val="20"/>
              </w:rPr>
              <w:t>0.7121</w:t>
            </w:r>
          </w:p>
        </w:tc>
        <w:tc>
          <w:tcPr>
            <w:tcW w:type="dxa" w:w="1296"/>
            <w:vAlign w:val="center"/>
          </w:tcPr>
          <w:p>
            <w:r/>
            <w:r>
              <w:rPr>
                <w:rFonts w:ascii="Arial" w:hAnsi="Arial"/>
                <w:b w:val="0"/>
                <w:sz w:val="20"/>
              </w:rPr>
              <w:t>0.3757</w:t>
            </w:r>
          </w:p>
        </w:tc>
        <w:tc>
          <w:tcPr>
            <w:tcW w:type="dxa" w:w="1296"/>
            <w:vAlign w:val="center"/>
          </w:tcPr>
          <w:p>
            <w:r/>
            <w:r>
              <w:rPr>
                <w:rFonts w:ascii="Arial" w:hAnsi="Arial"/>
                <w:b w:val="0"/>
                <w:sz w:val="20"/>
              </w:rPr>
              <w:t>-</w:t>
            </w:r>
          </w:p>
        </w:tc>
        <w:tc>
          <w:tcPr>
            <w:tcW w:type="dxa" w:w="1296"/>
            <w:vAlign w:val="center"/>
          </w:tcPr>
          <w:p>
            <w:r/>
            <w:r>
              <w:rPr>
                <w:rFonts w:ascii="Arial" w:hAnsi="Arial"/>
                <w:b w:val="0"/>
                <w:sz w:val="20"/>
              </w:rPr>
              <w:t>-</w:t>
            </w:r>
          </w:p>
        </w:tc>
      </w:tr>
      <w:tr>
        <w:tc>
          <w:tcPr>
            <w:tcW w:type="dxa" w:w="4896"/>
            <w:vAlign w:val="center"/>
          </w:tcPr>
          <w:p>
            <w:r/>
            <w:r>
              <w:rPr>
                <w:rFonts w:ascii="Arial" w:hAnsi="Arial"/>
                <w:b w:val="0"/>
                <w:sz w:val="20"/>
              </w:rPr>
              <w:t>Phase 2 HistGradientBoosting (tuned, full data)</w:t>
            </w:r>
          </w:p>
        </w:tc>
        <w:tc>
          <w:tcPr>
            <w:tcW w:type="dxa" w:w="1296"/>
            <w:vAlign w:val="center"/>
          </w:tcPr>
          <w:p>
            <w:r/>
            <w:r>
              <w:rPr>
                <w:rFonts w:ascii="Arial" w:hAnsi="Arial"/>
                <w:b w:val="0"/>
                <w:sz w:val="20"/>
              </w:rPr>
              <w:t>0.7233</w:t>
            </w:r>
          </w:p>
        </w:tc>
        <w:tc>
          <w:tcPr>
            <w:tcW w:type="dxa" w:w="1296"/>
            <w:vAlign w:val="center"/>
          </w:tcPr>
          <w:p>
            <w:r/>
            <w:r>
              <w:rPr>
                <w:rFonts w:ascii="Arial" w:hAnsi="Arial"/>
                <w:b w:val="0"/>
                <w:sz w:val="20"/>
              </w:rPr>
              <w:t>0.3933</w:t>
            </w:r>
          </w:p>
        </w:tc>
        <w:tc>
          <w:tcPr>
            <w:tcW w:type="dxa" w:w="1296"/>
            <w:vAlign w:val="center"/>
          </w:tcPr>
          <w:p>
            <w:r/>
            <w:r>
              <w:rPr>
                <w:rFonts w:ascii="Arial" w:hAnsi="Arial"/>
                <w:b w:val="0"/>
                <w:sz w:val="20"/>
              </w:rPr>
              <w:t>-</w:t>
            </w:r>
          </w:p>
        </w:tc>
        <w:tc>
          <w:tcPr>
            <w:tcW w:type="dxa" w:w="1296"/>
            <w:vAlign w:val="center"/>
          </w:tcPr>
          <w:p>
            <w:r/>
            <w:r>
              <w:rPr>
                <w:rFonts w:ascii="Arial" w:hAnsi="Arial"/>
                <w:b w:val="0"/>
                <w:sz w:val="20"/>
              </w:rPr>
              <w:t>-</w:t>
            </w:r>
          </w:p>
        </w:tc>
      </w:tr>
      <w:tr>
        <w:tc>
          <w:tcPr>
            <w:tcW w:type="dxa" w:w="4896"/>
            <w:vAlign w:val="center"/>
          </w:tcPr>
          <w:p>
            <w:r/>
            <w:r>
              <w:rPr>
                <w:rFonts w:ascii="Arial" w:hAnsi="Arial"/>
                <w:b w:val="0"/>
                <w:sz w:val="20"/>
              </w:rPr>
              <w:t>Phase 2 XGBoost (tuned, full data)</w:t>
            </w:r>
          </w:p>
        </w:tc>
        <w:tc>
          <w:tcPr>
            <w:tcW w:type="dxa" w:w="1296"/>
            <w:vAlign w:val="center"/>
          </w:tcPr>
          <w:p>
            <w:r/>
            <w:r>
              <w:rPr>
                <w:rFonts w:ascii="Arial" w:hAnsi="Arial"/>
                <w:b w:val="0"/>
                <w:sz w:val="20"/>
              </w:rPr>
              <w:t>0.7238</w:t>
            </w:r>
          </w:p>
        </w:tc>
        <w:tc>
          <w:tcPr>
            <w:tcW w:type="dxa" w:w="1296"/>
            <w:vAlign w:val="center"/>
          </w:tcPr>
          <w:p>
            <w:r/>
            <w:r>
              <w:rPr>
                <w:rFonts w:ascii="Arial" w:hAnsi="Arial"/>
                <w:b w:val="0"/>
                <w:sz w:val="20"/>
              </w:rPr>
              <w:t>0.3931</w:t>
            </w:r>
          </w:p>
        </w:tc>
        <w:tc>
          <w:tcPr>
            <w:tcW w:type="dxa" w:w="1296"/>
            <w:vAlign w:val="center"/>
          </w:tcPr>
          <w:p>
            <w:r/>
            <w:r>
              <w:rPr>
                <w:rFonts w:ascii="Arial" w:hAnsi="Arial"/>
                <w:b w:val="0"/>
                <w:sz w:val="20"/>
              </w:rPr>
              <w:t>-</w:t>
            </w:r>
          </w:p>
        </w:tc>
        <w:tc>
          <w:tcPr>
            <w:tcW w:type="dxa" w:w="1296"/>
            <w:vAlign w:val="center"/>
          </w:tcPr>
          <w:p>
            <w:r/>
            <w:r>
              <w:rPr>
                <w:rFonts w:ascii="Arial" w:hAnsi="Arial"/>
                <w:b w:val="0"/>
                <w:sz w:val="20"/>
              </w:rPr>
              <w:t>-</w:t>
            </w:r>
          </w:p>
        </w:tc>
      </w:tr>
      <w:tr>
        <w:tc>
          <w:tcPr>
            <w:tcW w:type="dxa" w:w="4896"/>
            <w:vAlign w:val="center"/>
          </w:tcPr>
          <w:p>
            <w:r/>
            <w:r>
              <w:rPr>
                <w:rFonts w:ascii="Arial" w:hAnsi="Arial"/>
                <w:b w:val="0"/>
                <w:sz w:val="20"/>
              </w:rPr>
              <w:t>Phase 3 LogisticRegression (Gold Delta)</w:t>
            </w:r>
          </w:p>
        </w:tc>
        <w:tc>
          <w:tcPr>
            <w:tcW w:type="dxa" w:w="1296"/>
            <w:vAlign w:val="center"/>
          </w:tcPr>
          <w:p>
            <w:r/>
            <w:r>
              <w:rPr>
                <w:rFonts w:ascii="Arial" w:hAnsi="Arial"/>
                <w:b w:val="0"/>
                <w:sz w:val="20"/>
              </w:rPr>
              <w:t>0.7136</w:t>
            </w:r>
          </w:p>
        </w:tc>
        <w:tc>
          <w:tcPr>
            <w:tcW w:type="dxa" w:w="1296"/>
            <w:vAlign w:val="center"/>
          </w:tcPr>
          <w:p>
            <w:r/>
            <w:r>
              <w:rPr>
                <w:rFonts w:ascii="Arial" w:hAnsi="Arial"/>
                <w:b w:val="0"/>
                <w:sz w:val="20"/>
              </w:rPr>
              <w:t>0.3781</w:t>
            </w:r>
          </w:p>
        </w:tc>
        <w:tc>
          <w:tcPr>
            <w:tcW w:type="dxa" w:w="1296"/>
            <w:vAlign w:val="center"/>
          </w:tcPr>
          <w:p>
            <w:r/>
            <w:r>
              <w:rPr>
                <w:rFonts w:ascii="Arial" w:hAnsi="Arial"/>
                <w:b w:val="0"/>
                <w:sz w:val="20"/>
              </w:rPr>
              <w:t>0.7137</w:t>
            </w:r>
          </w:p>
        </w:tc>
        <w:tc>
          <w:tcPr>
            <w:tcW w:type="dxa" w:w="1296"/>
            <w:vAlign w:val="center"/>
          </w:tcPr>
          <w:p>
            <w:r/>
            <w:r>
              <w:rPr>
                <w:rFonts w:ascii="Arial" w:hAnsi="Arial"/>
                <w:b w:val="0"/>
                <w:sz w:val="20"/>
              </w:rPr>
              <w:t>0.3873</w:t>
            </w:r>
          </w:p>
        </w:tc>
      </w:tr>
      <w:tr>
        <w:tc>
          <w:tcPr>
            <w:tcW w:type="dxa" w:w="4896"/>
            <w:vAlign w:val="center"/>
          </w:tcPr>
          <w:p>
            <w:r/>
            <w:r>
              <w:rPr>
                <w:rFonts w:ascii="Arial" w:hAnsi="Arial"/>
                <w:b w:val="0"/>
                <w:sz w:val="20"/>
              </w:rPr>
              <w:t>Phase 3 LogisticRegression (tuned via 3-fold CV, C=0.01)</w:t>
            </w:r>
          </w:p>
        </w:tc>
        <w:tc>
          <w:tcPr>
            <w:tcW w:type="dxa" w:w="1296"/>
            <w:vAlign w:val="center"/>
          </w:tcPr>
          <w:p>
            <w:r/>
            <w:r>
              <w:rPr>
                <w:rFonts w:ascii="Arial" w:hAnsi="Arial"/>
                <w:b w:val="0"/>
                <w:sz w:val="20"/>
              </w:rPr>
              <w:t>0.7139</w:t>
            </w:r>
          </w:p>
        </w:tc>
        <w:tc>
          <w:tcPr>
            <w:tcW w:type="dxa" w:w="1296"/>
            <w:vAlign w:val="center"/>
          </w:tcPr>
          <w:p>
            <w:r/>
            <w:r>
              <w:rPr>
                <w:rFonts w:ascii="Arial" w:hAnsi="Arial"/>
                <w:b w:val="0"/>
                <w:sz w:val="20"/>
              </w:rPr>
              <w:t>0.3779</w:t>
            </w:r>
          </w:p>
        </w:tc>
        <w:tc>
          <w:tcPr>
            <w:tcW w:type="dxa" w:w="1296"/>
            <w:vAlign w:val="center"/>
          </w:tcPr>
          <w:p>
            <w:r/>
            <w:r>
              <w:rPr>
                <w:rFonts w:ascii="Arial" w:hAnsi="Arial"/>
                <w:b w:val="0"/>
                <w:sz w:val="20"/>
              </w:rPr>
              <w:t>0.7136</w:t>
            </w:r>
          </w:p>
        </w:tc>
        <w:tc>
          <w:tcPr>
            <w:tcW w:type="dxa" w:w="1296"/>
            <w:vAlign w:val="center"/>
          </w:tcPr>
          <w:p>
            <w:r/>
            <w:r>
              <w:rPr>
                <w:rFonts w:ascii="Arial" w:hAnsi="Arial"/>
                <w:b w:val="0"/>
                <w:sz w:val="20"/>
              </w:rPr>
              <w:t>0.3864</w:t>
            </w:r>
          </w:p>
        </w:tc>
      </w:tr>
      <w:tr>
        <w:tc>
          <w:tcPr>
            <w:tcW w:type="dxa" w:w="4896"/>
            <w:vAlign w:val="center"/>
          </w:tcPr>
          <w:p>
            <w:r/>
            <w:r>
              <w:rPr>
                <w:rFonts w:ascii="Arial" w:hAnsi="Arial"/>
                <w:b w:val="0"/>
                <w:sz w:val="20"/>
              </w:rPr>
              <w:t>Phase 3 RandomForest</w:t>
            </w:r>
          </w:p>
        </w:tc>
        <w:tc>
          <w:tcPr>
            <w:tcW w:type="dxa" w:w="1296"/>
            <w:vAlign w:val="center"/>
          </w:tcPr>
          <w:p>
            <w:r/>
            <w:r>
              <w:rPr>
                <w:rFonts w:ascii="Arial" w:hAnsi="Arial"/>
                <w:b w:val="0"/>
                <w:sz w:val="20"/>
              </w:rPr>
              <w:t>0.7114</w:t>
            </w:r>
          </w:p>
        </w:tc>
        <w:tc>
          <w:tcPr>
            <w:tcW w:type="dxa" w:w="1296"/>
            <w:vAlign w:val="center"/>
          </w:tcPr>
          <w:p>
            <w:r/>
            <w:r>
              <w:rPr>
                <w:rFonts w:ascii="Arial" w:hAnsi="Arial"/>
                <w:b w:val="0"/>
                <w:sz w:val="20"/>
              </w:rPr>
              <w:t>0.3803</w:t>
            </w:r>
          </w:p>
        </w:tc>
        <w:tc>
          <w:tcPr>
            <w:tcW w:type="dxa" w:w="1296"/>
            <w:vAlign w:val="center"/>
          </w:tcPr>
          <w:p>
            <w:r/>
            <w:r>
              <w:rPr>
                <w:rFonts w:ascii="Arial" w:hAnsi="Arial"/>
                <w:b w:val="0"/>
                <w:sz w:val="20"/>
              </w:rPr>
              <w:t>0.7097</w:t>
            </w:r>
          </w:p>
        </w:tc>
        <w:tc>
          <w:tcPr>
            <w:tcW w:type="dxa" w:w="1296"/>
            <w:vAlign w:val="center"/>
          </w:tcPr>
          <w:p>
            <w:r/>
            <w:r>
              <w:rPr>
                <w:rFonts w:ascii="Arial" w:hAnsi="Arial"/>
                <w:b w:val="0"/>
                <w:sz w:val="20"/>
              </w:rPr>
              <w:t>0.3887</w:t>
            </w:r>
          </w:p>
        </w:tc>
      </w:tr>
      <w:tr>
        <w:tc>
          <w:tcPr>
            <w:tcW w:type="dxa" w:w="4896"/>
            <w:vAlign w:val="center"/>
          </w:tcPr>
          <w:p>
            <w:r/>
            <w:r>
              <w:rPr>
                <w:rFonts w:ascii="Arial" w:hAnsi="Arial"/>
                <w:b w:val="0"/>
                <w:sz w:val="20"/>
              </w:rPr>
              <w:t>Phase 3 HistGradientBoosting (best Phase 3 model)</w:t>
            </w:r>
          </w:p>
        </w:tc>
        <w:tc>
          <w:tcPr>
            <w:tcW w:type="dxa" w:w="1296"/>
            <w:vAlign w:val="center"/>
          </w:tcPr>
          <w:p>
            <w:r/>
            <w:r>
              <w:rPr>
                <w:rFonts w:ascii="Arial" w:hAnsi="Arial"/>
                <w:b w:val="0"/>
                <w:sz w:val="20"/>
              </w:rPr>
              <w:t>0.7193</w:t>
            </w:r>
          </w:p>
        </w:tc>
        <w:tc>
          <w:tcPr>
            <w:tcW w:type="dxa" w:w="1296"/>
            <w:vAlign w:val="center"/>
          </w:tcPr>
          <w:p>
            <w:r/>
            <w:r>
              <w:rPr>
                <w:rFonts w:ascii="Arial" w:hAnsi="Arial"/>
                <w:b w:val="0"/>
                <w:sz w:val="20"/>
              </w:rPr>
              <w:t>0.3890</w:t>
            </w:r>
          </w:p>
        </w:tc>
        <w:tc>
          <w:tcPr>
            <w:tcW w:type="dxa" w:w="1296"/>
            <w:vAlign w:val="center"/>
          </w:tcPr>
          <w:p>
            <w:r/>
            <w:r>
              <w:rPr>
                <w:rFonts w:ascii="Arial" w:hAnsi="Arial"/>
                <w:b w:val="0"/>
                <w:sz w:val="20"/>
              </w:rPr>
              <w:t>0.7194</w:t>
            </w:r>
          </w:p>
        </w:tc>
        <w:tc>
          <w:tcPr>
            <w:tcW w:type="dxa" w:w="1296"/>
            <w:vAlign w:val="center"/>
          </w:tcPr>
          <w:p>
            <w:r/>
            <w:r>
              <w:rPr>
                <w:rFonts w:ascii="Arial" w:hAnsi="Arial"/>
                <w:b w:val="0"/>
                <w:sz w:val="20"/>
              </w:rPr>
              <w:t>0.4004</w:t>
            </w:r>
          </w:p>
        </w:tc>
      </w:tr>
    </w:tbl>
    <w:p>
      <w:pPr>
        <w:spacing w:after="120"/>
      </w:pPr>
      <w:r>
        <w:rPr>
          <w:rFonts w:ascii="Arial" w:hAnsi="Arial"/>
          <w:i w:val="0"/>
          <w:sz w:val="22"/>
        </w:rPr>
        <w:t>Key takeaways from the model comparison:</w:t>
      </w:r>
    </w:p>
    <w:p>
      <w:pPr>
        <w:pStyle w:val="ListBullet"/>
      </w:pPr>
      <w:r>
        <w:rPr>
          <w:rFonts w:ascii="Arial" w:hAnsi="Arial"/>
          <w:sz w:val="22"/>
        </w:rPr>
        <w:t>The cross-validated Logistic Regression picks C=0.01 (heavy regularization) and produces a Val AUC-ROC of 0.7139 - essentially identical to the untuned model with C=1.0. The 3-fold CV scores were stable across folds (std &lt; 0.003), which tells us the Gold data is well-behaved and the single-split AUC is reliable.</w:t>
      </w:r>
    </w:p>
    <w:p>
      <w:pPr>
        <w:pStyle w:val="ListBullet"/>
      </w:pPr>
      <w:r>
        <w:rPr>
          <w:rFonts w:ascii="Arial" w:hAnsi="Arial"/>
          <w:sz w:val="22"/>
        </w:rPr>
        <w:t>Random Forest shows a clear sign of overfitting: train AUC is 0.7575 but val AUC is only 0.7114. The class_weight='balanced' setting and max_depth=12 could be tuned further, but the linear models already do about as well on this validation set.</w:t>
      </w:r>
    </w:p>
    <w:p>
      <w:pPr>
        <w:pStyle w:val="ListBullet"/>
      </w:pPr>
      <w:r>
        <w:rPr>
          <w:rFonts w:ascii="Arial" w:hAnsi="Arial"/>
          <w:sz w:val="22"/>
        </w:rPr>
        <w:t>HistGradientBoosting is the best Phase 3 model at 0.7193 Val AUC-ROC and beats the Phase 3 LR by ~0.006. It sits slightly below the Phase 2 HGB (0.7233) because it trains on a 200k stratified sample rather than the full 1.1M training loans.</w:t>
      </w:r>
    </w:p>
    <w:p>
      <w:pPr>
        <w:spacing w:before="240" w:after="80"/>
      </w:pPr>
      <w:r>
        <w:rPr>
          <w:rFonts w:ascii="Arial" w:hAnsi="Arial"/>
          <w:b/>
          <w:sz w:val="24"/>
        </w:rPr>
        <w:t>Confusion matrix for best Phase 3 model (HistGradientBoosting, threshold = 0.5)</w:t>
      </w:r>
    </w:p>
    <w:p>
      <w:pPr>
        <w:spacing w:after="120"/>
      </w:pPr>
      <w:r>
        <w:rPr>
          <w:rFonts w:ascii="Arial" w:hAnsi="Arial"/>
          <w:i w:val="0"/>
          <w:sz w:val="22"/>
        </w:rPr>
        <w:t>For risk-ranking use cases the ROC AUC of 0.7193 matters more than any single threshold - investors would sort loans by predicted probability and fund the top tranches rather than apply a hard 0.5 cutoff. The confusion matrix below shows what happens at the default threshold, which is informative for understanding calibration.</w:t>
      </w:r>
    </w:p>
    <w:p>
      <w:pPr>
        <w:spacing w:after="120"/>
      </w:pPr>
      <w:r>
        <w:rPr>
          <w:rFonts w:ascii="Arial" w:hAnsi="Arial"/>
          <w:i w:val="0"/>
          <w:sz w:val="22"/>
        </w:rPr>
        <w:t>Saved artifacts: the best fitted scikit-learn pipeline (HistGradientBoosting) is written to /tmp/phase3/phase3_best_histgradientboosting.joblib, and the tuned Logistic Regression is saved to /tmp/phase3/phase3_logreg.joblib for reuse in notebook 05.</w:t>
      </w:r>
    </w:p>
    <w:p>
      <w:pPr>
        <w:spacing w:before="240" w:after="80"/>
      </w:pPr>
      <w:r>
        <w:rPr>
          <w:rFonts w:ascii="Arial" w:hAnsi="Arial"/>
          <w:b/>
          <w:sz w:val="30"/>
        </w:rPr>
        <w:t>3. Additional Data Source - FRED Macroeconomic Data</w:t>
      </w:r>
    </w:p>
    <w:p>
      <w:pPr>
        <w:spacing w:after="120"/>
      </w:pPr>
      <w:r>
        <w:rPr>
          <w:rFonts w:ascii="Arial" w:hAnsi="Arial"/>
          <w:i w:val="0"/>
          <w:sz w:val="22"/>
        </w:rPr>
        <w:t>For Task 2 we integrated Federal Reserve Economic Data (FRED). The hypothesis: borrower defaults depend on the macro environment at the time of loan issuance, not just borrower attributes. FRED is public, free, and served directly as CSV without authentication, which makes it easy for graders to reproduce our work.</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1296"/>
            <w:shd w:fill="D5E8F0"/>
            <w:vAlign w:val="center"/>
          </w:tcPr>
          <w:p>
            <w:r/>
            <w:r>
              <w:rPr>
                <w:rFonts w:ascii="Arial" w:hAnsi="Arial"/>
                <w:b/>
                <w:sz w:val="20"/>
              </w:rPr>
              <w:t>Series ID</w:t>
            </w:r>
          </w:p>
        </w:tc>
        <w:tc>
          <w:tcPr>
            <w:tcW w:type="dxa" w:w="4176"/>
            <w:shd w:fill="D5E8F0"/>
            <w:vAlign w:val="center"/>
          </w:tcPr>
          <w:p>
            <w:r/>
            <w:r>
              <w:rPr>
                <w:rFonts w:ascii="Arial" w:hAnsi="Arial"/>
                <w:b/>
                <w:sz w:val="20"/>
              </w:rPr>
              <w:t>What it measures</w:t>
            </w:r>
          </w:p>
        </w:tc>
        <w:tc>
          <w:tcPr>
            <w:tcW w:type="dxa" w:w="1440"/>
            <w:shd w:fill="D5E8F0"/>
            <w:vAlign w:val="center"/>
          </w:tcPr>
          <w:p>
            <w:r/>
            <w:r>
              <w:rPr>
                <w:rFonts w:ascii="Arial" w:hAnsi="Arial"/>
                <w:b/>
                <w:sz w:val="20"/>
              </w:rPr>
              <w:t>Frequency</w:t>
            </w:r>
          </w:p>
        </w:tc>
        <w:tc>
          <w:tcPr>
            <w:tcW w:type="dxa" w:w="2448"/>
            <w:shd w:fill="D5E8F0"/>
            <w:vAlign w:val="center"/>
          </w:tcPr>
          <w:p>
            <w:r/>
            <w:r>
              <w:rPr>
                <w:rFonts w:ascii="Arial" w:hAnsi="Arial"/>
                <w:b/>
                <w:sz w:val="20"/>
              </w:rPr>
              <w:t>Join key</w:t>
            </w:r>
          </w:p>
        </w:tc>
      </w:tr>
      <w:tr>
        <w:tc>
          <w:tcPr>
            <w:tcW w:type="dxa" w:w="1296"/>
            <w:vAlign w:val="center"/>
          </w:tcPr>
          <w:p>
            <w:r/>
            <w:r>
              <w:rPr>
                <w:rFonts w:ascii="Arial" w:hAnsi="Arial"/>
                <w:b w:val="0"/>
                <w:sz w:val="20"/>
              </w:rPr>
              <w:t>UNRATE</w:t>
            </w:r>
          </w:p>
        </w:tc>
        <w:tc>
          <w:tcPr>
            <w:tcW w:type="dxa" w:w="4176"/>
            <w:vAlign w:val="center"/>
          </w:tcPr>
          <w:p>
            <w:r/>
            <w:r>
              <w:rPr>
                <w:rFonts w:ascii="Arial" w:hAnsi="Arial"/>
                <w:b w:val="0"/>
                <w:sz w:val="20"/>
              </w:rPr>
              <w:t>US civilian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w:t>
            </w:r>
          </w:p>
        </w:tc>
      </w:tr>
      <w:tr>
        <w:tc>
          <w:tcPr>
            <w:tcW w:type="dxa" w:w="1296"/>
            <w:vAlign w:val="center"/>
          </w:tcPr>
          <w:p>
            <w:r/>
            <w:r>
              <w:rPr>
                <w:rFonts w:ascii="Arial" w:hAnsi="Arial"/>
                <w:b w:val="0"/>
                <w:sz w:val="20"/>
              </w:rPr>
              <w:t>FEDFUNDS</w:t>
            </w:r>
          </w:p>
        </w:tc>
        <w:tc>
          <w:tcPr>
            <w:tcW w:type="dxa" w:w="4176"/>
            <w:vAlign w:val="center"/>
          </w:tcPr>
          <w:p>
            <w:r/>
            <w:r>
              <w:rPr>
                <w:rFonts w:ascii="Arial" w:hAnsi="Arial"/>
                <w:b w:val="0"/>
                <w:sz w:val="20"/>
              </w:rPr>
              <w:t>Effective federal funds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w:t>
            </w:r>
          </w:p>
        </w:tc>
      </w:tr>
      <w:tr>
        <w:tc>
          <w:tcPr>
            <w:tcW w:type="dxa" w:w="1296"/>
            <w:vAlign w:val="center"/>
          </w:tcPr>
          <w:p>
            <w:r/>
            <w:r>
              <w:rPr>
                <w:rFonts w:ascii="Arial" w:hAnsi="Arial"/>
                <w:b w:val="0"/>
                <w:sz w:val="20"/>
              </w:rPr>
              <w:t>CPIAUCSL</w:t>
            </w:r>
          </w:p>
        </w:tc>
        <w:tc>
          <w:tcPr>
            <w:tcW w:type="dxa" w:w="4176"/>
            <w:vAlign w:val="center"/>
          </w:tcPr>
          <w:p>
            <w:r/>
            <w:r>
              <w:rPr>
                <w:rFonts w:ascii="Arial" w:hAnsi="Arial"/>
                <w:b w:val="0"/>
                <w:sz w:val="20"/>
              </w:rPr>
              <w:t>Consumer Price Index, all urban</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w:t>
            </w:r>
          </w:p>
        </w:tc>
      </w:tr>
      <w:tr>
        <w:tc>
          <w:tcPr>
            <w:tcW w:type="dxa" w:w="1296"/>
            <w:vAlign w:val="center"/>
          </w:tcPr>
          <w:p>
            <w:r/>
            <w:r>
              <w:rPr>
                <w:rFonts w:ascii="Arial" w:hAnsi="Arial"/>
                <w:b w:val="0"/>
                <w:sz w:val="20"/>
              </w:rPr>
              <w:t>CAUR</w:t>
            </w:r>
          </w:p>
        </w:tc>
        <w:tc>
          <w:tcPr>
            <w:tcW w:type="dxa" w:w="4176"/>
            <w:vAlign w:val="center"/>
          </w:tcPr>
          <w:p>
            <w:r/>
            <w:r>
              <w:rPr>
                <w:rFonts w:ascii="Arial" w:hAnsi="Arial"/>
                <w:b w:val="0"/>
                <w:sz w:val="20"/>
              </w:rPr>
              <w:t>California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 + addr_state</w:t>
            </w:r>
          </w:p>
        </w:tc>
      </w:tr>
      <w:tr>
        <w:tc>
          <w:tcPr>
            <w:tcW w:type="dxa" w:w="1296"/>
            <w:vAlign w:val="center"/>
          </w:tcPr>
          <w:p>
            <w:r/>
            <w:r>
              <w:rPr>
                <w:rFonts w:ascii="Arial" w:hAnsi="Arial"/>
                <w:b w:val="0"/>
                <w:sz w:val="20"/>
              </w:rPr>
              <w:t>TXUR</w:t>
            </w:r>
          </w:p>
        </w:tc>
        <w:tc>
          <w:tcPr>
            <w:tcW w:type="dxa" w:w="4176"/>
            <w:vAlign w:val="center"/>
          </w:tcPr>
          <w:p>
            <w:r/>
            <w:r>
              <w:rPr>
                <w:rFonts w:ascii="Arial" w:hAnsi="Arial"/>
                <w:b w:val="0"/>
                <w:sz w:val="20"/>
              </w:rPr>
              <w:t>Texas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 + addr_state</w:t>
            </w:r>
          </w:p>
        </w:tc>
      </w:tr>
      <w:tr>
        <w:tc>
          <w:tcPr>
            <w:tcW w:type="dxa" w:w="1296"/>
            <w:vAlign w:val="center"/>
          </w:tcPr>
          <w:p>
            <w:r/>
            <w:r>
              <w:rPr>
                <w:rFonts w:ascii="Arial" w:hAnsi="Arial"/>
                <w:b w:val="0"/>
                <w:sz w:val="20"/>
              </w:rPr>
              <w:t>NYUR</w:t>
            </w:r>
          </w:p>
        </w:tc>
        <w:tc>
          <w:tcPr>
            <w:tcW w:type="dxa" w:w="4176"/>
            <w:vAlign w:val="center"/>
          </w:tcPr>
          <w:p>
            <w:r/>
            <w:r>
              <w:rPr>
                <w:rFonts w:ascii="Arial" w:hAnsi="Arial"/>
                <w:b w:val="0"/>
                <w:sz w:val="20"/>
              </w:rPr>
              <w:t>New York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 + addr_state</w:t>
            </w:r>
          </w:p>
        </w:tc>
      </w:tr>
      <w:tr>
        <w:tc>
          <w:tcPr>
            <w:tcW w:type="dxa" w:w="1296"/>
            <w:vAlign w:val="center"/>
          </w:tcPr>
          <w:p>
            <w:r/>
            <w:r>
              <w:rPr>
                <w:rFonts w:ascii="Arial" w:hAnsi="Arial"/>
                <w:b w:val="0"/>
                <w:sz w:val="20"/>
              </w:rPr>
              <w:t>FLUR</w:t>
            </w:r>
          </w:p>
        </w:tc>
        <w:tc>
          <w:tcPr>
            <w:tcW w:type="dxa" w:w="4176"/>
            <w:vAlign w:val="center"/>
          </w:tcPr>
          <w:p>
            <w:r/>
            <w:r>
              <w:rPr>
                <w:rFonts w:ascii="Arial" w:hAnsi="Arial"/>
                <w:b w:val="0"/>
                <w:sz w:val="20"/>
              </w:rPr>
              <w:t>Florida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 + addr_state</w:t>
            </w:r>
          </w:p>
        </w:tc>
      </w:tr>
      <w:tr>
        <w:tc>
          <w:tcPr>
            <w:tcW w:type="dxa" w:w="1296"/>
            <w:vAlign w:val="center"/>
          </w:tcPr>
          <w:p>
            <w:r/>
            <w:r>
              <w:rPr>
                <w:rFonts w:ascii="Arial" w:hAnsi="Arial"/>
                <w:b w:val="0"/>
                <w:sz w:val="20"/>
              </w:rPr>
              <w:t>ILUR</w:t>
            </w:r>
          </w:p>
        </w:tc>
        <w:tc>
          <w:tcPr>
            <w:tcW w:type="dxa" w:w="4176"/>
            <w:vAlign w:val="center"/>
          </w:tcPr>
          <w:p>
            <w:r/>
            <w:r>
              <w:rPr>
                <w:rFonts w:ascii="Arial" w:hAnsi="Arial"/>
                <w:b w:val="0"/>
                <w:sz w:val="20"/>
              </w:rPr>
              <w:t>Illinois unemployment rate</w:t>
            </w:r>
          </w:p>
        </w:tc>
        <w:tc>
          <w:tcPr>
            <w:tcW w:type="dxa" w:w="1440"/>
            <w:vAlign w:val="center"/>
          </w:tcPr>
          <w:p>
            <w:r/>
            <w:r>
              <w:rPr>
                <w:rFonts w:ascii="Arial" w:hAnsi="Arial"/>
                <w:b w:val="0"/>
                <w:sz w:val="20"/>
              </w:rPr>
              <w:t>monthly</w:t>
            </w:r>
          </w:p>
        </w:tc>
        <w:tc>
          <w:tcPr>
            <w:tcW w:type="dxa" w:w="2448"/>
            <w:vAlign w:val="center"/>
          </w:tcPr>
          <w:p>
            <w:r/>
            <w:r>
              <w:rPr>
                <w:rFonts w:ascii="Arial" w:hAnsi="Arial"/>
                <w:b w:val="0"/>
                <w:sz w:val="20"/>
              </w:rPr>
              <w:t>year_month + addr_state</w:t>
            </w:r>
          </w:p>
        </w:tc>
      </w:tr>
    </w:tbl>
    <w:p>
      <w:pPr>
        <w:spacing w:after="120"/>
      </w:pPr>
      <w:r>
        <w:rPr>
          <w:rFonts w:ascii="Arial" w:hAnsi="Arial"/>
          <w:i w:val="0"/>
          <w:sz w:val="22"/>
        </w:rPr>
        <w:t>The same Bronze / Silver / Gold pattern applied to the macro data. Bronze holds raw series in long form; Silver pivots to wide form with one row per year_month and adds a derived CPI_YOY inflation-rate feature (12-month change in CPI). Gold joins macro to silver_loans on year_month, looks up each borrower's state-specific unemployment rate via a CASE expression on addr_state (falling back to UNRATE for states outside the top 5), and derives two more features - real_int_rate (int_rate minus CPI_YOY) and rate_spread (int_rate minus FEDFUNDS). The resulting table is workspace.default.gold_loans_macro.</w:t>
      </w:r>
    </w:p>
    <w:p>
      <w:pPr>
        <w:spacing w:before="240" w:after="80"/>
      </w:pPr>
      <w:r>
        <w:rPr>
          <w:rFonts w:ascii="Arial" w:hAnsi="Arial"/>
          <w:b/>
          <w:sz w:val="24"/>
        </w:rPr>
        <w:t>Insight 1 - default rate vs national unemployment at issuance</w:t>
      </w:r>
    </w:p>
    <w:p>
      <w:pPr>
        <w:spacing w:after="120"/>
      </w:pPr>
      <w:r>
        <w:rPr>
          <w:rFonts w:ascii="Arial" w:hAnsi="Arial"/>
          <w:i w:val="0"/>
          <w:sz w:val="22"/>
        </w:rPr>
        <w:t>Binning all loans by UNRATE in their issue month shows a counterintuitive pattern: loans issued when national unemployment was lower defaulted at higher rates. Loans issued at the 4.1% UNRATE bin default at ~24%, while loans issued at the 6.7% bin default at only ~17%. The likely explanation is late-cycle credit loosening: 2014 issuances (high unemployment, early recovery) came with tighter underwriting, while 2016-2017 issuances (low unemployment, late cycle) saw looser credit standards.</w:t>
      </w:r>
    </w:p>
    <w:p>
      <w:pPr>
        <w:spacing w:before="240" w:after="80"/>
      </w:pPr>
      <w:r>
        <w:rPr>
          <w:rFonts w:ascii="Arial" w:hAnsi="Arial"/>
          <w:b/>
          <w:sz w:val="24"/>
        </w:rPr>
        <w:t>Insight 2 - grade x Fed Funds regime interaction</w:t>
      </w:r>
    </w:p>
    <w:p>
      <w:pPr>
        <w:spacing w:after="120"/>
      </w:pPr>
      <w:r>
        <w:rPr>
          <w:rFonts w:ascii="Arial" w:hAnsi="Arial"/>
          <w:i w:val="0"/>
          <w:sz w:val="22"/>
        </w:rPr>
        <w:t>We split loans into a low-rate regime (FEDFUNDS &lt;= 0.5%) and a high-rate regime (FEDFUNDS &gt; 0.5%) and plotted default rate by sub_grade in both regimes. The two curves sit almost on top of each other: at every grade from A1 through G5, the default rate is dominated by the sub-grade itself, not the rate environment. Lending Club's internal risk grading is a much stronger signal than external monetary conditions for this data window.</w:t>
      </w:r>
    </w:p>
    <w:p>
      <w:pPr>
        <w:spacing w:before="240" w:after="80"/>
      </w:pPr>
      <w:r>
        <w:rPr>
          <w:rFonts w:ascii="Arial" w:hAnsi="Arial"/>
          <w:b/>
          <w:sz w:val="24"/>
        </w:rPr>
        <w:t>Insight 3 - state-level unemployment differential</w:t>
      </w:r>
    </w:p>
    <w:p>
      <w:pPr>
        <w:spacing w:after="120"/>
      </w:pPr>
      <w:r>
        <w:rPr>
          <w:rFonts w:ascii="Arial" w:hAnsi="Arial"/>
          <w:i w:val="0"/>
          <w:sz w:val="22"/>
        </w:rPr>
        <w:t>For borrowers in the five largest Lending Club states (CA, TX, NY, FL, IL), we computed the gap between state unemployment and the national rate at issuance, and plotted default rate against this gap. States where unemployment was running above the national average show slightly higher default rates; states below the average show slightly lower rates. The effect is smaller than the sub-grade effect but consistent across all five states, which suggests local labor-market conditions carry some predictive signal after grade is accounted for.</w:t>
      </w:r>
    </w:p>
    <w:p>
      <w:pPr>
        <w:spacing w:before="240" w:after="80"/>
      </w:pPr>
      <w:r>
        <w:rPr>
          <w:rFonts w:ascii="Arial" w:hAnsi="Arial"/>
          <w:b/>
          <w:sz w:val="24"/>
        </w:rPr>
        <w:t>Combined-features model</w:t>
      </w:r>
    </w:p>
    <w:p>
      <w:pPr>
        <w:spacing w:after="120"/>
      </w:pPr>
      <w:r>
        <w:rPr>
          <w:rFonts w:ascii="Arial" w:hAnsi="Arial"/>
          <w:i w:val="0"/>
          <w:sz w:val="22"/>
        </w:rPr>
        <w:t>We retrained the same logistic regression pipeline with UNRATE, FEDFUNDS, CPIAUCSL, CPI_YOY, state_unrate, real_int_rate, and rate_spread appended to the numeric feature set. Val AUC-ROC moved from 0.7136 to 0.7131 - effectively no change. The macro features are highly correlated with issue_d, so a linear model that already sees term, sub_grade, int_rate, and installment has little room to extract incremental signal from them. Section 4 discusses why this does not mean the FRED features are useless.</w:t>
      </w:r>
    </w:p>
    <w:p>
      <w:pPr>
        <w:spacing w:before="240" w:after="80"/>
      </w:pPr>
      <w:r>
        <w:rPr>
          <w:rFonts w:ascii="Arial" w:hAnsi="Arial"/>
          <w:b/>
          <w:sz w:val="30"/>
        </w:rPr>
        <w:t>4. Challenges and Lessons Learned</w:t>
      </w:r>
    </w:p>
    <w:p>
      <w:pPr>
        <w:spacing w:before="240" w:after="80"/>
      </w:pPr>
      <w:r>
        <w:rPr>
          <w:rFonts w:ascii="Arial" w:hAnsi="Arial"/>
          <w:b/>
          <w:sz w:val="24"/>
        </w:rPr>
        <w:t>Community Edition was renamed, and the new tier blocks MLlib</w:t>
      </w:r>
    </w:p>
    <w:p>
      <w:pPr>
        <w:spacing w:after="120"/>
      </w:pPr>
      <w:r>
        <w:rPr>
          <w:rFonts w:ascii="Arial" w:hAnsi="Arial"/>
          <w:i w:val="0"/>
          <w:sz w:val="22"/>
        </w:rPr>
        <w:t>The Phase 3 spec explicitly allows Databricks Community Edition. In 2025, Databricks renamed Community Edition to Free Edition and migrated the underlying compute from classic single-node clusters to a serverless model. Signing up for Community Edition today routes you to Free Edition - there is no older-style tier available for new accounts. This is a platform change that post-dates the Phase 3 spec and was not anticipated in the course instructions.</w:t>
      </w:r>
    </w:p>
    <w:p>
      <w:pPr>
        <w:spacing w:after="120"/>
      </w:pPr>
      <w:r>
        <w:rPr>
          <w:rFonts w:ascii="Arial" w:hAnsi="Arial"/>
          <w:i w:val="0"/>
          <w:sz w:val="22"/>
        </w:rPr>
        <w:t>Free Edition's serverless compute enforces a Py4J security whitelist that rejects the Java constructors for several traditional Spark MLlib feature classes. Instantiating Imputer on our cluster raises Py4JSecurityException: 'Constructor public org.apache.spark.ml.feature.Imputer(java.lang.String) is not whitelisted' - the same error appears for StringIndexer and OneHotEncoder. The Compute page on Free Edition only lists SQL warehouses and serverless - there is no option to create a classic single-node cluster - so an end-to-end pyspark.ml pipeline cannot run on the tier the course allows.</w:t>
      </w:r>
    </w:p>
    <w:p>
      <w:pPr>
        <w:spacing w:after="120"/>
      </w:pPr>
      <w:r>
        <w:rPr>
          <w:rFonts w:ascii="Arial" w:hAnsi="Arial"/>
          <w:i w:val="0"/>
          <w:sz w:val="22"/>
        </w:rPr>
        <w:t>Our workaround was to keep the scalable data work in Spark + Delta (Bronze, Silver, Gold all run pure Spark on this serverless cluster) and pull the ~200k-row Gold training set into pandas for the final model-fit step, using scikit-learn's equivalent API. Cross-validation is handled by sklearn's GridSearchCV, which fills the role of MLlib's CrossValidator. This preserves the spirit of the MLlib requirement - a scalable Spark-based pipeline with cross-validated model training - within the constraints of the allowed platform tier. In future work we would either request access to a paid Databricks tier with classic clusters, or run a local Spark cluster for the model-fit step.</w:t>
      </w:r>
    </w:p>
    <w:p>
      <w:pPr>
        <w:spacing w:before="240" w:after="80"/>
      </w:pPr>
      <w:r>
        <w:rPr>
          <w:rFonts w:ascii="Arial" w:hAnsi="Arial"/>
          <w:b/>
          <w:sz w:val="24"/>
        </w:rPr>
        <w:t>Counterintuitive macro finding</w:t>
      </w:r>
    </w:p>
    <w:p>
      <w:pPr>
        <w:spacing w:after="120"/>
      </w:pPr>
      <w:r>
        <w:rPr>
          <w:rFonts w:ascii="Arial" w:hAnsi="Arial"/>
          <w:i w:val="0"/>
          <w:sz w:val="22"/>
        </w:rPr>
        <w:t>We expected default rate to rise with unemployment. It fell. The explanation - that loose credit policy in late-cycle, low-unemployment years produced lower-quality borrowers - is a known pattern in consumer credit, but we had to discover it from the data rather than anticipate it. This was a useful reminder that macro features are often confounded with vintage effects in cohort analyses, and that a conditioning step on issuance year may be needed before drawing conclusions about unemployment's direct effect on defaults.</w:t>
      </w:r>
    </w:p>
    <w:p>
      <w:pPr>
        <w:spacing w:before="240" w:after="80"/>
      </w:pPr>
      <w:r>
        <w:rPr>
          <w:rFonts w:ascii="Arial" w:hAnsi="Arial"/>
          <w:b/>
          <w:sz w:val="24"/>
        </w:rPr>
        <w:t>Macro features in linear models</w:t>
      </w:r>
    </w:p>
    <w:p>
      <w:pPr>
        <w:spacing w:after="120"/>
      </w:pPr>
      <w:r>
        <w:rPr>
          <w:rFonts w:ascii="Arial" w:hAnsi="Arial"/>
          <w:i w:val="0"/>
          <w:sz w:val="22"/>
        </w:rPr>
        <w:t>Adding the FRED features did not improve logistic regression's Val AUC-ROC. This is not because the features are uninformative - the insights above show they carry real signal - but because they are highly correlated with the loan-level features the model already sees, and because logistic regression cannot express the threshold and interaction effects (e.g. 'default spikes only when state unemployment is &gt;2 points above national AND grade is worse than C') that would benefit from macro features. A tree ensemble such as XGBoost or Random Forest would likely show a larger uplift.</w:t>
      </w:r>
    </w:p>
    <w:p>
      <w:pPr>
        <w:spacing w:before="240" w:after="80"/>
      </w:pPr>
      <w:r>
        <w:rPr>
          <w:rFonts w:ascii="Arial" w:hAnsi="Arial"/>
          <w:b/>
          <w:sz w:val="24"/>
        </w:rPr>
        <w:t>What we would do differently</w:t>
      </w:r>
    </w:p>
    <w:p>
      <w:pPr>
        <w:pStyle w:val="ListBullet"/>
      </w:pPr>
      <w:r>
        <w:rPr>
          <w:rFonts w:ascii="Arial" w:hAnsi="Arial"/>
          <w:sz w:val="22"/>
        </w:rPr>
        <w:t>Verify full library compatibility with the target runtime before building the pipeline.</w:t>
      </w:r>
    </w:p>
    <w:p>
      <w:pPr>
        <w:pStyle w:val="ListBullet"/>
      </w:pPr>
      <w:r>
        <w:rPr>
          <w:rFonts w:ascii="Arial" w:hAnsi="Arial"/>
          <w:sz w:val="22"/>
        </w:rPr>
        <w:t>Use a tree model (GBT / XGBoost) for the combined-features experiment - linear models cannot capture the non-linear interactions that make macro features useful.</w:t>
      </w:r>
    </w:p>
    <w:p>
      <w:pPr>
        <w:pStyle w:val="ListBullet"/>
      </w:pPr>
      <w:r>
        <w:rPr>
          <w:rFonts w:ascii="Arial" w:hAnsi="Arial"/>
          <w:sz w:val="22"/>
        </w:rPr>
        <w:t>Add a vintage-adjusted view of default rate (i.e. maturity curves by issue quarter) to disentangle macro effects from loans having less time to mature.</w:t>
      </w:r>
    </w:p>
    <w:p>
      <w:pPr>
        <w:pStyle w:val="ListBullet"/>
      </w:pPr>
      <w:r>
        <w:rPr>
          <w:rFonts w:ascii="Arial" w:hAnsi="Arial"/>
          <w:sz w:val="22"/>
        </w:rPr>
        <w:t>Invest more in state-level granularity - the current state_unrate falls back to the national rate for 46 states and probably washes out otherwise-strong local signals.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