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606B5A" w:rsidRPr="00D11731" w:rsidRDefault="00A1118E">
      <w:pPr>
        <w:spacing w:before="240" w:after="240"/>
        <w:jc w:val="center"/>
        <w:rPr>
          <w:rFonts w:ascii="Times New Roman" w:hAnsi="Times New Roman" w:cs="Times New Roman"/>
          <w:b/>
          <w:sz w:val="72"/>
          <w:szCs w:val="72"/>
        </w:rPr>
      </w:pPr>
      <w:r w:rsidRPr="00D11731">
        <w:rPr>
          <w:rFonts w:ascii="Times New Roman" w:hAnsi="Times New Roman" w:cs="Times New Roman"/>
          <w:b/>
          <w:sz w:val="72"/>
          <w:szCs w:val="72"/>
        </w:rPr>
        <w:t xml:space="preserve"> </w:t>
      </w:r>
    </w:p>
    <w:p w14:paraId="00000002" w14:textId="0D96A6B5" w:rsidR="00606B5A" w:rsidRPr="00D11731" w:rsidRDefault="00A1118E">
      <w:pPr>
        <w:spacing w:before="240" w:after="240"/>
        <w:jc w:val="center"/>
        <w:rPr>
          <w:rFonts w:ascii="Times New Roman" w:hAnsi="Times New Roman" w:cs="Times New Roman"/>
          <w:b/>
          <w:sz w:val="72"/>
          <w:szCs w:val="72"/>
        </w:rPr>
      </w:pPr>
      <w:r w:rsidRPr="00D11731">
        <w:rPr>
          <w:rFonts w:ascii="Times New Roman" w:hAnsi="Times New Roman" w:cs="Times New Roman"/>
          <w:b/>
          <w:sz w:val="72"/>
          <w:szCs w:val="72"/>
        </w:rPr>
        <w:t xml:space="preserve">Written Submission for the Pre-Budget Consultations in Advance of the Upcoming </w:t>
      </w:r>
      <w:r w:rsidR="00BF31EB">
        <w:rPr>
          <w:rFonts w:ascii="Times New Roman" w:hAnsi="Times New Roman" w:cs="Times New Roman"/>
          <w:b/>
          <w:sz w:val="72"/>
          <w:szCs w:val="72"/>
        </w:rPr>
        <w:t xml:space="preserve">2025 </w:t>
      </w:r>
      <w:r w:rsidRPr="00D11731">
        <w:rPr>
          <w:rFonts w:ascii="Times New Roman" w:hAnsi="Times New Roman" w:cs="Times New Roman"/>
          <w:b/>
          <w:sz w:val="72"/>
          <w:szCs w:val="72"/>
        </w:rPr>
        <w:t>Federal Budget</w:t>
      </w:r>
    </w:p>
    <w:p w14:paraId="00000004" w14:textId="56FE012B" w:rsidR="00606B5A" w:rsidRPr="00D11731" w:rsidRDefault="00A1118E" w:rsidP="00416F53">
      <w:pPr>
        <w:spacing w:before="240" w:after="240"/>
        <w:rPr>
          <w:rFonts w:ascii="Times New Roman" w:hAnsi="Times New Roman" w:cs="Times New Roman"/>
          <w:b/>
          <w:sz w:val="72"/>
          <w:szCs w:val="72"/>
        </w:rPr>
      </w:pPr>
      <w:r w:rsidRPr="00D11731">
        <w:rPr>
          <w:rFonts w:ascii="Times New Roman" w:hAnsi="Times New Roman" w:cs="Times New Roman"/>
          <w:b/>
          <w:sz w:val="72"/>
          <w:szCs w:val="72"/>
        </w:rPr>
        <w:t xml:space="preserve"> </w:t>
      </w:r>
    </w:p>
    <w:p w14:paraId="00000005" w14:textId="44A6BEEA" w:rsidR="00606B5A" w:rsidRPr="00D11731" w:rsidRDefault="00A1118E" w:rsidP="00F859A9">
      <w:pPr>
        <w:spacing w:before="240" w:after="240"/>
        <w:jc w:val="center"/>
        <w:rPr>
          <w:rFonts w:ascii="Times New Roman" w:hAnsi="Times New Roman" w:cs="Times New Roman"/>
          <w:b/>
          <w:sz w:val="72"/>
          <w:szCs w:val="72"/>
        </w:rPr>
      </w:pPr>
      <w:r w:rsidRPr="00D11731">
        <w:rPr>
          <w:rFonts w:ascii="Times New Roman" w:hAnsi="Times New Roman" w:cs="Times New Roman"/>
          <w:b/>
          <w:sz w:val="72"/>
          <w:szCs w:val="72"/>
        </w:rPr>
        <w:t>By: F</w:t>
      </w:r>
      <w:r w:rsidR="008D1FF7">
        <w:rPr>
          <w:rFonts w:ascii="Times New Roman" w:hAnsi="Times New Roman" w:cs="Times New Roman"/>
          <w:b/>
          <w:sz w:val="72"/>
          <w:szCs w:val="72"/>
        </w:rPr>
        <w:t xml:space="preserve">inancial </w:t>
      </w:r>
      <w:r w:rsidRPr="00D11731">
        <w:rPr>
          <w:rFonts w:ascii="Times New Roman" w:hAnsi="Times New Roman" w:cs="Times New Roman"/>
          <w:b/>
          <w:sz w:val="72"/>
          <w:szCs w:val="72"/>
        </w:rPr>
        <w:t>D</w:t>
      </w:r>
      <w:r w:rsidR="008D1FF7">
        <w:rPr>
          <w:rFonts w:ascii="Times New Roman" w:hAnsi="Times New Roman" w:cs="Times New Roman"/>
          <w:b/>
          <w:sz w:val="72"/>
          <w:szCs w:val="72"/>
        </w:rPr>
        <w:t xml:space="preserve">ata and </w:t>
      </w:r>
      <w:r w:rsidRPr="00D11731">
        <w:rPr>
          <w:rFonts w:ascii="Times New Roman" w:hAnsi="Times New Roman" w:cs="Times New Roman"/>
          <w:b/>
          <w:sz w:val="72"/>
          <w:szCs w:val="72"/>
        </w:rPr>
        <w:t>T</w:t>
      </w:r>
      <w:r w:rsidR="008D1FF7">
        <w:rPr>
          <w:rFonts w:ascii="Times New Roman" w:hAnsi="Times New Roman" w:cs="Times New Roman"/>
          <w:b/>
          <w:sz w:val="72"/>
          <w:szCs w:val="72"/>
        </w:rPr>
        <w:t xml:space="preserve">echnology </w:t>
      </w:r>
      <w:r w:rsidRPr="00D11731">
        <w:rPr>
          <w:rFonts w:ascii="Times New Roman" w:hAnsi="Times New Roman" w:cs="Times New Roman"/>
          <w:b/>
          <w:sz w:val="72"/>
          <w:szCs w:val="72"/>
        </w:rPr>
        <w:t>A</w:t>
      </w:r>
      <w:r w:rsidR="008D1FF7">
        <w:rPr>
          <w:rFonts w:ascii="Times New Roman" w:hAnsi="Times New Roman" w:cs="Times New Roman"/>
          <w:b/>
          <w:sz w:val="72"/>
          <w:szCs w:val="72"/>
        </w:rPr>
        <w:t>ssociation (FDATA)</w:t>
      </w:r>
    </w:p>
    <w:p w14:paraId="00000007" w14:textId="341F929F" w:rsidR="00606B5A" w:rsidRPr="00D11731" w:rsidRDefault="00A1118E">
      <w:pPr>
        <w:spacing w:before="240" w:after="240"/>
        <w:rPr>
          <w:rFonts w:ascii="Times New Roman" w:hAnsi="Times New Roman" w:cs="Times New Roman"/>
          <w:b/>
          <w:sz w:val="72"/>
          <w:szCs w:val="72"/>
        </w:rPr>
      </w:pPr>
      <w:r w:rsidRPr="00D11731">
        <w:rPr>
          <w:rFonts w:ascii="Times New Roman" w:hAnsi="Times New Roman" w:cs="Times New Roman"/>
          <w:b/>
          <w:sz w:val="72"/>
          <w:szCs w:val="72"/>
        </w:rPr>
        <w:t xml:space="preserve"> </w:t>
      </w:r>
    </w:p>
    <w:p w14:paraId="00000008" w14:textId="77777777" w:rsidR="00606B5A" w:rsidRPr="00D11731" w:rsidRDefault="00606B5A">
      <w:pPr>
        <w:spacing w:before="240" w:after="240"/>
        <w:rPr>
          <w:rFonts w:ascii="Times New Roman" w:hAnsi="Times New Roman" w:cs="Times New Roman"/>
          <w:b/>
          <w:sz w:val="24"/>
          <w:szCs w:val="24"/>
        </w:rPr>
      </w:pPr>
    </w:p>
    <w:p w14:paraId="2C314DDA" w14:textId="77777777" w:rsidR="00D11731" w:rsidRDefault="00D11731">
      <w:pPr>
        <w:spacing w:before="240" w:after="240"/>
        <w:rPr>
          <w:rFonts w:ascii="Times New Roman" w:hAnsi="Times New Roman" w:cs="Times New Roman"/>
          <w:b/>
          <w:sz w:val="28"/>
          <w:szCs w:val="28"/>
          <w:u w:val="single"/>
        </w:rPr>
      </w:pPr>
    </w:p>
    <w:p w14:paraId="43C7F747" w14:textId="77777777" w:rsidR="00D11731" w:rsidRDefault="00D11731">
      <w:pPr>
        <w:spacing w:before="240" w:after="240"/>
        <w:rPr>
          <w:rFonts w:ascii="Times New Roman" w:hAnsi="Times New Roman" w:cs="Times New Roman"/>
          <w:b/>
          <w:sz w:val="28"/>
          <w:szCs w:val="28"/>
          <w:u w:val="single"/>
        </w:rPr>
      </w:pPr>
    </w:p>
    <w:p w14:paraId="00000009" w14:textId="7A84629C" w:rsidR="00606B5A" w:rsidRPr="00D11731" w:rsidRDefault="00A1118E">
      <w:pPr>
        <w:spacing w:before="240" w:after="240"/>
        <w:rPr>
          <w:rFonts w:ascii="Times New Roman" w:hAnsi="Times New Roman" w:cs="Times New Roman"/>
          <w:b/>
          <w:sz w:val="28"/>
          <w:szCs w:val="28"/>
        </w:rPr>
      </w:pPr>
      <w:r w:rsidRPr="00D11731">
        <w:rPr>
          <w:rFonts w:ascii="Times New Roman" w:hAnsi="Times New Roman" w:cs="Times New Roman"/>
          <w:b/>
          <w:sz w:val="28"/>
          <w:szCs w:val="28"/>
          <w:u w:val="single"/>
        </w:rPr>
        <w:t>Summary of Recommendations</w:t>
      </w:r>
    </w:p>
    <w:p w14:paraId="452C42B3" w14:textId="6A940777" w:rsidR="00364DB4" w:rsidRDefault="00A1118E" w:rsidP="00AA0DFC">
      <w:pPr>
        <w:spacing w:before="240" w:after="240"/>
        <w:jc w:val="both"/>
        <w:rPr>
          <w:rFonts w:ascii="Times New Roman" w:hAnsi="Times New Roman" w:cs="Times New Roman"/>
          <w:b/>
          <w:sz w:val="28"/>
          <w:szCs w:val="28"/>
        </w:rPr>
      </w:pPr>
      <w:r w:rsidRPr="00D11731">
        <w:rPr>
          <w:rFonts w:ascii="Times New Roman" w:hAnsi="Times New Roman" w:cs="Times New Roman"/>
          <w:b/>
          <w:sz w:val="28"/>
          <w:szCs w:val="28"/>
        </w:rPr>
        <w:t xml:space="preserve">Recommendation 1: That the </w:t>
      </w:r>
      <w:r w:rsidR="00627EB5">
        <w:rPr>
          <w:rFonts w:ascii="Times New Roman" w:hAnsi="Times New Roman" w:cs="Times New Roman"/>
          <w:b/>
          <w:sz w:val="28"/>
          <w:szCs w:val="28"/>
        </w:rPr>
        <w:t>G</w:t>
      </w:r>
      <w:r w:rsidRPr="00D11731">
        <w:rPr>
          <w:rFonts w:ascii="Times New Roman" w:hAnsi="Times New Roman" w:cs="Times New Roman"/>
          <w:b/>
          <w:sz w:val="28"/>
          <w:szCs w:val="28"/>
        </w:rPr>
        <w:t xml:space="preserve">overnment </w:t>
      </w:r>
      <w:r w:rsidR="00627EB5">
        <w:rPr>
          <w:rFonts w:ascii="Times New Roman" w:hAnsi="Times New Roman" w:cs="Times New Roman"/>
          <w:b/>
          <w:sz w:val="28"/>
          <w:szCs w:val="28"/>
        </w:rPr>
        <w:t xml:space="preserve">of Canada leverage </w:t>
      </w:r>
      <w:r w:rsidRPr="00D11731">
        <w:rPr>
          <w:rFonts w:ascii="Times New Roman" w:hAnsi="Times New Roman" w:cs="Times New Roman"/>
          <w:b/>
          <w:sz w:val="28"/>
          <w:szCs w:val="28"/>
        </w:rPr>
        <w:t>Budget 202</w:t>
      </w:r>
      <w:r w:rsidR="005339BD">
        <w:rPr>
          <w:rFonts w:ascii="Times New Roman" w:hAnsi="Times New Roman" w:cs="Times New Roman"/>
          <w:b/>
          <w:sz w:val="28"/>
          <w:szCs w:val="28"/>
        </w:rPr>
        <w:t xml:space="preserve">5 </w:t>
      </w:r>
      <w:r w:rsidR="00627EB5">
        <w:rPr>
          <w:rFonts w:ascii="Times New Roman" w:hAnsi="Times New Roman" w:cs="Times New Roman"/>
          <w:b/>
          <w:sz w:val="28"/>
          <w:szCs w:val="28"/>
        </w:rPr>
        <w:t>to rapidly implement a</w:t>
      </w:r>
      <w:r w:rsidR="005339BD">
        <w:rPr>
          <w:rFonts w:ascii="Times New Roman" w:hAnsi="Times New Roman" w:cs="Times New Roman"/>
          <w:b/>
          <w:sz w:val="28"/>
          <w:szCs w:val="28"/>
        </w:rPr>
        <w:t xml:space="preserve"> well-governed</w:t>
      </w:r>
      <w:r w:rsidR="00627EB5">
        <w:rPr>
          <w:rFonts w:ascii="Times New Roman" w:hAnsi="Times New Roman" w:cs="Times New Roman"/>
          <w:b/>
          <w:sz w:val="28"/>
          <w:szCs w:val="28"/>
        </w:rPr>
        <w:t>, interoperable</w:t>
      </w:r>
      <w:r w:rsidR="005E44F1">
        <w:rPr>
          <w:rFonts w:ascii="Times New Roman" w:hAnsi="Times New Roman" w:cs="Times New Roman"/>
          <w:b/>
          <w:sz w:val="28"/>
          <w:szCs w:val="28"/>
        </w:rPr>
        <w:t xml:space="preserve">, and regulatorily harmonized </w:t>
      </w:r>
      <w:r w:rsidR="005E44F1" w:rsidRPr="00D11731">
        <w:rPr>
          <w:rFonts w:ascii="Times New Roman" w:hAnsi="Times New Roman" w:cs="Times New Roman"/>
          <w:b/>
          <w:sz w:val="28"/>
          <w:szCs w:val="28"/>
        </w:rPr>
        <w:t>Consumer</w:t>
      </w:r>
      <w:r w:rsidR="00320C42">
        <w:rPr>
          <w:rFonts w:ascii="Times New Roman" w:hAnsi="Times New Roman" w:cs="Times New Roman"/>
          <w:b/>
          <w:sz w:val="28"/>
          <w:szCs w:val="28"/>
        </w:rPr>
        <w:t xml:space="preserve">-Driven Finance system </w:t>
      </w:r>
      <w:r w:rsidR="007E0ADF">
        <w:rPr>
          <w:rFonts w:ascii="Times New Roman" w:hAnsi="Times New Roman" w:cs="Times New Roman"/>
          <w:b/>
          <w:sz w:val="28"/>
          <w:szCs w:val="28"/>
        </w:rPr>
        <w:t xml:space="preserve">to </w:t>
      </w:r>
      <w:r w:rsidR="00011D59">
        <w:rPr>
          <w:rFonts w:ascii="Times New Roman" w:hAnsi="Times New Roman" w:cs="Times New Roman"/>
          <w:b/>
          <w:sz w:val="28"/>
          <w:szCs w:val="28"/>
        </w:rPr>
        <w:t>unlock economic growth</w:t>
      </w:r>
      <w:r w:rsidR="00320C42">
        <w:rPr>
          <w:rFonts w:ascii="Times New Roman" w:hAnsi="Times New Roman" w:cs="Times New Roman"/>
          <w:b/>
          <w:sz w:val="28"/>
          <w:szCs w:val="28"/>
        </w:rPr>
        <w:t xml:space="preserve"> </w:t>
      </w:r>
      <w:r w:rsidR="00D147E5">
        <w:rPr>
          <w:rFonts w:ascii="Times New Roman" w:hAnsi="Times New Roman" w:cs="Times New Roman"/>
          <w:b/>
          <w:sz w:val="28"/>
          <w:szCs w:val="28"/>
        </w:rPr>
        <w:t>and build a more</w:t>
      </w:r>
      <w:r w:rsidR="00BA07CB">
        <w:rPr>
          <w:rFonts w:ascii="Times New Roman" w:hAnsi="Times New Roman" w:cs="Times New Roman"/>
          <w:b/>
          <w:sz w:val="28"/>
          <w:szCs w:val="28"/>
        </w:rPr>
        <w:t xml:space="preserve"> competitive, inclusive, and innovative financial services market</w:t>
      </w:r>
      <w:r w:rsidR="00011D59">
        <w:rPr>
          <w:rFonts w:ascii="Times New Roman" w:hAnsi="Times New Roman" w:cs="Times New Roman"/>
          <w:b/>
          <w:sz w:val="28"/>
          <w:szCs w:val="28"/>
        </w:rPr>
        <w:t xml:space="preserve"> </w:t>
      </w:r>
      <w:r w:rsidR="00BA07CB">
        <w:rPr>
          <w:rFonts w:ascii="Times New Roman" w:hAnsi="Times New Roman" w:cs="Times New Roman"/>
          <w:b/>
          <w:sz w:val="28"/>
          <w:szCs w:val="28"/>
        </w:rPr>
        <w:t>for Canadian</w:t>
      </w:r>
      <w:r w:rsidR="005339BD">
        <w:rPr>
          <w:rFonts w:ascii="Times New Roman" w:hAnsi="Times New Roman" w:cs="Times New Roman"/>
          <w:b/>
          <w:sz w:val="28"/>
          <w:szCs w:val="28"/>
        </w:rPr>
        <w:t xml:space="preserve"> consumer</w:t>
      </w:r>
      <w:r w:rsidR="00BA07CB">
        <w:rPr>
          <w:rFonts w:ascii="Times New Roman" w:hAnsi="Times New Roman" w:cs="Times New Roman"/>
          <w:b/>
          <w:sz w:val="28"/>
          <w:szCs w:val="28"/>
        </w:rPr>
        <w:t>s</w:t>
      </w:r>
      <w:r w:rsidR="005339BD">
        <w:rPr>
          <w:rFonts w:ascii="Times New Roman" w:hAnsi="Times New Roman" w:cs="Times New Roman"/>
          <w:b/>
          <w:sz w:val="28"/>
          <w:szCs w:val="28"/>
        </w:rPr>
        <w:t xml:space="preserve"> and small business owners</w:t>
      </w:r>
      <w:r w:rsidR="00AC4EBD">
        <w:rPr>
          <w:rFonts w:ascii="Times New Roman" w:hAnsi="Times New Roman" w:cs="Times New Roman"/>
          <w:b/>
          <w:sz w:val="28"/>
          <w:szCs w:val="28"/>
        </w:rPr>
        <w:t xml:space="preserve"> </w:t>
      </w:r>
      <w:r w:rsidR="00AC4EBD" w:rsidRPr="00416F53">
        <w:rPr>
          <w:rFonts w:ascii="Times New Roman" w:hAnsi="Times New Roman" w:cs="Times New Roman"/>
          <w:b/>
          <w:sz w:val="28"/>
          <w:szCs w:val="28"/>
        </w:rPr>
        <w:t>without any further delay</w:t>
      </w:r>
      <w:r w:rsidR="00BA07CB">
        <w:rPr>
          <w:rFonts w:ascii="Times New Roman" w:hAnsi="Times New Roman" w:cs="Times New Roman"/>
          <w:b/>
          <w:sz w:val="28"/>
          <w:szCs w:val="28"/>
        </w:rPr>
        <w:t>.</w:t>
      </w:r>
      <w:r w:rsidR="005339BD">
        <w:rPr>
          <w:rFonts w:ascii="Times New Roman" w:hAnsi="Times New Roman" w:cs="Times New Roman"/>
          <w:b/>
          <w:sz w:val="28"/>
          <w:szCs w:val="28"/>
        </w:rPr>
        <w:t xml:space="preserve"> </w:t>
      </w:r>
    </w:p>
    <w:p w14:paraId="7078A075" w14:textId="417D8194" w:rsidR="00364DB4" w:rsidRDefault="00A1118E" w:rsidP="00AA0DFC">
      <w:pPr>
        <w:spacing w:before="240" w:after="240"/>
        <w:jc w:val="both"/>
        <w:rPr>
          <w:rFonts w:ascii="Times New Roman" w:hAnsi="Times New Roman" w:cs="Times New Roman"/>
          <w:b/>
          <w:sz w:val="28"/>
          <w:szCs w:val="28"/>
          <w:lang w:val="en-US"/>
        </w:rPr>
      </w:pPr>
      <w:r w:rsidRPr="29835C85">
        <w:rPr>
          <w:rFonts w:ascii="Times New Roman" w:hAnsi="Times New Roman" w:cs="Times New Roman"/>
          <w:b/>
          <w:sz w:val="28"/>
          <w:szCs w:val="28"/>
          <w:lang w:val="en-US"/>
        </w:rPr>
        <w:t xml:space="preserve">Recommendation 2: That the government </w:t>
      </w:r>
      <w:r w:rsidR="0047639F" w:rsidRPr="29835C85">
        <w:rPr>
          <w:rFonts w:ascii="Times New Roman" w:hAnsi="Times New Roman" w:cs="Times New Roman"/>
          <w:b/>
          <w:sz w:val="28"/>
          <w:szCs w:val="28"/>
          <w:lang w:val="en-US"/>
        </w:rPr>
        <w:t xml:space="preserve">adopt </w:t>
      </w:r>
      <w:r w:rsidR="00AC4EBD" w:rsidRPr="29835C85">
        <w:rPr>
          <w:rFonts w:ascii="Times New Roman" w:hAnsi="Times New Roman" w:cs="Times New Roman"/>
          <w:b/>
          <w:sz w:val="28"/>
          <w:szCs w:val="28"/>
          <w:lang w:val="en-US"/>
        </w:rPr>
        <w:t xml:space="preserve">structural </w:t>
      </w:r>
      <w:r w:rsidR="0047639F" w:rsidRPr="29835C85">
        <w:rPr>
          <w:rFonts w:ascii="Times New Roman" w:hAnsi="Times New Roman" w:cs="Times New Roman"/>
          <w:b/>
          <w:sz w:val="28"/>
          <w:szCs w:val="28"/>
          <w:lang w:val="en-US"/>
        </w:rPr>
        <w:t xml:space="preserve">reforms necessary to ensure the </w:t>
      </w:r>
      <w:r w:rsidR="00320C42" w:rsidRPr="29835C85">
        <w:rPr>
          <w:rFonts w:ascii="Times New Roman" w:hAnsi="Times New Roman" w:cs="Times New Roman"/>
          <w:b/>
          <w:sz w:val="28"/>
          <w:szCs w:val="28"/>
          <w:lang w:val="en-US"/>
        </w:rPr>
        <w:t>Consumer-Driven Finance system</w:t>
      </w:r>
      <w:r w:rsidR="00C43747" w:rsidRPr="29835C85">
        <w:rPr>
          <w:rFonts w:ascii="Times New Roman" w:hAnsi="Times New Roman" w:cs="Times New Roman"/>
          <w:b/>
          <w:sz w:val="28"/>
          <w:szCs w:val="28"/>
          <w:lang w:val="en-US"/>
        </w:rPr>
        <w:t xml:space="preserve"> </w:t>
      </w:r>
      <w:r w:rsidR="00553FE5" w:rsidRPr="29835C85">
        <w:rPr>
          <w:rFonts w:ascii="Times New Roman" w:hAnsi="Times New Roman" w:cs="Times New Roman"/>
          <w:b/>
          <w:sz w:val="28"/>
          <w:szCs w:val="28"/>
          <w:lang w:val="en-US"/>
        </w:rPr>
        <w:t xml:space="preserve">works as intended by expanding the scope of participation to include all relevant market actors, enabling tiered and proportionate </w:t>
      </w:r>
      <w:r w:rsidR="000E3B04" w:rsidRPr="29835C85">
        <w:rPr>
          <w:rFonts w:ascii="Times New Roman" w:hAnsi="Times New Roman" w:cs="Times New Roman"/>
          <w:b/>
          <w:sz w:val="28"/>
          <w:szCs w:val="28"/>
          <w:lang w:val="en-US"/>
        </w:rPr>
        <w:t>accreditation</w:t>
      </w:r>
      <w:r w:rsidR="00553FE5" w:rsidRPr="29835C85">
        <w:rPr>
          <w:rFonts w:ascii="Times New Roman" w:hAnsi="Times New Roman" w:cs="Times New Roman"/>
          <w:b/>
          <w:sz w:val="28"/>
          <w:szCs w:val="28"/>
          <w:lang w:val="en-US"/>
        </w:rPr>
        <w:t xml:space="preserve"> and enforcement, and </w:t>
      </w:r>
      <w:r w:rsidR="000E3B04" w:rsidRPr="29835C85">
        <w:rPr>
          <w:rFonts w:ascii="Times New Roman" w:hAnsi="Times New Roman" w:cs="Times New Roman"/>
          <w:b/>
          <w:sz w:val="28"/>
          <w:szCs w:val="28"/>
          <w:lang w:val="en-US"/>
        </w:rPr>
        <w:t>minimizing</w:t>
      </w:r>
      <w:r w:rsidR="00553FE5" w:rsidRPr="29835C85">
        <w:rPr>
          <w:rFonts w:ascii="Times New Roman" w:hAnsi="Times New Roman" w:cs="Times New Roman"/>
          <w:b/>
          <w:sz w:val="28"/>
          <w:szCs w:val="28"/>
          <w:lang w:val="en-US"/>
        </w:rPr>
        <w:t xml:space="preserve"> duplicative regulatory burdens across </w:t>
      </w:r>
      <w:r w:rsidR="000E3B04" w:rsidRPr="29835C85">
        <w:rPr>
          <w:rFonts w:ascii="Times New Roman" w:hAnsi="Times New Roman" w:cs="Times New Roman"/>
          <w:b/>
          <w:sz w:val="28"/>
          <w:szCs w:val="28"/>
          <w:lang w:val="en-US"/>
        </w:rPr>
        <w:t>jurisdictions</w:t>
      </w:r>
      <w:r w:rsidR="00553FE5" w:rsidRPr="29835C85">
        <w:rPr>
          <w:rFonts w:ascii="Times New Roman" w:hAnsi="Times New Roman" w:cs="Times New Roman"/>
          <w:b/>
          <w:sz w:val="28"/>
          <w:szCs w:val="28"/>
          <w:lang w:val="en-US"/>
        </w:rPr>
        <w:t>.</w:t>
      </w:r>
      <w:r w:rsidR="00C43747" w:rsidRPr="29835C85">
        <w:rPr>
          <w:rFonts w:ascii="Times New Roman" w:hAnsi="Times New Roman" w:cs="Times New Roman"/>
          <w:b/>
          <w:sz w:val="28"/>
          <w:szCs w:val="28"/>
          <w:lang w:val="en-US"/>
        </w:rPr>
        <w:t xml:space="preserve"> </w:t>
      </w:r>
    </w:p>
    <w:p w14:paraId="7628D72F" w14:textId="77777777" w:rsidR="00C43747" w:rsidRDefault="00C43747">
      <w:pPr>
        <w:spacing w:before="240" w:after="240"/>
        <w:rPr>
          <w:rFonts w:ascii="Times New Roman" w:hAnsi="Times New Roman" w:cs="Times New Roman"/>
          <w:b/>
          <w:sz w:val="28"/>
          <w:szCs w:val="28"/>
        </w:rPr>
      </w:pPr>
    </w:p>
    <w:p w14:paraId="0000000D" w14:textId="77777777" w:rsidR="00606B5A" w:rsidRDefault="00606B5A">
      <w:pPr>
        <w:spacing w:before="240" w:after="240"/>
        <w:rPr>
          <w:rFonts w:ascii="Times New Roman" w:hAnsi="Times New Roman" w:cs="Times New Roman"/>
          <w:b/>
          <w:sz w:val="28"/>
          <w:szCs w:val="28"/>
        </w:rPr>
      </w:pPr>
    </w:p>
    <w:p w14:paraId="705838FD" w14:textId="77777777" w:rsidR="005339BD" w:rsidRPr="00D11731" w:rsidRDefault="005339BD">
      <w:pPr>
        <w:spacing w:before="240" w:after="240"/>
        <w:rPr>
          <w:rFonts w:ascii="Times New Roman" w:hAnsi="Times New Roman" w:cs="Times New Roman"/>
          <w:b/>
          <w:sz w:val="28"/>
          <w:szCs w:val="28"/>
        </w:rPr>
      </w:pPr>
    </w:p>
    <w:p w14:paraId="0000000E"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0F"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0"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1"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2"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3"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4"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00000015" w14:textId="77777777" w:rsidR="00606B5A" w:rsidRPr="00D11731" w:rsidRDefault="00A1118E">
      <w:pPr>
        <w:spacing w:before="240" w:after="240"/>
        <w:rPr>
          <w:rFonts w:ascii="Times New Roman" w:hAnsi="Times New Roman" w:cs="Times New Roman"/>
          <w:color w:val="1D1C1D"/>
          <w:sz w:val="28"/>
          <w:szCs w:val="28"/>
          <w:shd w:val="clear" w:color="auto" w:fill="F8F8F8"/>
        </w:rPr>
      </w:pPr>
      <w:r w:rsidRPr="00D11731">
        <w:rPr>
          <w:rFonts w:ascii="Times New Roman" w:hAnsi="Times New Roman" w:cs="Times New Roman"/>
          <w:color w:val="1D1C1D"/>
          <w:sz w:val="28"/>
          <w:szCs w:val="28"/>
          <w:shd w:val="clear" w:color="auto" w:fill="F8F8F8"/>
        </w:rPr>
        <w:t xml:space="preserve"> </w:t>
      </w:r>
    </w:p>
    <w:p w14:paraId="1436CCD3" w14:textId="070AE9A3" w:rsidR="00D11731" w:rsidRPr="005339BD" w:rsidRDefault="00F441C6">
      <w:pPr>
        <w:spacing w:before="240" w:after="240"/>
        <w:rPr>
          <w:rFonts w:ascii="Times New Roman" w:hAnsi="Times New Roman" w:cs="Times New Roman"/>
          <w:color w:val="1D1C1D"/>
          <w:sz w:val="28"/>
          <w:szCs w:val="28"/>
          <w:shd w:val="clear" w:color="auto" w:fill="F8F8F8"/>
        </w:rPr>
      </w:pPr>
      <w:r>
        <w:rPr>
          <w:rFonts w:ascii="Times New Roman" w:hAnsi="Times New Roman" w:cs="Times New Roman"/>
          <w:b/>
          <w:bCs/>
          <w:color w:val="1D1C1D"/>
          <w:sz w:val="24"/>
          <w:szCs w:val="24"/>
        </w:rPr>
        <w:t xml:space="preserve">Recommendation 1: </w:t>
      </w:r>
      <w:r w:rsidR="00320C42">
        <w:rPr>
          <w:rFonts w:ascii="Times New Roman" w:hAnsi="Times New Roman" w:cs="Times New Roman"/>
          <w:b/>
          <w:bCs/>
          <w:color w:val="1D1C1D"/>
          <w:sz w:val="24"/>
          <w:szCs w:val="24"/>
        </w:rPr>
        <w:t>Unlocking Canadian Innovation and Competition Through Consumer-Driven Finance</w:t>
      </w:r>
    </w:p>
    <w:p w14:paraId="0000001B" w14:textId="1E70C9EE" w:rsidR="00606B5A" w:rsidRPr="00AA0DFC" w:rsidRDefault="008B752C" w:rsidP="3ABC8FCC">
      <w:pPr>
        <w:spacing w:before="240" w:after="240"/>
        <w:jc w:val="both"/>
        <w:rPr>
          <w:rFonts w:ascii="Times New Roman" w:hAnsi="Times New Roman" w:cs="Times New Roman"/>
          <w:color w:val="000000" w:themeColor="text1"/>
          <w:sz w:val="24"/>
          <w:szCs w:val="24"/>
          <w:lang w:val="en-US"/>
        </w:rPr>
      </w:pPr>
      <w:r>
        <w:rPr>
          <w:rFonts w:ascii="Times New Roman" w:hAnsi="Times New Roman" w:cs="Times New Roman"/>
          <w:color w:val="1D1C1D"/>
          <w:sz w:val="24"/>
          <w:szCs w:val="24"/>
          <w:lang w:val="en-US"/>
        </w:rPr>
        <w:t xml:space="preserve">Canada stands at a crossroads. </w:t>
      </w:r>
      <w:r w:rsidR="00AA0DFC" w:rsidRPr="3ABC8FCC">
        <w:rPr>
          <w:rFonts w:ascii="Times New Roman" w:hAnsi="Times New Roman" w:cs="Times New Roman"/>
          <w:color w:val="1D1C1D"/>
          <w:sz w:val="24"/>
          <w:szCs w:val="24"/>
          <w:lang w:val="en-US"/>
        </w:rPr>
        <w:t>It has been seven years</w:t>
      </w:r>
      <w:r w:rsidR="005339BD" w:rsidRPr="3ABC8FCC">
        <w:rPr>
          <w:rFonts w:ascii="Times New Roman" w:hAnsi="Times New Roman" w:cs="Times New Roman"/>
          <w:color w:val="1D1C1D"/>
          <w:sz w:val="24"/>
          <w:szCs w:val="24"/>
          <w:lang w:val="en-US"/>
        </w:rPr>
        <w:t xml:space="preserve"> </w:t>
      </w:r>
      <w:r w:rsidR="00AA0DFC" w:rsidRPr="3ABC8FCC">
        <w:rPr>
          <w:rFonts w:ascii="Times New Roman" w:hAnsi="Times New Roman" w:cs="Times New Roman"/>
          <w:color w:val="1D1C1D"/>
          <w:sz w:val="24"/>
          <w:szCs w:val="24"/>
          <w:lang w:val="en-US"/>
        </w:rPr>
        <w:t xml:space="preserve">since Budget 2018 began the process of designing and delivering a consumer-driven </w:t>
      </w:r>
      <w:r w:rsidR="00320C42">
        <w:rPr>
          <w:rFonts w:ascii="Times New Roman" w:hAnsi="Times New Roman" w:cs="Times New Roman"/>
          <w:color w:val="1D1C1D"/>
          <w:sz w:val="24"/>
          <w:szCs w:val="24"/>
          <w:lang w:val="en-US"/>
        </w:rPr>
        <w:t>finance</w:t>
      </w:r>
      <w:r w:rsidR="00AA0DFC" w:rsidRPr="3ABC8FCC">
        <w:rPr>
          <w:rFonts w:ascii="Times New Roman" w:hAnsi="Times New Roman" w:cs="Times New Roman"/>
          <w:color w:val="1D1C1D"/>
          <w:sz w:val="24"/>
          <w:szCs w:val="24"/>
          <w:lang w:val="en-US"/>
        </w:rPr>
        <w:t xml:space="preserve">, or open </w:t>
      </w:r>
      <w:r w:rsidR="00320C42">
        <w:rPr>
          <w:rFonts w:ascii="Times New Roman" w:hAnsi="Times New Roman" w:cs="Times New Roman"/>
          <w:color w:val="1D1C1D"/>
          <w:sz w:val="24"/>
          <w:szCs w:val="24"/>
          <w:lang w:val="en-US"/>
        </w:rPr>
        <w:t>finance</w:t>
      </w:r>
      <w:r w:rsidR="00AA0DFC" w:rsidRPr="3ABC8FCC">
        <w:rPr>
          <w:rFonts w:ascii="Times New Roman" w:hAnsi="Times New Roman" w:cs="Times New Roman"/>
          <w:color w:val="1D1C1D"/>
          <w:sz w:val="24"/>
          <w:szCs w:val="24"/>
          <w:lang w:val="en-US"/>
        </w:rPr>
        <w:t>, regime in Canada. The resulting</w:t>
      </w:r>
      <w:r w:rsidR="005339BD" w:rsidRPr="3ABC8FCC">
        <w:rPr>
          <w:rFonts w:ascii="Times New Roman" w:hAnsi="Times New Roman" w:cs="Times New Roman"/>
          <w:color w:val="1D1C1D"/>
          <w:sz w:val="24"/>
          <w:szCs w:val="24"/>
          <w:lang w:val="en-US"/>
        </w:rPr>
        <w:t xml:space="preserve"> deliberative, fulsome consultations between government and market stakeholders</w:t>
      </w:r>
      <w:r w:rsidR="00AA0DFC" w:rsidRPr="3ABC8FCC">
        <w:rPr>
          <w:rFonts w:ascii="Times New Roman" w:hAnsi="Times New Roman" w:cs="Times New Roman"/>
          <w:color w:val="1D1C1D"/>
          <w:sz w:val="24"/>
          <w:szCs w:val="24"/>
          <w:lang w:val="en-US"/>
        </w:rPr>
        <w:t xml:space="preserve"> ultimately yielded some progress in</w:t>
      </w:r>
      <w:r w:rsidR="005339BD" w:rsidRPr="3ABC8FCC">
        <w:rPr>
          <w:rFonts w:ascii="Times New Roman" w:hAnsi="Times New Roman" w:cs="Times New Roman"/>
          <w:color w:val="1D1C1D"/>
          <w:sz w:val="24"/>
          <w:szCs w:val="24"/>
          <w:lang w:val="en-US"/>
        </w:rPr>
        <w:t xml:space="preserve"> Budget 2024</w:t>
      </w:r>
      <w:r w:rsidR="00AA0DFC" w:rsidRPr="3ABC8FCC">
        <w:rPr>
          <w:rFonts w:ascii="Times New Roman" w:hAnsi="Times New Roman" w:cs="Times New Roman"/>
          <w:color w:val="1D1C1D"/>
          <w:sz w:val="24"/>
          <w:szCs w:val="24"/>
          <w:lang w:val="en-US"/>
        </w:rPr>
        <w:t xml:space="preserve">, which provided for the initial implementation of open </w:t>
      </w:r>
      <w:r w:rsidR="00320C42">
        <w:rPr>
          <w:rFonts w:ascii="Times New Roman" w:hAnsi="Times New Roman" w:cs="Times New Roman"/>
          <w:color w:val="1D1C1D"/>
          <w:sz w:val="24"/>
          <w:szCs w:val="24"/>
          <w:lang w:val="en-US"/>
        </w:rPr>
        <w:t>finance</w:t>
      </w:r>
      <w:r w:rsidR="00320C42" w:rsidRPr="3ABC8FCC">
        <w:rPr>
          <w:rFonts w:ascii="Times New Roman" w:hAnsi="Times New Roman" w:cs="Times New Roman"/>
          <w:color w:val="1D1C1D"/>
          <w:sz w:val="24"/>
          <w:szCs w:val="24"/>
          <w:lang w:val="en-US"/>
        </w:rPr>
        <w:t xml:space="preserve"> </w:t>
      </w:r>
      <w:r w:rsidR="00AA0DFC" w:rsidRPr="3ABC8FCC">
        <w:rPr>
          <w:rFonts w:ascii="Times New Roman" w:hAnsi="Times New Roman" w:cs="Times New Roman"/>
          <w:color w:val="1D1C1D"/>
          <w:sz w:val="24"/>
          <w:szCs w:val="24"/>
          <w:lang w:val="en-US"/>
        </w:rPr>
        <w:t xml:space="preserve">in Canada. </w:t>
      </w:r>
      <w:r w:rsidR="00F441C6" w:rsidRPr="3ABC8FCC">
        <w:rPr>
          <w:rFonts w:ascii="Times New Roman" w:hAnsi="Times New Roman" w:cs="Times New Roman"/>
          <w:color w:val="1D1C1D"/>
          <w:sz w:val="24"/>
          <w:szCs w:val="24"/>
          <w:lang w:val="en-US"/>
        </w:rPr>
        <w:t xml:space="preserve">The </w:t>
      </w:r>
      <w:r w:rsidR="00AA0DFC" w:rsidRPr="3ABC8FCC">
        <w:rPr>
          <w:rFonts w:ascii="Times New Roman" w:hAnsi="Times New Roman" w:cs="Times New Roman"/>
          <w:color w:val="1D1C1D"/>
          <w:sz w:val="24"/>
          <w:szCs w:val="24"/>
          <w:lang w:val="en-US"/>
        </w:rPr>
        <w:t>framework</w:t>
      </w:r>
      <w:r w:rsidR="00F441C6" w:rsidRPr="3ABC8FCC">
        <w:rPr>
          <w:rFonts w:ascii="Times New Roman" w:hAnsi="Times New Roman" w:cs="Times New Roman"/>
          <w:color w:val="1D1C1D"/>
          <w:sz w:val="24"/>
          <w:szCs w:val="24"/>
          <w:lang w:val="en-US"/>
        </w:rPr>
        <w:t xml:space="preserve"> delivered by last year’s budget</w:t>
      </w:r>
      <w:r w:rsidR="00AA0DFC" w:rsidRPr="3ABC8FCC">
        <w:rPr>
          <w:rFonts w:ascii="Times New Roman" w:hAnsi="Times New Roman" w:cs="Times New Roman"/>
          <w:color w:val="1D1C1D"/>
          <w:sz w:val="24"/>
          <w:szCs w:val="24"/>
          <w:lang w:val="en-US"/>
        </w:rPr>
        <w:t xml:space="preserve"> </w:t>
      </w:r>
      <w:r w:rsidR="00F441C6" w:rsidRPr="3ABC8FCC">
        <w:rPr>
          <w:rFonts w:ascii="Times New Roman" w:hAnsi="Times New Roman" w:cs="Times New Roman"/>
          <w:color w:val="1D1C1D"/>
          <w:sz w:val="24"/>
          <w:szCs w:val="24"/>
          <w:lang w:val="en-US"/>
        </w:rPr>
        <w:t xml:space="preserve">holds the potential to meaningfully increase competition in Canada’s financial sector, provide consumers and small businesses with more control over their </w:t>
      </w:r>
      <w:r w:rsidR="00F441C6" w:rsidRPr="3ABC8FCC">
        <w:rPr>
          <w:rFonts w:ascii="Times New Roman" w:hAnsi="Times New Roman" w:cs="Times New Roman"/>
          <w:color w:val="000000" w:themeColor="text1"/>
          <w:sz w:val="24"/>
          <w:szCs w:val="24"/>
          <w:lang w:val="en-US"/>
        </w:rPr>
        <w:t xml:space="preserve">financial data, and align Canada’s financial data regime with those implemented in virtually every other G-7 nation. </w:t>
      </w:r>
    </w:p>
    <w:p w14:paraId="7231DB6B" w14:textId="2D5A8C92" w:rsidR="00CD564A" w:rsidRDefault="00CD564A" w:rsidP="00AA0DFC">
      <w:pPr>
        <w:spacing w:before="240" w:after="240"/>
        <w:jc w:val="both"/>
        <w:rPr>
          <w:rFonts w:ascii="Times New Roman" w:hAnsi="Times New Roman" w:cs="Times New Roman"/>
          <w:color w:val="000000" w:themeColor="text1"/>
          <w:sz w:val="24"/>
          <w:szCs w:val="24"/>
        </w:rPr>
      </w:pPr>
      <w:r w:rsidRPr="00CD564A">
        <w:rPr>
          <w:rFonts w:ascii="Times New Roman" w:hAnsi="Times New Roman" w:cs="Times New Roman"/>
          <w:color w:val="000000" w:themeColor="text1"/>
          <w:sz w:val="24"/>
          <w:szCs w:val="24"/>
        </w:rPr>
        <w:t>To achieve this, a fully realized open finance system must be underpinned by regulatory harmonization across Canada’s fragmented financial services ecosystem. A national regime that ensures consistency across federal and provincial oversight structures is essential to creating a scalable, interoperable, and competitive market.</w:t>
      </w:r>
      <w:r w:rsidR="00C16A3A">
        <w:rPr>
          <w:rFonts w:ascii="Times New Roman" w:hAnsi="Times New Roman" w:cs="Times New Roman"/>
          <w:color w:val="000000" w:themeColor="text1"/>
          <w:sz w:val="24"/>
          <w:szCs w:val="24"/>
        </w:rPr>
        <w:t xml:space="preserve"> </w:t>
      </w:r>
    </w:p>
    <w:p w14:paraId="700DF195" w14:textId="04815F4E" w:rsidR="00C10D5C" w:rsidRDefault="00AA0DFC" w:rsidP="00AA0DFC">
      <w:pPr>
        <w:spacing w:before="240" w:after="240"/>
        <w:jc w:val="both"/>
        <w:rPr>
          <w:rFonts w:ascii="Times New Roman" w:hAnsi="Times New Roman" w:cs="Times New Roman"/>
          <w:color w:val="111111"/>
          <w:sz w:val="24"/>
          <w:szCs w:val="24"/>
        </w:rPr>
      </w:pPr>
      <w:r w:rsidRPr="00AA0DFC">
        <w:rPr>
          <w:rFonts w:ascii="Times New Roman" w:hAnsi="Times New Roman" w:cs="Times New Roman"/>
          <w:color w:val="000000" w:themeColor="text1"/>
          <w:sz w:val="24"/>
          <w:szCs w:val="24"/>
        </w:rPr>
        <w:t>The government</w:t>
      </w:r>
      <w:r>
        <w:rPr>
          <w:rFonts w:ascii="Times New Roman" w:hAnsi="Times New Roman" w:cs="Times New Roman"/>
          <w:color w:val="000000" w:themeColor="text1"/>
          <w:sz w:val="24"/>
          <w:szCs w:val="24"/>
        </w:rPr>
        <w:t xml:space="preserve"> must expand its approach to encompass not only open banking, but open finance. </w:t>
      </w:r>
      <w:r>
        <w:rPr>
          <w:rFonts w:ascii="Times New Roman" w:hAnsi="Times New Roman" w:cs="Times New Roman"/>
          <w:color w:val="1D1C1D"/>
          <w:sz w:val="24"/>
          <w:szCs w:val="24"/>
        </w:rPr>
        <w:t>O</w:t>
      </w:r>
      <w:r w:rsidRPr="00D11731">
        <w:rPr>
          <w:rFonts w:ascii="Times New Roman" w:hAnsi="Times New Roman" w:cs="Times New Roman"/>
          <w:color w:val="1D1C1D"/>
          <w:sz w:val="24"/>
          <w:szCs w:val="24"/>
        </w:rPr>
        <w:t>pen finance</w:t>
      </w:r>
      <w:r w:rsidRPr="00D11731">
        <w:rPr>
          <w:rFonts w:ascii="Times New Roman" w:hAnsi="Times New Roman" w:cs="Times New Roman"/>
          <w:color w:val="333333"/>
          <w:sz w:val="24"/>
          <w:szCs w:val="24"/>
        </w:rPr>
        <w:t xml:space="preserve"> </w:t>
      </w:r>
      <w:r w:rsidRPr="00D11731">
        <w:rPr>
          <w:rFonts w:ascii="Times New Roman" w:hAnsi="Times New Roman" w:cs="Times New Roman"/>
          <w:color w:val="111111"/>
          <w:sz w:val="24"/>
          <w:szCs w:val="24"/>
          <w:highlight w:val="white"/>
        </w:rPr>
        <w:t xml:space="preserve">allows for the ability to access and act on financial data to create personalized customer experiences, drive the pace and scope of innovation, and create deeper industry collaboration. The result is a potentially transformative impact on a wide range of financial products and services for the benefit of consumers and </w:t>
      </w:r>
      <w:r>
        <w:rPr>
          <w:rFonts w:ascii="Times New Roman" w:hAnsi="Times New Roman" w:cs="Times New Roman"/>
          <w:color w:val="111111"/>
          <w:sz w:val="24"/>
          <w:szCs w:val="24"/>
          <w:highlight w:val="white"/>
        </w:rPr>
        <w:t xml:space="preserve">small </w:t>
      </w:r>
      <w:r w:rsidRPr="00D11731">
        <w:rPr>
          <w:rFonts w:ascii="Times New Roman" w:hAnsi="Times New Roman" w:cs="Times New Roman"/>
          <w:color w:val="111111"/>
          <w:sz w:val="24"/>
          <w:szCs w:val="24"/>
          <w:highlight w:val="white"/>
        </w:rPr>
        <w:t>businesses. It w</w:t>
      </w:r>
      <w:r>
        <w:rPr>
          <w:rFonts w:ascii="Times New Roman" w:hAnsi="Times New Roman" w:cs="Times New Roman"/>
          <w:color w:val="111111"/>
          <w:sz w:val="24"/>
          <w:szCs w:val="24"/>
          <w:highlight w:val="white"/>
        </w:rPr>
        <w:t>ill</w:t>
      </w:r>
      <w:r w:rsidRPr="00D11731">
        <w:rPr>
          <w:rFonts w:ascii="Times New Roman" w:hAnsi="Times New Roman" w:cs="Times New Roman"/>
          <w:color w:val="111111"/>
          <w:sz w:val="24"/>
          <w:szCs w:val="24"/>
          <w:highlight w:val="white"/>
        </w:rPr>
        <w:t xml:space="preserve"> enable more consumers to gain access to a wider range of financial products and services, </w:t>
      </w:r>
      <w:r w:rsidR="00CC5BA8">
        <w:rPr>
          <w:rFonts w:ascii="Times New Roman" w:hAnsi="Times New Roman" w:cs="Times New Roman"/>
          <w:color w:val="111111"/>
          <w:sz w:val="24"/>
          <w:szCs w:val="24"/>
          <w:highlight w:val="white"/>
        </w:rPr>
        <w:t>gain</w:t>
      </w:r>
      <w:r w:rsidRPr="00D11731">
        <w:rPr>
          <w:rFonts w:ascii="Times New Roman" w:hAnsi="Times New Roman" w:cs="Times New Roman"/>
          <w:color w:val="111111"/>
          <w:sz w:val="24"/>
          <w:szCs w:val="24"/>
          <w:highlight w:val="white"/>
        </w:rPr>
        <w:t xml:space="preserve"> greater control of their data, including information from credit bureaus and utilities, and </w:t>
      </w:r>
      <w:r w:rsidR="00E91E7F">
        <w:rPr>
          <w:rFonts w:ascii="Times New Roman" w:hAnsi="Times New Roman" w:cs="Times New Roman"/>
          <w:color w:val="111111"/>
          <w:sz w:val="24"/>
          <w:szCs w:val="24"/>
          <w:highlight w:val="white"/>
        </w:rPr>
        <w:t>build</w:t>
      </w:r>
      <w:r w:rsidRPr="00D11731">
        <w:rPr>
          <w:rFonts w:ascii="Times New Roman" w:hAnsi="Times New Roman" w:cs="Times New Roman"/>
          <w:color w:val="111111"/>
          <w:sz w:val="24"/>
          <w:szCs w:val="24"/>
          <w:highlight w:val="white"/>
        </w:rPr>
        <w:t xml:space="preserve"> a stronger relationship with their finances, empowering them to make better financial decisions.</w:t>
      </w:r>
      <w:r w:rsidR="00E97090">
        <w:rPr>
          <w:rFonts w:ascii="Times New Roman" w:hAnsi="Times New Roman" w:cs="Times New Roman"/>
          <w:color w:val="111111"/>
          <w:sz w:val="24"/>
          <w:szCs w:val="24"/>
          <w:highlight w:val="white"/>
        </w:rPr>
        <w:t xml:space="preserve"> </w:t>
      </w:r>
    </w:p>
    <w:p w14:paraId="3936284C" w14:textId="602F5E1E" w:rsidR="00AA0DFC" w:rsidRPr="00D11731" w:rsidRDefault="00E97090" w:rsidP="00AA0DFC">
      <w:pPr>
        <w:spacing w:before="240" w:after="240"/>
        <w:jc w:val="both"/>
        <w:rPr>
          <w:rFonts w:ascii="Times New Roman" w:hAnsi="Times New Roman" w:cs="Times New Roman"/>
          <w:color w:val="111111"/>
          <w:sz w:val="24"/>
          <w:szCs w:val="24"/>
          <w:highlight w:val="white"/>
        </w:rPr>
      </w:pPr>
      <w:r>
        <w:rPr>
          <w:rFonts w:ascii="Times New Roman" w:hAnsi="Times New Roman" w:cs="Times New Roman"/>
          <w:color w:val="000000" w:themeColor="text1"/>
          <w:sz w:val="24"/>
          <w:szCs w:val="24"/>
          <w:lang w:val="en-US"/>
        </w:rPr>
        <w:t>T</w:t>
      </w:r>
      <w:r w:rsidRPr="002E59EB">
        <w:rPr>
          <w:rFonts w:ascii="Times New Roman" w:hAnsi="Times New Roman" w:cs="Times New Roman"/>
          <w:color w:val="000000" w:themeColor="text1"/>
          <w:sz w:val="24"/>
          <w:szCs w:val="24"/>
          <w:lang w:val="en-US"/>
        </w:rPr>
        <w:t xml:space="preserve">he current moment </w:t>
      </w:r>
      <w:r w:rsidR="008806C0" w:rsidRPr="00B1669A">
        <w:rPr>
          <w:rFonts w:ascii="Times New Roman" w:hAnsi="Times New Roman" w:cs="Times New Roman"/>
          <w:color w:val="000000" w:themeColor="text1"/>
          <w:sz w:val="24"/>
          <w:szCs w:val="24"/>
          <w:lang w:val="en-US"/>
        </w:rPr>
        <w:t>presents a singular opportunity to advance open finance not only as a tool for consumer empowerment but as a coordinated economic strategy to support innovation, reduce intra-Canadian trade barriers, and build a more resilient national economy.</w:t>
      </w:r>
    </w:p>
    <w:p w14:paraId="1CF0B03A" w14:textId="77777777" w:rsidR="00092B87" w:rsidRDefault="00AA0DFC" w:rsidP="3ABC8FCC">
      <w:pPr>
        <w:spacing w:before="240" w:after="240"/>
        <w:jc w:val="both"/>
        <w:rPr>
          <w:rFonts w:ascii="Times New Roman" w:hAnsi="Times New Roman" w:cs="Times New Roman"/>
          <w:color w:val="111111"/>
          <w:sz w:val="24"/>
          <w:szCs w:val="24"/>
          <w:highlight w:val="white"/>
          <w:lang w:val="en-US"/>
        </w:rPr>
      </w:pPr>
      <w:r w:rsidRPr="3ABC8FCC">
        <w:rPr>
          <w:rFonts w:ascii="Times New Roman" w:hAnsi="Times New Roman" w:cs="Times New Roman"/>
          <w:color w:val="111111"/>
          <w:sz w:val="24"/>
          <w:szCs w:val="24"/>
          <w:highlight w:val="white"/>
          <w:lang w:val="en-US"/>
        </w:rPr>
        <w:t xml:space="preserve">As we have seen with Canada’s open banking experience, changes in financial sector policy have historically taken too long to be realized. The number of interested stakeholders is significant, entrenched interests remain as barriers to change, and outside factors can lead to significant time delays. Canada must begin thinking about what its open finance regime will look like, the sequencing of the files it aims to tackle, the appropriate pace to bring in such changes, the budget and people it needs to deliver it, and the overarching vision it seeks to achieve. These are complex, dynamic, and impactful policy decisions, which directly touch almost all Canadians in one way or another. </w:t>
      </w:r>
    </w:p>
    <w:p w14:paraId="7626D048" w14:textId="77777777" w:rsidR="00272EE3" w:rsidRDefault="00AA0DFC" w:rsidP="3ABC8FCC">
      <w:pPr>
        <w:spacing w:before="240" w:after="240"/>
        <w:jc w:val="both"/>
        <w:rPr>
          <w:rFonts w:ascii="Times New Roman" w:hAnsi="Times New Roman" w:cs="Times New Roman"/>
          <w:color w:val="111111"/>
          <w:sz w:val="24"/>
          <w:szCs w:val="24"/>
          <w:highlight w:val="white"/>
          <w:lang w:val="en-US"/>
        </w:rPr>
      </w:pPr>
      <w:r w:rsidRPr="3ABC8FCC">
        <w:rPr>
          <w:rFonts w:ascii="Times New Roman" w:hAnsi="Times New Roman" w:cs="Times New Roman"/>
          <w:color w:val="111111"/>
          <w:sz w:val="24"/>
          <w:szCs w:val="24"/>
          <w:highlight w:val="white"/>
          <w:lang w:val="en-US"/>
        </w:rPr>
        <w:t xml:space="preserve">For Canada to get it right, the government must begin outlining its open finance vision as soon as possible. Budget 2025 should formalize this iterative process and stake out a timeline under which additional types of financial accounts will be added to the open </w:t>
      </w:r>
      <w:r w:rsidR="00320C42">
        <w:rPr>
          <w:rFonts w:ascii="Times New Roman" w:hAnsi="Times New Roman" w:cs="Times New Roman"/>
          <w:color w:val="111111"/>
          <w:sz w:val="24"/>
          <w:szCs w:val="24"/>
          <w:highlight w:val="white"/>
          <w:lang w:val="en-US"/>
        </w:rPr>
        <w:t>finance</w:t>
      </w:r>
      <w:r w:rsidR="00320C42" w:rsidRPr="3ABC8FCC">
        <w:rPr>
          <w:rFonts w:ascii="Times New Roman" w:hAnsi="Times New Roman" w:cs="Times New Roman"/>
          <w:color w:val="111111"/>
          <w:sz w:val="24"/>
          <w:szCs w:val="24"/>
          <w:highlight w:val="white"/>
          <w:lang w:val="en-US"/>
        </w:rPr>
        <w:t xml:space="preserve"> </w:t>
      </w:r>
      <w:r w:rsidRPr="3ABC8FCC">
        <w:rPr>
          <w:rFonts w:ascii="Times New Roman" w:hAnsi="Times New Roman" w:cs="Times New Roman"/>
          <w:color w:val="111111"/>
          <w:sz w:val="24"/>
          <w:szCs w:val="24"/>
          <w:highlight w:val="white"/>
          <w:lang w:val="en-US"/>
        </w:rPr>
        <w:t xml:space="preserve">framework first implemented through Budget 2024. To be as impactful as possible, Canada’s open finance system should ultimately include </w:t>
      </w:r>
      <w:r w:rsidRPr="3ABC8FCC">
        <w:rPr>
          <w:rFonts w:ascii="Times New Roman" w:hAnsi="Times New Roman" w:cs="Times New Roman"/>
          <w:i/>
          <w:iCs/>
          <w:color w:val="111111"/>
          <w:sz w:val="24"/>
          <w:szCs w:val="24"/>
          <w:highlight w:val="white"/>
          <w:lang w:val="en-US"/>
        </w:rPr>
        <w:t>any</w:t>
      </w:r>
      <w:r w:rsidRPr="3ABC8FCC">
        <w:rPr>
          <w:rFonts w:ascii="Times New Roman" w:hAnsi="Times New Roman" w:cs="Times New Roman"/>
          <w:color w:val="111111"/>
          <w:sz w:val="24"/>
          <w:szCs w:val="24"/>
          <w:highlight w:val="white"/>
          <w:lang w:val="en-US"/>
        </w:rPr>
        <w:t xml:space="preserve"> financial account controlled by a consumer or small </w:t>
      </w:r>
      <w:r w:rsidR="00E97090" w:rsidRPr="3ABC8FCC">
        <w:rPr>
          <w:rFonts w:ascii="Times New Roman" w:hAnsi="Times New Roman" w:cs="Times New Roman"/>
          <w:color w:val="111111"/>
          <w:sz w:val="24"/>
          <w:szCs w:val="24"/>
          <w:highlight w:val="white"/>
          <w:lang w:val="en-US"/>
        </w:rPr>
        <w:t>business and</w:t>
      </w:r>
      <w:r w:rsidRPr="3ABC8FCC">
        <w:rPr>
          <w:rFonts w:ascii="Times New Roman" w:hAnsi="Times New Roman" w:cs="Times New Roman"/>
          <w:color w:val="111111"/>
          <w:sz w:val="24"/>
          <w:szCs w:val="24"/>
          <w:highlight w:val="white"/>
          <w:lang w:val="en-US"/>
        </w:rPr>
        <w:t xml:space="preserve"> facilitate both read and write access to allow for payment use cases to come to market. </w:t>
      </w:r>
      <w:r w:rsidR="00CD564A" w:rsidRPr="00CD564A">
        <w:rPr>
          <w:rFonts w:ascii="Times New Roman" w:hAnsi="Times New Roman" w:cs="Times New Roman"/>
          <w:color w:val="111111"/>
          <w:sz w:val="24"/>
          <w:szCs w:val="24"/>
          <w:lang w:val="en-US"/>
        </w:rPr>
        <w:t>This vision must be supported by clear and consistent rules across jurisdictions to ensure seamless implementation and minimize fragmentation.</w:t>
      </w:r>
      <w:r w:rsidR="00CD564A">
        <w:rPr>
          <w:rFonts w:ascii="Times New Roman" w:hAnsi="Times New Roman" w:cs="Times New Roman"/>
          <w:color w:val="111111"/>
          <w:sz w:val="24"/>
          <w:szCs w:val="24"/>
          <w:lang w:val="en-US"/>
        </w:rPr>
        <w:t xml:space="preserve"> </w:t>
      </w:r>
      <w:r w:rsidR="00272EE3" w:rsidRPr="00272EE3">
        <w:rPr>
          <w:rFonts w:ascii="Times New Roman" w:hAnsi="Times New Roman" w:cs="Times New Roman"/>
          <w:color w:val="111111"/>
          <w:sz w:val="24"/>
          <w:szCs w:val="24"/>
          <w:lang w:val="en-US"/>
        </w:rPr>
        <w:t>That also means defining penalties clearly, scaling them according to firm size and severity of any non-compliance, and establishing accessible appeals processes.</w:t>
      </w:r>
      <w:r w:rsidR="00272EE3" w:rsidRPr="00272EE3">
        <w:rPr>
          <w:rFonts w:ascii="Times New Roman" w:hAnsi="Times New Roman" w:cs="Times New Roman"/>
          <w:color w:val="111111"/>
          <w:sz w:val="24"/>
          <w:szCs w:val="24"/>
          <w:highlight w:val="white"/>
          <w:lang w:val="en-US"/>
        </w:rPr>
        <w:t xml:space="preserve"> </w:t>
      </w:r>
    </w:p>
    <w:p w14:paraId="6348AFB5" w14:textId="642638FA" w:rsidR="00272EE3" w:rsidRPr="000A1C37" w:rsidRDefault="00272EE3" w:rsidP="3ABC8FCC">
      <w:pPr>
        <w:spacing w:before="240" w:after="240"/>
        <w:jc w:val="both"/>
        <w:rPr>
          <w:rFonts w:ascii="Times New Roman" w:hAnsi="Times New Roman" w:cs="Times New Roman"/>
          <w:color w:val="111111"/>
          <w:sz w:val="24"/>
          <w:szCs w:val="24"/>
          <w:lang w:val="en-US"/>
        </w:rPr>
      </w:pPr>
      <w:r w:rsidRPr="000A1C37">
        <w:rPr>
          <w:rFonts w:ascii="Times New Roman" w:hAnsi="Times New Roman" w:cs="Times New Roman"/>
          <w:color w:val="111111"/>
          <w:sz w:val="24"/>
          <w:szCs w:val="24"/>
          <w:lang w:val="en-US"/>
        </w:rPr>
        <w:t>In building this regime, policymakers must also be mindful of existing regulatory requirements and institutional mandates. For instance, the Bank of Canada already has relevant regulatory responsibilities under the Retail Payment Activities Act (RPAA), and the Office of the Superintendent of Financial Institutions (OSFI) views third-party risk management as an enterprise-wide exercise. Canada must avoid creating an overlapping “alphabet soup” of frameworks that would confuse enforcement authorities and create unmanageable compliance burdens for market participants.</w:t>
      </w:r>
    </w:p>
    <w:p w14:paraId="330E75CA" w14:textId="5862D9C1" w:rsidR="003E47DC" w:rsidRDefault="00AA0DFC" w:rsidP="3ABC8FCC">
      <w:pPr>
        <w:spacing w:before="240" w:after="240"/>
        <w:jc w:val="both"/>
        <w:rPr>
          <w:rFonts w:ascii="Times New Roman" w:hAnsi="Times New Roman" w:cs="Times New Roman"/>
          <w:color w:val="111111"/>
          <w:sz w:val="24"/>
          <w:szCs w:val="24"/>
          <w:lang w:val="en-US"/>
        </w:rPr>
      </w:pPr>
      <w:r w:rsidRPr="3ABC8FCC">
        <w:rPr>
          <w:rFonts w:ascii="Times New Roman" w:hAnsi="Times New Roman" w:cs="Times New Roman"/>
          <w:color w:val="111111"/>
          <w:sz w:val="24"/>
          <w:szCs w:val="24"/>
          <w:highlight w:val="white"/>
          <w:lang w:val="en-US"/>
        </w:rPr>
        <w:t xml:space="preserve">By putting a stake in the ground and committing to a timeline by which the government intends to deliver this outcome, Budget 2025 would stimulate market-driven progress and holistically harness the power of technology to improve consumers’ and small businesses’ financial wellbeing. </w:t>
      </w:r>
    </w:p>
    <w:p w14:paraId="6DB4B1AA" w14:textId="7AD9F189" w:rsidR="00AA0DFC" w:rsidRPr="00EA4DA4" w:rsidRDefault="0091037E" w:rsidP="3ABC8FCC">
      <w:pPr>
        <w:spacing w:before="240" w:after="240"/>
        <w:jc w:val="both"/>
        <w:rPr>
          <w:rFonts w:ascii="Times New Roman" w:hAnsi="Times New Roman" w:cs="Times New Roman"/>
          <w:color w:val="111111"/>
          <w:sz w:val="24"/>
          <w:szCs w:val="24"/>
          <w:highlight w:val="white"/>
          <w:lang w:val="en-US"/>
        </w:rPr>
      </w:pPr>
      <w:r w:rsidRPr="0091037E">
        <w:rPr>
          <w:rFonts w:ascii="Times New Roman" w:hAnsi="Times New Roman" w:cs="Times New Roman"/>
          <w:color w:val="111111"/>
          <w:sz w:val="24"/>
          <w:szCs w:val="24"/>
          <w:lang w:val="en-US"/>
        </w:rPr>
        <w:t xml:space="preserve">By elevating </w:t>
      </w:r>
      <w:r w:rsidR="00320C42">
        <w:rPr>
          <w:rFonts w:ascii="Times New Roman" w:hAnsi="Times New Roman" w:cs="Times New Roman"/>
          <w:color w:val="111111"/>
          <w:sz w:val="24"/>
          <w:szCs w:val="24"/>
          <w:lang w:val="en-US"/>
        </w:rPr>
        <w:t>Consumer-Driven Finance</w:t>
      </w:r>
      <w:r w:rsidRPr="0091037E">
        <w:rPr>
          <w:rFonts w:ascii="Times New Roman" w:hAnsi="Times New Roman" w:cs="Times New Roman"/>
          <w:color w:val="111111"/>
          <w:sz w:val="24"/>
          <w:szCs w:val="24"/>
          <w:lang w:val="en-US"/>
        </w:rPr>
        <w:t xml:space="preserve"> to a national economic priority—rather than a narrow consumer protection initiative—the Government can spark private sector investment, drive digital transformation, and enhance Canada</w:t>
      </w:r>
      <w:r w:rsidR="003E47DC">
        <w:rPr>
          <w:rFonts w:ascii="Times New Roman" w:hAnsi="Times New Roman" w:cs="Times New Roman"/>
          <w:color w:val="111111"/>
          <w:sz w:val="24"/>
          <w:szCs w:val="24"/>
          <w:lang w:val="en-US"/>
        </w:rPr>
        <w:t>’</w:t>
      </w:r>
      <w:r w:rsidRPr="0091037E">
        <w:rPr>
          <w:rFonts w:ascii="Times New Roman" w:hAnsi="Times New Roman" w:cs="Times New Roman"/>
          <w:color w:val="111111"/>
          <w:sz w:val="24"/>
          <w:szCs w:val="24"/>
          <w:lang w:val="en-US"/>
        </w:rPr>
        <w:t>s competitiveness in the global innovation economy</w:t>
      </w:r>
      <w:r w:rsidR="00CD564A" w:rsidRPr="00CD564A">
        <w:rPr>
          <w:rFonts w:ascii="Times New Roman" w:hAnsi="Times New Roman" w:cs="Times New Roman"/>
          <w:color w:val="111111"/>
          <w:sz w:val="24"/>
          <w:szCs w:val="24"/>
          <w:lang w:val="en-US"/>
        </w:rPr>
        <w:t>, as well as enable deeper engagement with other jurisdictions that already have the systems and legal frameworks in place—including the E</w:t>
      </w:r>
      <w:r w:rsidR="00CD564A">
        <w:rPr>
          <w:rFonts w:ascii="Times New Roman" w:hAnsi="Times New Roman" w:cs="Times New Roman"/>
          <w:color w:val="111111"/>
          <w:sz w:val="24"/>
          <w:szCs w:val="24"/>
          <w:lang w:val="en-US"/>
        </w:rPr>
        <w:t xml:space="preserve">uropean </w:t>
      </w:r>
      <w:r w:rsidR="00CD564A" w:rsidRPr="00CD564A">
        <w:rPr>
          <w:rFonts w:ascii="Times New Roman" w:hAnsi="Times New Roman" w:cs="Times New Roman"/>
          <w:color w:val="111111"/>
          <w:sz w:val="24"/>
          <w:szCs w:val="24"/>
          <w:lang w:val="en-US"/>
        </w:rPr>
        <w:t>U</w:t>
      </w:r>
      <w:r w:rsidR="00CD564A">
        <w:rPr>
          <w:rFonts w:ascii="Times New Roman" w:hAnsi="Times New Roman" w:cs="Times New Roman"/>
          <w:color w:val="111111"/>
          <w:sz w:val="24"/>
          <w:szCs w:val="24"/>
          <w:lang w:val="en-US"/>
        </w:rPr>
        <w:t>nion</w:t>
      </w:r>
      <w:r w:rsidR="00CD564A" w:rsidRPr="00CD564A">
        <w:rPr>
          <w:rFonts w:ascii="Times New Roman" w:hAnsi="Times New Roman" w:cs="Times New Roman"/>
          <w:color w:val="111111"/>
          <w:sz w:val="24"/>
          <w:szCs w:val="24"/>
          <w:lang w:val="en-US"/>
        </w:rPr>
        <w:t xml:space="preserve"> and U</w:t>
      </w:r>
      <w:r w:rsidR="00CD564A">
        <w:rPr>
          <w:rFonts w:ascii="Times New Roman" w:hAnsi="Times New Roman" w:cs="Times New Roman"/>
          <w:color w:val="111111"/>
          <w:sz w:val="24"/>
          <w:szCs w:val="24"/>
          <w:lang w:val="en-US"/>
        </w:rPr>
        <w:t xml:space="preserve">nited </w:t>
      </w:r>
      <w:r w:rsidR="00CD564A" w:rsidRPr="00CD564A">
        <w:rPr>
          <w:rFonts w:ascii="Times New Roman" w:hAnsi="Times New Roman" w:cs="Times New Roman"/>
          <w:color w:val="111111"/>
          <w:sz w:val="24"/>
          <w:szCs w:val="24"/>
          <w:lang w:val="en-US"/>
        </w:rPr>
        <w:t>K</w:t>
      </w:r>
      <w:r w:rsidR="00CD564A">
        <w:rPr>
          <w:rFonts w:ascii="Times New Roman" w:hAnsi="Times New Roman" w:cs="Times New Roman"/>
          <w:color w:val="111111"/>
          <w:sz w:val="24"/>
          <w:szCs w:val="24"/>
          <w:lang w:val="en-US"/>
        </w:rPr>
        <w:t>ingdom</w:t>
      </w:r>
      <w:r w:rsidRPr="0091037E">
        <w:rPr>
          <w:rFonts w:ascii="Times New Roman" w:hAnsi="Times New Roman" w:cs="Times New Roman"/>
          <w:color w:val="111111"/>
          <w:sz w:val="24"/>
          <w:szCs w:val="24"/>
          <w:lang w:val="en-US"/>
        </w:rPr>
        <w:t>.</w:t>
      </w:r>
    </w:p>
    <w:p w14:paraId="58307266" w14:textId="3867BC52" w:rsidR="00381FBC" w:rsidRPr="00381FBC" w:rsidRDefault="00381FBC" w:rsidP="00381FBC">
      <w:pPr>
        <w:spacing w:before="240" w:after="240"/>
        <w:jc w:val="both"/>
        <w:rPr>
          <w:rFonts w:ascii="Times New Roman" w:hAnsi="Times New Roman" w:cs="Times New Roman"/>
          <w:color w:val="000000" w:themeColor="text1"/>
          <w:sz w:val="24"/>
          <w:szCs w:val="24"/>
        </w:rPr>
      </w:pPr>
      <w:r w:rsidRPr="00381FBC">
        <w:rPr>
          <w:rFonts w:ascii="Times New Roman" w:hAnsi="Times New Roman" w:cs="Times New Roman"/>
          <w:color w:val="000000" w:themeColor="text1"/>
          <w:sz w:val="24"/>
          <w:szCs w:val="24"/>
        </w:rPr>
        <w:t xml:space="preserve">Budget 2025 must reflect </w:t>
      </w:r>
      <w:r w:rsidRPr="00B1669A">
        <w:rPr>
          <w:rFonts w:ascii="Times New Roman" w:hAnsi="Times New Roman" w:cs="Times New Roman"/>
          <w:i/>
          <w:iCs/>
          <w:color w:val="000000" w:themeColor="text1"/>
          <w:sz w:val="24"/>
          <w:szCs w:val="24"/>
        </w:rPr>
        <w:t>whole-of-government</w:t>
      </w:r>
      <w:r w:rsidRPr="00381FBC">
        <w:rPr>
          <w:rFonts w:ascii="Times New Roman" w:hAnsi="Times New Roman" w:cs="Times New Roman"/>
          <w:color w:val="000000" w:themeColor="text1"/>
          <w:sz w:val="24"/>
          <w:szCs w:val="24"/>
        </w:rPr>
        <w:t xml:space="preserve"> prioritization</w:t>
      </w:r>
      <w:r w:rsidR="00320C42">
        <w:rPr>
          <w:rFonts w:ascii="Times New Roman" w:hAnsi="Times New Roman" w:cs="Times New Roman"/>
          <w:color w:val="000000" w:themeColor="text1"/>
          <w:sz w:val="24"/>
          <w:szCs w:val="24"/>
        </w:rPr>
        <w:t xml:space="preserve"> </w:t>
      </w:r>
      <w:r w:rsidRPr="00381FBC">
        <w:rPr>
          <w:rFonts w:ascii="Times New Roman" w:hAnsi="Times New Roman" w:cs="Times New Roman"/>
          <w:color w:val="000000" w:themeColor="text1"/>
          <w:sz w:val="24"/>
          <w:szCs w:val="24"/>
        </w:rPr>
        <w:t>to ensure cross-ministerial alignment and delivery of an open finance regime that:</w:t>
      </w:r>
    </w:p>
    <w:p w14:paraId="10085836" w14:textId="74614430" w:rsidR="00381FBC" w:rsidRDefault="00381FBC" w:rsidP="00381FBC">
      <w:pPr>
        <w:pStyle w:val="ListParagraph"/>
        <w:numPr>
          <w:ilvl w:val="0"/>
          <w:numId w:val="1"/>
        </w:numPr>
        <w:spacing w:before="240" w:after="240"/>
        <w:jc w:val="both"/>
        <w:rPr>
          <w:rFonts w:ascii="Times New Roman" w:hAnsi="Times New Roman" w:cs="Times New Roman"/>
          <w:color w:val="000000" w:themeColor="text1"/>
          <w:sz w:val="24"/>
          <w:szCs w:val="24"/>
        </w:rPr>
      </w:pPr>
      <w:r w:rsidRPr="00B1669A">
        <w:rPr>
          <w:rFonts w:ascii="Times New Roman" w:hAnsi="Times New Roman" w:cs="Times New Roman"/>
          <w:color w:val="000000" w:themeColor="text1"/>
          <w:sz w:val="24"/>
          <w:szCs w:val="24"/>
        </w:rPr>
        <w:t xml:space="preserve">Enables </w:t>
      </w:r>
      <w:r w:rsidR="00320C42">
        <w:rPr>
          <w:rFonts w:ascii="Times New Roman" w:hAnsi="Times New Roman" w:cs="Times New Roman"/>
          <w:color w:val="000000" w:themeColor="text1"/>
          <w:sz w:val="24"/>
          <w:szCs w:val="24"/>
        </w:rPr>
        <w:t xml:space="preserve">consumers and </w:t>
      </w:r>
      <w:r w:rsidR="00115B9B">
        <w:rPr>
          <w:rFonts w:ascii="Times New Roman" w:hAnsi="Times New Roman" w:cs="Times New Roman"/>
          <w:color w:val="000000" w:themeColor="text1"/>
          <w:sz w:val="24"/>
          <w:szCs w:val="24"/>
        </w:rPr>
        <w:t>small and medium-sized enterprises (</w:t>
      </w:r>
      <w:r w:rsidR="00320C42">
        <w:rPr>
          <w:rFonts w:ascii="Times New Roman" w:hAnsi="Times New Roman" w:cs="Times New Roman"/>
          <w:color w:val="000000" w:themeColor="text1"/>
          <w:sz w:val="24"/>
          <w:szCs w:val="24"/>
        </w:rPr>
        <w:t>SMEs</w:t>
      </w:r>
      <w:r w:rsidR="00115B9B">
        <w:rPr>
          <w:rFonts w:ascii="Times New Roman" w:hAnsi="Times New Roman" w:cs="Times New Roman"/>
          <w:color w:val="000000" w:themeColor="text1"/>
          <w:sz w:val="24"/>
          <w:szCs w:val="24"/>
        </w:rPr>
        <w:t>)</w:t>
      </w:r>
      <w:r w:rsidR="00320C42">
        <w:rPr>
          <w:rFonts w:ascii="Times New Roman" w:hAnsi="Times New Roman" w:cs="Times New Roman"/>
          <w:color w:val="000000" w:themeColor="text1"/>
          <w:sz w:val="24"/>
          <w:szCs w:val="24"/>
        </w:rPr>
        <w:t xml:space="preserve"> to share their</w:t>
      </w:r>
      <w:r w:rsidRPr="00B1669A">
        <w:rPr>
          <w:rFonts w:ascii="Times New Roman" w:hAnsi="Times New Roman" w:cs="Times New Roman"/>
          <w:color w:val="000000" w:themeColor="text1"/>
          <w:sz w:val="24"/>
          <w:szCs w:val="24"/>
        </w:rPr>
        <w:t xml:space="preserve"> financial data across all types of accounts, including those held at provincially regulated institutions</w:t>
      </w:r>
      <w:r w:rsidR="00D12D0C">
        <w:rPr>
          <w:rFonts w:ascii="Times New Roman" w:hAnsi="Times New Roman" w:cs="Times New Roman"/>
          <w:color w:val="000000" w:themeColor="text1"/>
          <w:sz w:val="24"/>
          <w:szCs w:val="24"/>
        </w:rPr>
        <w:t>;</w:t>
      </w:r>
    </w:p>
    <w:p w14:paraId="2BE4A76A" w14:textId="34628CE7" w:rsidR="00381FBC" w:rsidRDefault="00CD564A" w:rsidP="00381FBC">
      <w:pPr>
        <w:pStyle w:val="ListParagraph"/>
        <w:numPr>
          <w:ilvl w:val="0"/>
          <w:numId w:val="1"/>
        </w:numPr>
        <w:spacing w:before="240" w:after="240"/>
        <w:jc w:val="both"/>
        <w:rPr>
          <w:rFonts w:ascii="Times New Roman" w:hAnsi="Times New Roman" w:cs="Times New Roman"/>
          <w:color w:val="000000" w:themeColor="text1"/>
          <w:sz w:val="24"/>
          <w:szCs w:val="24"/>
        </w:rPr>
      </w:pPr>
      <w:r w:rsidRPr="000A1C37">
        <w:rPr>
          <w:rFonts w:ascii="Times New Roman" w:hAnsi="Times New Roman" w:cs="Times New Roman"/>
          <w:color w:val="000000" w:themeColor="text1"/>
          <w:sz w:val="24"/>
          <w:szCs w:val="24"/>
        </w:rPr>
        <w:t>Delivers regulatory harmonization to</w:t>
      </w:r>
      <w:r>
        <w:t xml:space="preserve"> </w:t>
      </w:r>
      <w:r>
        <w:rPr>
          <w:rFonts w:ascii="Times New Roman" w:hAnsi="Times New Roman" w:cs="Times New Roman"/>
          <w:color w:val="000000" w:themeColor="text1"/>
          <w:sz w:val="24"/>
          <w:szCs w:val="24"/>
        </w:rPr>
        <w:t>f</w:t>
      </w:r>
      <w:r w:rsidR="00381FBC" w:rsidRPr="00B1669A">
        <w:rPr>
          <w:rFonts w:ascii="Times New Roman" w:hAnsi="Times New Roman" w:cs="Times New Roman"/>
          <w:color w:val="000000" w:themeColor="text1"/>
          <w:sz w:val="24"/>
          <w:szCs w:val="24"/>
        </w:rPr>
        <w:t>acilitate a harmonized national marketplace, bridging jurisdictional divides that currently limit the scalability of financial services and technology solutions across provincial borders</w:t>
      </w:r>
      <w:r w:rsidR="00D12D0C">
        <w:rPr>
          <w:rFonts w:ascii="Times New Roman" w:hAnsi="Times New Roman" w:cs="Times New Roman"/>
          <w:color w:val="000000" w:themeColor="text1"/>
          <w:sz w:val="24"/>
          <w:szCs w:val="24"/>
        </w:rPr>
        <w:t>; and</w:t>
      </w:r>
    </w:p>
    <w:p w14:paraId="782C6778" w14:textId="03FBEC20" w:rsidR="00AA0DFC" w:rsidRPr="00B1669A" w:rsidRDefault="00320C42" w:rsidP="00B1669A">
      <w:pPr>
        <w:pStyle w:val="ListParagraph"/>
        <w:numPr>
          <w:ilvl w:val="0"/>
          <w:numId w:val="1"/>
        </w:numPr>
        <w:spacing w:before="240" w:after="240"/>
        <w:jc w:val="both"/>
        <w:rPr>
          <w:rFonts w:ascii="Times New Roman" w:hAnsi="Times New Roman" w:cs="Times New Roman"/>
          <w:color w:val="000000" w:themeColor="text1"/>
          <w:sz w:val="24"/>
          <w:szCs w:val="24"/>
          <w:lang w:val="en-US"/>
        </w:rPr>
      </w:pPr>
      <w:r w:rsidRPr="29835C85">
        <w:rPr>
          <w:rFonts w:ascii="Times New Roman" w:hAnsi="Times New Roman" w:cs="Times New Roman"/>
          <w:color w:val="000000" w:themeColor="text1"/>
          <w:sz w:val="24"/>
          <w:szCs w:val="24"/>
          <w:lang w:val="en-US"/>
        </w:rPr>
        <w:t>Affirmatively allows for</w:t>
      </w:r>
      <w:r w:rsidR="00381FBC" w:rsidRPr="29835C85">
        <w:rPr>
          <w:rFonts w:ascii="Times New Roman" w:hAnsi="Times New Roman" w:cs="Times New Roman"/>
          <w:color w:val="000000" w:themeColor="text1"/>
          <w:sz w:val="24"/>
          <w:szCs w:val="24"/>
          <w:lang w:val="en-US"/>
        </w:rPr>
        <w:t xml:space="preserve"> participation by small businesses, which employ 98% of Canadians, and which currently face unclear access rights under the framework initiated last year.</w:t>
      </w:r>
    </w:p>
    <w:p w14:paraId="68742739" w14:textId="57870FB5" w:rsidR="00AA0DFC" w:rsidRPr="00D11731" w:rsidRDefault="00AA0DFC" w:rsidP="00AA0DFC">
      <w:pPr>
        <w:spacing w:before="240" w:after="240"/>
        <w:jc w:val="both"/>
        <w:rPr>
          <w:rFonts w:ascii="Times New Roman" w:hAnsi="Times New Roman" w:cs="Times New Roman"/>
          <w:color w:val="1D1C1D"/>
          <w:sz w:val="24"/>
          <w:szCs w:val="24"/>
        </w:rPr>
      </w:pPr>
      <w:r>
        <w:rPr>
          <w:rFonts w:ascii="Times New Roman" w:hAnsi="Times New Roman" w:cs="Times New Roman"/>
          <w:color w:val="1D1C1D"/>
          <w:sz w:val="24"/>
          <w:szCs w:val="24"/>
        </w:rPr>
        <w:t xml:space="preserve">For Canada’s innovators, consumers, and small businesses alike, the path toward </w:t>
      </w:r>
      <w:r w:rsidR="00320C42">
        <w:rPr>
          <w:rFonts w:ascii="Times New Roman" w:hAnsi="Times New Roman" w:cs="Times New Roman"/>
          <w:color w:val="1D1C1D"/>
          <w:sz w:val="24"/>
          <w:szCs w:val="24"/>
        </w:rPr>
        <w:t>Consumer-Driven Finance</w:t>
      </w:r>
      <w:r>
        <w:rPr>
          <w:rFonts w:ascii="Times New Roman" w:hAnsi="Times New Roman" w:cs="Times New Roman"/>
          <w:color w:val="1D1C1D"/>
          <w:sz w:val="24"/>
          <w:szCs w:val="24"/>
        </w:rPr>
        <w:t xml:space="preserve"> has already been marred by too many delays. </w:t>
      </w:r>
      <w:r w:rsidR="00AA534A" w:rsidRPr="00AA534A">
        <w:rPr>
          <w:rFonts w:ascii="Times New Roman" w:hAnsi="Times New Roman" w:cs="Times New Roman"/>
          <w:color w:val="1D1C1D"/>
          <w:sz w:val="24"/>
          <w:szCs w:val="24"/>
        </w:rPr>
        <w:t>Other global markets have moved ahead decisively with broader regimes,</w:t>
      </w:r>
      <w:r w:rsidR="00AA534A">
        <w:rPr>
          <w:rFonts w:ascii="Times New Roman" w:hAnsi="Times New Roman" w:cs="Times New Roman"/>
          <w:color w:val="1D1C1D"/>
          <w:sz w:val="24"/>
          <w:szCs w:val="24"/>
        </w:rPr>
        <w:t xml:space="preserve"> leaving </w:t>
      </w:r>
      <w:r>
        <w:rPr>
          <w:rFonts w:ascii="Times New Roman" w:hAnsi="Times New Roman" w:cs="Times New Roman"/>
          <w:color w:val="1D1C1D"/>
          <w:sz w:val="24"/>
          <w:szCs w:val="24"/>
        </w:rPr>
        <w:t xml:space="preserve">Canada </w:t>
      </w:r>
      <w:r w:rsidR="00AA534A">
        <w:rPr>
          <w:rFonts w:ascii="Times New Roman" w:hAnsi="Times New Roman" w:cs="Times New Roman"/>
          <w:color w:val="1D1C1D"/>
          <w:sz w:val="24"/>
          <w:szCs w:val="24"/>
        </w:rPr>
        <w:t xml:space="preserve">behind. </w:t>
      </w:r>
      <w:r>
        <w:rPr>
          <w:rFonts w:ascii="Times New Roman" w:hAnsi="Times New Roman" w:cs="Times New Roman"/>
          <w:color w:val="1D1C1D"/>
          <w:sz w:val="24"/>
          <w:szCs w:val="24"/>
        </w:rPr>
        <w:t xml:space="preserve">To seize the opportunity presented </w:t>
      </w:r>
      <w:r w:rsidR="00B47E01">
        <w:rPr>
          <w:rFonts w:ascii="Times New Roman" w:hAnsi="Times New Roman" w:cs="Times New Roman"/>
          <w:color w:val="1D1C1D"/>
          <w:sz w:val="24"/>
          <w:szCs w:val="24"/>
        </w:rPr>
        <w:t>by technology-driven financial services, to provide a more competitive financial services marketplace, and to keep pace with its G-7 peers, Canada must implement an open finance ecosystem without further delay.</w:t>
      </w:r>
    </w:p>
    <w:p w14:paraId="47CAF4E4" w14:textId="1962965B" w:rsidR="00B47E01" w:rsidRDefault="00A1118E" w:rsidP="00B47E01">
      <w:pPr>
        <w:spacing w:before="240" w:after="240"/>
        <w:jc w:val="both"/>
        <w:rPr>
          <w:rFonts w:ascii="Times New Roman" w:hAnsi="Times New Roman" w:cs="Times New Roman"/>
          <w:b/>
          <w:color w:val="1D1C1D"/>
          <w:sz w:val="24"/>
          <w:szCs w:val="24"/>
        </w:rPr>
      </w:pPr>
      <w:r w:rsidRPr="00D11731">
        <w:rPr>
          <w:rFonts w:ascii="Times New Roman" w:hAnsi="Times New Roman" w:cs="Times New Roman"/>
          <w:b/>
          <w:color w:val="1D1C1D"/>
          <w:sz w:val="24"/>
          <w:szCs w:val="24"/>
        </w:rPr>
        <w:t xml:space="preserve">Recommendation </w:t>
      </w:r>
      <w:r w:rsidR="00D00E15">
        <w:rPr>
          <w:rFonts w:ascii="Times New Roman" w:hAnsi="Times New Roman" w:cs="Times New Roman"/>
          <w:b/>
          <w:color w:val="1D1C1D"/>
          <w:sz w:val="24"/>
          <w:szCs w:val="24"/>
        </w:rPr>
        <w:t>2</w:t>
      </w:r>
      <w:r w:rsidRPr="00D11731">
        <w:rPr>
          <w:rFonts w:ascii="Times New Roman" w:hAnsi="Times New Roman" w:cs="Times New Roman"/>
          <w:b/>
          <w:color w:val="1D1C1D"/>
          <w:sz w:val="24"/>
          <w:szCs w:val="24"/>
        </w:rPr>
        <w:t>:</w:t>
      </w:r>
      <w:r w:rsidR="00B47E01">
        <w:rPr>
          <w:rFonts w:ascii="Times New Roman" w:hAnsi="Times New Roman" w:cs="Times New Roman"/>
          <w:b/>
          <w:color w:val="1D1C1D"/>
          <w:sz w:val="24"/>
          <w:szCs w:val="24"/>
        </w:rPr>
        <w:t xml:space="preserve"> </w:t>
      </w:r>
      <w:r w:rsidR="0091037E">
        <w:rPr>
          <w:rFonts w:ascii="Times New Roman" w:hAnsi="Times New Roman" w:cs="Times New Roman"/>
          <w:b/>
          <w:color w:val="1D1C1D"/>
          <w:sz w:val="24"/>
          <w:szCs w:val="24"/>
        </w:rPr>
        <w:t xml:space="preserve">Structural Reforms to Ensure </w:t>
      </w:r>
      <w:r w:rsidR="00320C42">
        <w:rPr>
          <w:rFonts w:ascii="Times New Roman" w:hAnsi="Times New Roman" w:cs="Times New Roman"/>
          <w:b/>
          <w:color w:val="1D1C1D"/>
          <w:sz w:val="24"/>
          <w:szCs w:val="24"/>
        </w:rPr>
        <w:t>Consumer-Driven Finance</w:t>
      </w:r>
      <w:r w:rsidR="00B47E01">
        <w:rPr>
          <w:rFonts w:ascii="Times New Roman" w:hAnsi="Times New Roman" w:cs="Times New Roman"/>
          <w:b/>
          <w:color w:val="1D1C1D"/>
          <w:sz w:val="24"/>
          <w:szCs w:val="24"/>
        </w:rPr>
        <w:t xml:space="preserve"> Work</w:t>
      </w:r>
      <w:r w:rsidR="0091037E">
        <w:rPr>
          <w:rFonts w:ascii="Times New Roman" w:hAnsi="Times New Roman" w:cs="Times New Roman"/>
          <w:b/>
          <w:color w:val="1D1C1D"/>
          <w:sz w:val="24"/>
          <w:szCs w:val="24"/>
        </w:rPr>
        <w:t>s</w:t>
      </w:r>
    </w:p>
    <w:p w14:paraId="5BB57B67" w14:textId="32EC37DC" w:rsidR="00B47E01" w:rsidRPr="00B47E01" w:rsidRDefault="00B47E01" w:rsidP="00B47E01">
      <w:pPr>
        <w:spacing w:before="240" w:after="240"/>
        <w:jc w:val="both"/>
        <w:rPr>
          <w:rFonts w:ascii="Times New Roman" w:hAnsi="Times New Roman" w:cs="Times New Roman"/>
          <w:bCs/>
          <w:color w:val="1D1C1D"/>
          <w:sz w:val="24"/>
          <w:szCs w:val="24"/>
        </w:rPr>
      </w:pPr>
      <w:r>
        <w:rPr>
          <w:rFonts w:ascii="Times New Roman" w:hAnsi="Times New Roman" w:cs="Times New Roman"/>
          <w:bCs/>
          <w:color w:val="1D1C1D"/>
          <w:sz w:val="24"/>
          <w:szCs w:val="24"/>
        </w:rPr>
        <w:t xml:space="preserve">FDATA has for the last year advocated for nuanced but important amendments to the </w:t>
      </w:r>
      <w:r w:rsidR="00320C42">
        <w:rPr>
          <w:rFonts w:ascii="Times New Roman" w:hAnsi="Times New Roman" w:cs="Times New Roman"/>
          <w:bCs/>
          <w:color w:val="1D1C1D"/>
          <w:sz w:val="24"/>
          <w:szCs w:val="24"/>
        </w:rPr>
        <w:t>Consumer-Driven Finance</w:t>
      </w:r>
      <w:r>
        <w:rPr>
          <w:rFonts w:ascii="Times New Roman" w:hAnsi="Times New Roman" w:cs="Times New Roman"/>
          <w:bCs/>
          <w:color w:val="1D1C1D"/>
          <w:sz w:val="24"/>
          <w:szCs w:val="24"/>
        </w:rPr>
        <w:t xml:space="preserve"> framework introduced by Budget 2024 to ensure the system works as intended. These recommendations have generally focused on </w:t>
      </w:r>
      <w:r w:rsidRPr="00AA0DFC">
        <w:rPr>
          <w:rFonts w:ascii="Times New Roman" w:hAnsi="Times New Roman" w:cs="Times New Roman"/>
          <w:color w:val="000000" w:themeColor="text1"/>
          <w:sz w:val="24"/>
          <w:szCs w:val="24"/>
        </w:rPr>
        <w:t xml:space="preserve">the importance of unambiguously including small business accounts within the scope of the first phase of Canada’s open </w:t>
      </w:r>
      <w:r w:rsidR="00320C42">
        <w:rPr>
          <w:rFonts w:ascii="Times New Roman" w:hAnsi="Times New Roman" w:cs="Times New Roman"/>
          <w:color w:val="000000" w:themeColor="text1"/>
          <w:sz w:val="24"/>
          <w:szCs w:val="24"/>
        </w:rPr>
        <w:t>finance</w:t>
      </w:r>
      <w:r w:rsidR="00320C42" w:rsidRPr="00AA0DFC">
        <w:rPr>
          <w:rFonts w:ascii="Times New Roman" w:hAnsi="Times New Roman" w:cs="Times New Roman"/>
          <w:color w:val="000000" w:themeColor="text1"/>
          <w:sz w:val="24"/>
          <w:szCs w:val="24"/>
        </w:rPr>
        <w:t xml:space="preserve"> </w:t>
      </w:r>
      <w:r w:rsidRPr="00AA0DFC">
        <w:rPr>
          <w:rFonts w:ascii="Times New Roman" w:hAnsi="Times New Roman" w:cs="Times New Roman"/>
          <w:color w:val="000000" w:themeColor="text1"/>
          <w:sz w:val="24"/>
          <w:szCs w:val="24"/>
        </w:rPr>
        <w:t>system,</w:t>
      </w:r>
      <w:r>
        <w:rPr>
          <w:rFonts w:ascii="Times New Roman" w:hAnsi="Times New Roman" w:cs="Times New Roman"/>
          <w:color w:val="000000" w:themeColor="text1"/>
          <w:sz w:val="24"/>
          <w:szCs w:val="24"/>
        </w:rPr>
        <w:t xml:space="preserve"> providing for an appropriate governance entity over the system, and ensuring that all stakeholders have the right to due process as part of that system so that</w:t>
      </w:r>
      <w:r w:rsidRPr="00AA0DFC">
        <w:rPr>
          <w:rFonts w:ascii="Times New Roman" w:hAnsi="Times New Roman" w:cs="Times New Roman"/>
          <w:color w:val="000000" w:themeColor="text1"/>
          <w:sz w:val="24"/>
          <w:szCs w:val="24"/>
        </w:rPr>
        <w:t xml:space="preserve"> third-party financial providers may obtain accreditation and offer their services to end users across the country. </w:t>
      </w:r>
    </w:p>
    <w:p w14:paraId="5C4BF7F5" w14:textId="787DAEBC" w:rsidR="00B47E01" w:rsidRDefault="00B47E01"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 xml:space="preserve">Amidst uncertainty amongst stakeholders in the financial sector as to how broadly the language in Budget 2024 covers small business accounts, Budget 2025 should include clarifying language ensuring that all small business accounts are unequivocally considered within the scope of the first phase of Canada’s open finance framework. Such an approach is entirely consistent with the government’s stated intentions in delivering </w:t>
      </w:r>
      <w:r w:rsidR="00320C42">
        <w:rPr>
          <w:rFonts w:ascii="Times New Roman" w:hAnsi="Times New Roman" w:cs="Times New Roman"/>
          <w:color w:val="1D1C1D"/>
          <w:sz w:val="24"/>
          <w:szCs w:val="24"/>
          <w:lang w:val="en-US"/>
        </w:rPr>
        <w:t>Consumer-Driven Finance</w:t>
      </w:r>
      <w:r w:rsidRPr="3ABC8FCC">
        <w:rPr>
          <w:rFonts w:ascii="Times New Roman" w:hAnsi="Times New Roman" w:cs="Times New Roman"/>
          <w:color w:val="1D1C1D"/>
          <w:sz w:val="24"/>
          <w:szCs w:val="24"/>
          <w:lang w:val="en-US"/>
        </w:rPr>
        <w:t xml:space="preserve"> in </w:t>
      </w:r>
      <w:r w:rsidR="00DC1DAD" w:rsidRPr="3ABC8FCC">
        <w:rPr>
          <w:rFonts w:ascii="Times New Roman" w:hAnsi="Times New Roman" w:cs="Times New Roman"/>
          <w:color w:val="1D1C1D"/>
          <w:sz w:val="24"/>
          <w:szCs w:val="24"/>
          <w:lang w:val="en-US"/>
        </w:rPr>
        <w:t>Canada and</w:t>
      </w:r>
      <w:r w:rsidRPr="3ABC8FCC">
        <w:rPr>
          <w:rFonts w:ascii="Times New Roman" w:hAnsi="Times New Roman" w:cs="Times New Roman"/>
          <w:color w:val="1D1C1D"/>
          <w:sz w:val="24"/>
          <w:szCs w:val="24"/>
          <w:lang w:val="en-US"/>
        </w:rPr>
        <w:t xml:space="preserve"> would ensure that small businesses</w:t>
      </w:r>
      <w:r w:rsidR="004F2586">
        <w:rPr>
          <w:rFonts w:ascii="Times New Roman" w:hAnsi="Times New Roman" w:cs="Times New Roman"/>
          <w:color w:val="1D1C1D"/>
          <w:sz w:val="24"/>
          <w:szCs w:val="24"/>
          <w:lang w:val="en-US"/>
        </w:rPr>
        <w:t xml:space="preserve"> </w:t>
      </w:r>
      <w:r w:rsidRPr="3ABC8FCC">
        <w:rPr>
          <w:rFonts w:ascii="Times New Roman" w:hAnsi="Times New Roman" w:cs="Times New Roman"/>
          <w:color w:val="1D1C1D"/>
          <w:sz w:val="24"/>
          <w:szCs w:val="24"/>
          <w:lang w:val="en-US"/>
        </w:rPr>
        <w:t xml:space="preserve">have the same opportunities to benefit from </w:t>
      </w:r>
      <w:r w:rsidR="00320C42">
        <w:rPr>
          <w:rFonts w:ascii="Times New Roman" w:hAnsi="Times New Roman" w:cs="Times New Roman"/>
          <w:color w:val="1D1C1D"/>
          <w:sz w:val="24"/>
          <w:szCs w:val="24"/>
          <w:lang w:val="en-US"/>
        </w:rPr>
        <w:t>technology</w:t>
      </w:r>
      <w:r w:rsidRPr="3ABC8FCC">
        <w:rPr>
          <w:rFonts w:ascii="Times New Roman" w:hAnsi="Times New Roman" w:cs="Times New Roman"/>
          <w:color w:val="1D1C1D"/>
          <w:sz w:val="24"/>
          <w:szCs w:val="24"/>
          <w:lang w:val="en-US"/>
        </w:rPr>
        <w:t>-enabled tools, products and services as will consumers.</w:t>
      </w:r>
      <w:r w:rsidR="005F626B">
        <w:rPr>
          <w:rFonts w:ascii="Times New Roman" w:hAnsi="Times New Roman" w:cs="Times New Roman"/>
          <w:color w:val="1D1C1D"/>
          <w:sz w:val="24"/>
          <w:szCs w:val="24"/>
          <w:lang w:val="en-US"/>
        </w:rPr>
        <w:t xml:space="preserve"> </w:t>
      </w:r>
      <w:r w:rsidR="005F626B" w:rsidRPr="005F626B">
        <w:rPr>
          <w:rFonts w:ascii="Times New Roman" w:hAnsi="Times New Roman" w:cs="Times New Roman"/>
          <w:color w:val="1D1C1D"/>
          <w:sz w:val="24"/>
          <w:szCs w:val="24"/>
          <w:lang w:val="en-US"/>
        </w:rPr>
        <w:t xml:space="preserve">To </w:t>
      </w:r>
      <w:r w:rsidR="00CC1FB4">
        <w:rPr>
          <w:rFonts w:ascii="Times New Roman" w:hAnsi="Times New Roman" w:cs="Times New Roman"/>
          <w:color w:val="1D1C1D"/>
          <w:sz w:val="24"/>
          <w:szCs w:val="24"/>
          <w:lang w:val="en-US"/>
        </w:rPr>
        <w:t xml:space="preserve">strengthen </w:t>
      </w:r>
      <w:r w:rsidR="00647B0D">
        <w:rPr>
          <w:rFonts w:ascii="Times New Roman" w:hAnsi="Times New Roman" w:cs="Times New Roman"/>
          <w:color w:val="1D1C1D"/>
          <w:sz w:val="24"/>
          <w:szCs w:val="24"/>
          <w:lang w:val="en-US"/>
        </w:rPr>
        <w:t xml:space="preserve">the framework and </w:t>
      </w:r>
      <w:r w:rsidR="005F626B" w:rsidRPr="005F626B">
        <w:rPr>
          <w:rFonts w:ascii="Times New Roman" w:hAnsi="Times New Roman" w:cs="Times New Roman"/>
          <w:color w:val="1D1C1D"/>
          <w:sz w:val="24"/>
          <w:szCs w:val="24"/>
          <w:lang w:val="en-US"/>
        </w:rPr>
        <w:t xml:space="preserve">reduce intra-Canadian trade barriers, Budget 2025 should </w:t>
      </w:r>
      <w:r w:rsidR="00647B0D">
        <w:rPr>
          <w:rFonts w:ascii="Times New Roman" w:hAnsi="Times New Roman" w:cs="Times New Roman"/>
          <w:color w:val="1D1C1D"/>
          <w:sz w:val="24"/>
          <w:szCs w:val="24"/>
          <w:lang w:val="en-US"/>
        </w:rPr>
        <w:t xml:space="preserve">also </w:t>
      </w:r>
      <w:r w:rsidR="005F626B" w:rsidRPr="005F626B">
        <w:rPr>
          <w:rFonts w:ascii="Times New Roman" w:hAnsi="Times New Roman" w:cs="Times New Roman"/>
          <w:color w:val="1D1C1D"/>
          <w:sz w:val="24"/>
          <w:szCs w:val="24"/>
          <w:lang w:val="en-US"/>
        </w:rPr>
        <w:t xml:space="preserve">expand the open finance framework to include provincially regulated financial institutions. Limiting participation to federally regulated </w:t>
      </w:r>
      <w:r w:rsidR="004F4D86">
        <w:rPr>
          <w:rFonts w:ascii="Times New Roman" w:hAnsi="Times New Roman" w:cs="Times New Roman"/>
          <w:color w:val="1D1C1D"/>
          <w:sz w:val="24"/>
          <w:szCs w:val="24"/>
          <w:lang w:val="en-US"/>
        </w:rPr>
        <w:t>entities</w:t>
      </w:r>
      <w:r w:rsidR="005F626B" w:rsidRPr="005F626B">
        <w:rPr>
          <w:rFonts w:ascii="Times New Roman" w:hAnsi="Times New Roman" w:cs="Times New Roman"/>
          <w:color w:val="1D1C1D"/>
          <w:sz w:val="24"/>
          <w:szCs w:val="24"/>
          <w:lang w:val="en-US"/>
        </w:rPr>
        <w:t xml:space="preserve"> </w:t>
      </w:r>
      <w:r w:rsidR="00DC1DAD" w:rsidRPr="005F626B">
        <w:rPr>
          <w:rFonts w:ascii="Times New Roman" w:hAnsi="Times New Roman" w:cs="Times New Roman"/>
          <w:color w:val="1D1C1D"/>
          <w:sz w:val="24"/>
          <w:szCs w:val="24"/>
          <w:lang w:val="en-US"/>
        </w:rPr>
        <w:t>exclude</w:t>
      </w:r>
      <w:r w:rsidR="005F626B" w:rsidRPr="005F626B">
        <w:rPr>
          <w:rFonts w:ascii="Times New Roman" w:hAnsi="Times New Roman" w:cs="Times New Roman"/>
          <w:color w:val="1D1C1D"/>
          <w:sz w:val="24"/>
          <w:szCs w:val="24"/>
          <w:lang w:val="en-US"/>
        </w:rPr>
        <w:t xml:space="preserve"> a significant portion of Canada’s financial system and </w:t>
      </w:r>
      <w:r w:rsidR="004F4D86">
        <w:rPr>
          <w:rFonts w:ascii="Times New Roman" w:hAnsi="Times New Roman" w:cs="Times New Roman"/>
          <w:color w:val="1D1C1D"/>
          <w:sz w:val="24"/>
          <w:szCs w:val="24"/>
          <w:lang w:val="en-US"/>
        </w:rPr>
        <w:t>hinders</w:t>
      </w:r>
      <w:r w:rsidR="005F626B" w:rsidRPr="005F626B">
        <w:rPr>
          <w:rFonts w:ascii="Times New Roman" w:hAnsi="Times New Roman" w:cs="Times New Roman"/>
          <w:color w:val="1D1C1D"/>
          <w:sz w:val="24"/>
          <w:szCs w:val="24"/>
          <w:lang w:val="en-US"/>
        </w:rPr>
        <w:t xml:space="preserve"> the ability of fintechs and consumers to operate consistently across jurisdictions. Broader inclusion will improve consumer access, drive competition, and create a truly national framework.</w:t>
      </w:r>
    </w:p>
    <w:p w14:paraId="49FCE7B5" w14:textId="377C87F6" w:rsidR="004C7960" w:rsidRDefault="00B47E01"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 xml:space="preserve">The delay in standing up consumer-driven finance in Canada has enabled one regulatory benefit: registration with and oversight by the Bank of Canada under the </w:t>
      </w:r>
      <w:r w:rsidR="001370F9">
        <w:rPr>
          <w:rFonts w:ascii="Times New Roman" w:hAnsi="Times New Roman" w:cs="Times New Roman"/>
          <w:color w:val="1D1C1D"/>
          <w:sz w:val="24"/>
          <w:szCs w:val="24"/>
          <w:lang w:val="en-US"/>
        </w:rPr>
        <w:t xml:space="preserve">RPAA </w:t>
      </w:r>
      <w:r w:rsidRPr="3ABC8FCC">
        <w:rPr>
          <w:rFonts w:ascii="Times New Roman" w:hAnsi="Times New Roman" w:cs="Times New Roman"/>
          <w:color w:val="1D1C1D"/>
          <w:sz w:val="24"/>
          <w:szCs w:val="24"/>
          <w:lang w:val="en-US"/>
        </w:rPr>
        <w:t>was implemented late last year. Given the Bank of Canada’s existing oversight responsibilities over financial technology firms and its significant expertise in the financial sector, FDATA continues to believe that it would be a more appropriate entity to govern Canada’s open finance regime.</w:t>
      </w:r>
      <w:r w:rsidR="004005E9">
        <w:rPr>
          <w:rFonts w:ascii="Times New Roman" w:hAnsi="Times New Roman" w:cs="Times New Roman"/>
          <w:color w:val="1D1C1D"/>
          <w:sz w:val="24"/>
          <w:szCs w:val="24"/>
          <w:lang w:val="en-US"/>
        </w:rPr>
        <w:t xml:space="preserve"> </w:t>
      </w:r>
      <w:r w:rsidR="004C7960" w:rsidRPr="00115B9B">
        <w:rPr>
          <w:rFonts w:ascii="Times New Roman" w:hAnsi="Times New Roman" w:cs="Times New Roman"/>
          <w:color w:val="1D1C1D"/>
          <w:sz w:val="24"/>
          <w:szCs w:val="24"/>
          <w:lang w:val="en-US"/>
        </w:rPr>
        <w:t>By contrast, assigning this role to the Financial Consumer Agency of Canada risks duplicative oversight and regulatory fragmentation</w:t>
      </w:r>
      <w:r w:rsidR="004005E9" w:rsidRPr="004005E9">
        <w:rPr>
          <w:rFonts w:ascii="Times New Roman" w:hAnsi="Times New Roman" w:cs="Times New Roman"/>
          <w:color w:val="1D1C1D"/>
          <w:sz w:val="24"/>
          <w:szCs w:val="24"/>
          <w:lang w:val="en-US"/>
        </w:rPr>
        <w:t>.</w:t>
      </w:r>
      <w:r w:rsidRPr="3ABC8FCC">
        <w:rPr>
          <w:rFonts w:ascii="Times New Roman" w:hAnsi="Times New Roman" w:cs="Times New Roman"/>
          <w:color w:val="1D1C1D"/>
          <w:sz w:val="24"/>
          <w:szCs w:val="24"/>
          <w:lang w:val="en-US"/>
        </w:rPr>
        <w:t xml:space="preserve"> </w:t>
      </w:r>
    </w:p>
    <w:p w14:paraId="6C90B8B1" w14:textId="4B927E59" w:rsidR="0007105D" w:rsidRDefault="0007105D" w:rsidP="3ABC8FCC">
      <w:pPr>
        <w:spacing w:before="240" w:after="240"/>
        <w:jc w:val="both"/>
        <w:rPr>
          <w:rFonts w:ascii="Times New Roman" w:hAnsi="Times New Roman" w:cs="Times New Roman"/>
          <w:color w:val="1D1C1D"/>
          <w:sz w:val="24"/>
          <w:szCs w:val="24"/>
          <w:lang w:val="en-US"/>
        </w:rPr>
      </w:pPr>
      <w:r w:rsidRPr="0007105D">
        <w:rPr>
          <w:rFonts w:ascii="Times New Roman" w:hAnsi="Times New Roman" w:cs="Times New Roman"/>
          <w:color w:val="1D1C1D"/>
          <w:sz w:val="24"/>
          <w:szCs w:val="24"/>
          <w:lang w:val="en-US"/>
        </w:rPr>
        <w:t xml:space="preserve">To maximize participation, Budget 2025 should direct the creation of a tiered </w:t>
      </w:r>
      <w:r w:rsidR="004C7960">
        <w:rPr>
          <w:rFonts w:ascii="Times New Roman" w:hAnsi="Times New Roman" w:cs="Times New Roman"/>
          <w:color w:val="1D1C1D"/>
          <w:sz w:val="24"/>
          <w:szCs w:val="24"/>
          <w:lang w:val="en-US"/>
        </w:rPr>
        <w:t xml:space="preserve">and harmonized </w:t>
      </w:r>
      <w:r w:rsidRPr="0007105D">
        <w:rPr>
          <w:rFonts w:ascii="Times New Roman" w:hAnsi="Times New Roman" w:cs="Times New Roman"/>
          <w:color w:val="1D1C1D"/>
          <w:sz w:val="24"/>
          <w:szCs w:val="24"/>
          <w:lang w:val="en-US"/>
        </w:rPr>
        <w:t xml:space="preserve">accreditation regime that builds on existing RPAA obligations and avoids duplicative or misaligned requirements. Without such harmonization, small and innovative firms—many of which are already registered with the Bank of Canada—will face additional and costly compliance layers that may prevent them from entering or remaining in the market. </w:t>
      </w:r>
    </w:p>
    <w:p w14:paraId="7608D8C8" w14:textId="0D0DFC32" w:rsidR="00B47E01" w:rsidRDefault="00B47E01"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 xml:space="preserve">Irrespective of whether Budget 2025 provides for such an outcome, however, the Government should also ensure that enforcement of compliance with open finance requirements is uniformly and consistently applied and, critically, tiered in order to facilitate the entrance of small, innovative companies into the marketplace. To accomplish this important outcome, Budget 2025 should require that the governance entity responsible for oversight of the open finance marketplace have “evidentiary support” before bringing an enforcement action for non-compliance forward, stipulate that the entity must issue regulations establishing the penalties and process for enforcement, and provide stakeholders with an opportunity to more accessibly appeal penalties in the event they believe them to be unwarranted. </w:t>
      </w:r>
    </w:p>
    <w:p w14:paraId="6D75CFE5" w14:textId="69C495F1" w:rsidR="00B47E01" w:rsidRDefault="00B47E01"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 xml:space="preserve">In developing regulations establishing processes and penalties for enforcement in the open finance framework, it is critically important that the governance entity clearly assert the penalties associated with various aspects of non-compliance with the system, and that those penalties be applied on a sliding scale based on the severity of the alleged violation and the size and complexity of the company alleged to have committed the violation. </w:t>
      </w:r>
      <w:r w:rsidR="00EB2F83" w:rsidRPr="00115B9B">
        <w:rPr>
          <w:rFonts w:ascii="Times New Roman" w:hAnsi="Times New Roman" w:cs="Times New Roman"/>
          <w:color w:val="1D1C1D"/>
          <w:sz w:val="24"/>
          <w:szCs w:val="24"/>
          <w:lang w:val="en-US"/>
        </w:rPr>
        <w:t>Such an approach would promote transparency, encourage innovation, and mitigate the risk of smaller firms opting out of the system due to fear of disproportionate penalties or unclear compliance expectations.</w:t>
      </w:r>
    </w:p>
    <w:p w14:paraId="2BB80535" w14:textId="16D7AA91" w:rsidR="00E367A0" w:rsidRDefault="00E367A0" w:rsidP="00E367A0">
      <w:pPr>
        <w:rPr>
          <w:rFonts w:ascii="Times New Roman" w:hAnsi="Times New Roman" w:cs="Times New Roman"/>
          <w:color w:val="1D1C1D"/>
          <w:sz w:val="24"/>
          <w:szCs w:val="24"/>
          <w:lang w:val="en-US"/>
        </w:rPr>
      </w:pPr>
      <w:r w:rsidRPr="00E367A0">
        <w:rPr>
          <w:rFonts w:ascii="Times New Roman" w:hAnsi="Times New Roman" w:cs="Times New Roman"/>
          <w:color w:val="1D1C1D"/>
          <w:sz w:val="24"/>
          <w:szCs w:val="24"/>
          <w:lang w:val="en-US"/>
        </w:rPr>
        <w:t>Finally, to enable full interoperability across sectors and reduce fragmentation, Budget 2025 should propose amendments to the Personal Information Protection and Electronic Documents Act (PIPEDA) to establish a legally binding data access and sharing right for consumers and SMEs. Harmonizing this right across financial, utility, and telecommunications sectors will support a broader consumer-driven finance ecosystem and prevent the development of regulatory silos that could stifle innovation.</w:t>
      </w:r>
    </w:p>
    <w:p w14:paraId="0088B845" w14:textId="77777777" w:rsidR="00E367A0" w:rsidRPr="00D11731" w:rsidRDefault="00E367A0" w:rsidP="00115B9B">
      <w:pPr>
        <w:rPr>
          <w:rFonts w:ascii="Times New Roman" w:hAnsi="Times New Roman" w:cs="Times New Roman"/>
          <w:color w:val="1D1C1D"/>
          <w:sz w:val="24"/>
          <w:szCs w:val="24"/>
          <w:lang w:val="en-US"/>
        </w:rPr>
      </w:pPr>
    </w:p>
    <w:p w14:paraId="0000003B" w14:textId="77777777" w:rsidR="00606B5A" w:rsidRPr="00D11731" w:rsidRDefault="00A1118E" w:rsidP="00E367A0">
      <w:pPr>
        <w:jc w:val="both"/>
        <w:rPr>
          <w:rFonts w:ascii="Times New Roman" w:hAnsi="Times New Roman" w:cs="Times New Roman"/>
          <w:b/>
          <w:bCs/>
          <w:color w:val="111111"/>
          <w:sz w:val="24"/>
          <w:szCs w:val="24"/>
          <w:highlight w:val="white"/>
        </w:rPr>
      </w:pPr>
      <w:r w:rsidRPr="00D11731">
        <w:rPr>
          <w:rFonts w:ascii="Times New Roman" w:hAnsi="Times New Roman" w:cs="Times New Roman"/>
          <w:b/>
          <w:bCs/>
          <w:color w:val="111111"/>
          <w:sz w:val="24"/>
          <w:szCs w:val="24"/>
          <w:highlight w:val="white"/>
        </w:rPr>
        <w:t xml:space="preserve">Conclusion </w:t>
      </w:r>
    </w:p>
    <w:p w14:paraId="13023EE4" w14:textId="2C1E809A" w:rsidR="00A73FD5" w:rsidRDefault="001A439D" w:rsidP="3ABC8FCC">
      <w:pPr>
        <w:spacing w:before="240" w:after="240"/>
        <w:jc w:val="both"/>
        <w:rPr>
          <w:rFonts w:ascii="Times New Roman" w:hAnsi="Times New Roman" w:cs="Times New Roman"/>
          <w:color w:val="111111"/>
          <w:sz w:val="24"/>
          <w:szCs w:val="24"/>
          <w:lang w:val="en-US"/>
        </w:rPr>
      </w:pPr>
      <w:r w:rsidRPr="3ABC8FCC">
        <w:rPr>
          <w:rFonts w:ascii="Times New Roman" w:hAnsi="Times New Roman" w:cs="Times New Roman"/>
          <w:color w:val="111111"/>
          <w:sz w:val="24"/>
          <w:szCs w:val="24"/>
          <w:highlight w:val="white"/>
          <w:lang w:val="en-US"/>
        </w:rPr>
        <w:t xml:space="preserve">Delivery of open finance has been marked by </w:t>
      </w:r>
      <w:r w:rsidR="004E6AB7">
        <w:rPr>
          <w:rFonts w:ascii="Times New Roman" w:hAnsi="Times New Roman" w:cs="Times New Roman"/>
          <w:color w:val="111111"/>
          <w:sz w:val="24"/>
          <w:szCs w:val="24"/>
          <w:highlight w:val="white"/>
          <w:lang w:val="en-US"/>
        </w:rPr>
        <w:t xml:space="preserve">years of </w:t>
      </w:r>
      <w:r w:rsidRPr="3ABC8FCC">
        <w:rPr>
          <w:rFonts w:ascii="Times New Roman" w:hAnsi="Times New Roman" w:cs="Times New Roman"/>
          <w:color w:val="111111"/>
          <w:sz w:val="24"/>
          <w:szCs w:val="24"/>
          <w:highlight w:val="white"/>
          <w:lang w:val="en-US"/>
        </w:rPr>
        <w:t>delays</w:t>
      </w:r>
      <w:r w:rsidR="00EA4DA4" w:rsidRPr="3ABC8FCC">
        <w:rPr>
          <w:rFonts w:ascii="Times New Roman" w:hAnsi="Times New Roman" w:cs="Times New Roman"/>
          <w:color w:val="111111"/>
          <w:sz w:val="24"/>
          <w:szCs w:val="24"/>
          <w:highlight w:val="white"/>
          <w:lang w:val="en-US"/>
        </w:rPr>
        <w:t xml:space="preserve">. Budget 2025 should both </w:t>
      </w:r>
      <w:r w:rsidRPr="3ABC8FCC">
        <w:rPr>
          <w:rFonts w:ascii="Times New Roman" w:hAnsi="Times New Roman" w:cs="Times New Roman"/>
          <w:color w:val="111111"/>
          <w:sz w:val="24"/>
          <w:szCs w:val="24"/>
          <w:highlight w:val="white"/>
          <w:lang w:val="en-US"/>
        </w:rPr>
        <w:t xml:space="preserve">finally </w:t>
      </w:r>
      <w:r w:rsidR="00EA4DA4" w:rsidRPr="3ABC8FCC">
        <w:rPr>
          <w:rFonts w:ascii="Times New Roman" w:hAnsi="Times New Roman" w:cs="Times New Roman"/>
          <w:color w:val="111111"/>
          <w:sz w:val="24"/>
          <w:szCs w:val="24"/>
          <w:highlight w:val="white"/>
          <w:lang w:val="en-US"/>
        </w:rPr>
        <w:t xml:space="preserve">ensure </w:t>
      </w:r>
      <w:r w:rsidRPr="3ABC8FCC">
        <w:rPr>
          <w:rFonts w:ascii="Times New Roman" w:hAnsi="Times New Roman" w:cs="Times New Roman"/>
          <w:color w:val="111111"/>
          <w:sz w:val="24"/>
          <w:szCs w:val="24"/>
          <w:highlight w:val="white"/>
          <w:lang w:val="en-US"/>
        </w:rPr>
        <w:t>the implementation of a</w:t>
      </w:r>
      <w:r w:rsidR="000968DD">
        <w:rPr>
          <w:rFonts w:ascii="Times New Roman" w:hAnsi="Times New Roman" w:cs="Times New Roman"/>
          <w:color w:val="111111"/>
          <w:sz w:val="24"/>
          <w:szCs w:val="24"/>
          <w:highlight w:val="white"/>
          <w:lang w:val="en-US"/>
        </w:rPr>
        <w:t xml:space="preserve"> </w:t>
      </w:r>
      <w:r w:rsidR="000968DD" w:rsidRPr="000968DD">
        <w:rPr>
          <w:rFonts w:ascii="Times New Roman" w:hAnsi="Times New Roman" w:cs="Times New Roman"/>
          <w:color w:val="111111"/>
          <w:sz w:val="24"/>
          <w:szCs w:val="24"/>
          <w:lang w:val="en-US"/>
        </w:rPr>
        <w:t>comprehensive, well-governed</w:t>
      </w:r>
      <w:r w:rsidR="000968DD">
        <w:rPr>
          <w:rFonts w:ascii="Times New Roman" w:hAnsi="Times New Roman" w:cs="Times New Roman"/>
          <w:color w:val="111111"/>
          <w:sz w:val="24"/>
          <w:szCs w:val="24"/>
          <w:lang w:val="en-US"/>
        </w:rPr>
        <w:t xml:space="preserve"> </w:t>
      </w:r>
      <w:r w:rsidRPr="3ABC8FCC">
        <w:rPr>
          <w:rFonts w:ascii="Times New Roman" w:hAnsi="Times New Roman" w:cs="Times New Roman"/>
          <w:color w:val="111111"/>
          <w:sz w:val="24"/>
          <w:szCs w:val="24"/>
          <w:highlight w:val="white"/>
          <w:lang w:val="en-US"/>
        </w:rPr>
        <w:t>open finance regime and address existing issues in the initial framework proposed under Budget 2024</w:t>
      </w:r>
      <w:r w:rsidR="00EA4DA4" w:rsidRPr="3ABC8FCC">
        <w:rPr>
          <w:rFonts w:ascii="Times New Roman" w:hAnsi="Times New Roman" w:cs="Times New Roman"/>
          <w:color w:val="111111"/>
          <w:sz w:val="24"/>
          <w:szCs w:val="24"/>
          <w:highlight w:val="white"/>
          <w:lang w:val="en-US"/>
        </w:rPr>
        <w:t>.</w:t>
      </w:r>
      <w:r w:rsidR="006B6EAB" w:rsidRPr="006B6EAB">
        <w:t xml:space="preserve"> </w:t>
      </w:r>
      <w:r w:rsidR="006B6EAB" w:rsidRPr="006B6EAB">
        <w:rPr>
          <w:rFonts w:ascii="Times New Roman" w:hAnsi="Times New Roman" w:cs="Times New Roman"/>
          <w:color w:val="111111"/>
          <w:sz w:val="24"/>
          <w:szCs w:val="24"/>
          <w:lang w:val="en-US"/>
        </w:rPr>
        <w:t>If approached with urgency and vision, open finance can serve as a catalyst for inclusive economic growth, innovation, and market modernization.</w:t>
      </w:r>
      <w:r w:rsidR="00EA4DA4" w:rsidRPr="3ABC8FCC">
        <w:rPr>
          <w:rFonts w:ascii="Times New Roman" w:hAnsi="Times New Roman" w:cs="Times New Roman"/>
          <w:color w:val="111111"/>
          <w:sz w:val="24"/>
          <w:szCs w:val="24"/>
          <w:highlight w:val="white"/>
          <w:lang w:val="en-US"/>
        </w:rPr>
        <w:t xml:space="preserve"> </w:t>
      </w:r>
      <w:r w:rsidR="00F430F5" w:rsidRPr="00F430F5">
        <w:rPr>
          <w:rFonts w:ascii="Times New Roman" w:hAnsi="Times New Roman" w:cs="Times New Roman"/>
          <w:color w:val="111111"/>
          <w:sz w:val="24"/>
          <w:szCs w:val="24"/>
          <w:lang w:val="en-US"/>
        </w:rPr>
        <w:t>But without bold action, the promise of open finance will remain unfulfilled</w:t>
      </w:r>
      <w:r w:rsidR="00320C42">
        <w:rPr>
          <w:rFonts w:ascii="Times New Roman" w:hAnsi="Times New Roman" w:cs="Times New Roman"/>
          <w:color w:val="111111"/>
          <w:sz w:val="24"/>
          <w:szCs w:val="24"/>
          <w:lang w:val="en-US"/>
        </w:rPr>
        <w:t xml:space="preserve">, </w:t>
      </w:r>
      <w:r w:rsidR="00F430F5" w:rsidRPr="00F430F5">
        <w:rPr>
          <w:rFonts w:ascii="Times New Roman" w:hAnsi="Times New Roman" w:cs="Times New Roman"/>
          <w:color w:val="111111"/>
          <w:sz w:val="24"/>
          <w:szCs w:val="24"/>
          <w:lang w:val="en-US"/>
        </w:rPr>
        <w:t>and Canada will continue to fall behind its global peers.</w:t>
      </w:r>
      <w:r w:rsidR="00F430F5">
        <w:rPr>
          <w:rFonts w:ascii="Times New Roman" w:hAnsi="Times New Roman" w:cs="Times New Roman"/>
          <w:color w:val="111111"/>
          <w:sz w:val="24"/>
          <w:szCs w:val="24"/>
          <w:lang w:val="en-US"/>
        </w:rPr>
        <w:t xml:space="preserve"> </w:t>
      </w:r>
    </w:p>
    <w:p w14:paraId="2B0EA321" w14:textId="274982A7" w:rsidR="00A73FD5" w:rsidRPr="00A73FD5" w:rsidRDefault="00A73FD5" w:rsidP="00A73FD5">
      <w:pPr>
        <w:spacing w:before="240" w:after="240"/>
        <w:jc w:val="both"/>
        <w:rPr>
          <w:rFonts w:ascii="Times New Roman" w:hAnsi="Times New Roman" w:cs="Times New Roman"/>
          <w:color w:val="111111"/>
          <w:sz w:val="24"/>
          <w:szCs w:val="24"/>
          <w:lang w:val="en-US"/>
        </w:rPr>
      </w:pPr>
      <w:r w:rsidRPr="00A73FD5">
        <w:rPr>
          <w:rFonts w:ascii="Times New Roman" w:hAnsi="Times New Roman" w:cs="Times New Roman"/>
          <w:color w:val="111111"/>
          <w:sz w:val="24"/>
          <w:szCs w:val="24"/>
          <w:lang w:val="en-US"/>
        </w:rPr>
        <w:t>To deliver on this promise, the Government must expand the framework to encompass all financial accounts, including those held by small businesses and at provincially regulated institutions. The Government should also:</w:t>
      </w:r>
    </w:p>
    <w:p w14:paraId="1DA34F5C" w14:textId="77777777" w:rsidR="00D87639" w:rsidRDefault="00D87639" w:rsidP="00D87639">
      <w:pPr>
        <w:pStyle w:val="NormalWeb"/>
        <w:numPr>
          <w:ilvl w:val="0"/>
          <w:numId w:val="3"/>
        </w:numPr>
      </w:pPr>
      <w:r>
        <w:t>Empower consumers and SMEs with a legally binding data access and sharing right through PIPEDA reform;</w:t>
      </w:r>
    </w:p>
    <w:p w14:paraId="7904A2F1" w14:textId="3E75AD87" w:rsidR="00D87639" w:rsidRDefault="00D87639" w:rsidP="00D87639">
      <w:pPr>
        <w:pStyle w:val="NormalWeb"/>
        <w:numPr>
          <w:ilvl w:val="0"/>
          <w:numId w:val="3"/>
        </w:numPr>
      </w:pPr>
      <w:r>
        <w:t xml:space="preserve">Implement tiered and harmonized accreditation requirements to lower barriers to entry for smaller </w:t>
      </w:r>
      <w:r w:rsidR="00320C42">
        <w:t>companies</w:t>
      </w:r>
      <w:r>
        <w:t>;</w:t>
      </w:r>
    </w:p>
    <w:p w14:paraId="130E46D6" w14:textId="2403EBBB" w:rsidR="00D87639" w:rsidRDefault="00D87639" w:rsidP="00D87639">
      <w:pPr>
        <w:pStyle w:val="NormalWeb"/>
        <w:numPr>
          <w:ilvl w:val="0"/>
          <w:numId w:val="3"/>
        </w:numPr>
      </w:pPr>
      <w:r>
        <w:t xml:space="preserve">Reduce regulatory overlap by designating the Bank of Canada as the governance entity for </w:t>
      </w:r>
      <w:r w:rsidR="00320C42">
        <w:t>Consumer-Driven Finance</w:t>
      </w:r>
      <w:r>
        <w:t>; and</w:t>
      </w:r>
    </w:p>
    <w:p w14:paraId="5AEC004D" w14:textId="02D3D13A" w:rsidR="00D87639" w:rsidRDefault="00D87639" w:rsidP="00115B9B">
      <w:pPr>
        <w:pStyle w:val="NormalWeb"/>
        <w:numPr>
          <w:ilvl w:val="0"/>
          <w:numId w:val="3"/>
        </w:numPr>
      </w:pPr>
      <w:r>
        <w:t>Ensure that enforcement mechanisms are proportionate, evidence-based, and include clear appeal processes, so as to encourage—not discourage—market participation and innovation.</w:t>
      </w:r>
    </w:p>
    <w:p w14:paraId="00000040" w14:textId="09713D58" w:rsidR="00606B5A" w:rsidRPr="00D11731" w:rsidRDefault="00A73FD5" w:rsidP="00A73FD5">
      <w:pPr>
        <w:spacing w:before="240" w:after="240"/>
        <w:jc w:val="both"/>
        <w:rPr>
          <w:rFonts w:ascii="Times New Roman" w:hAnsi="Times New Roman" w:cs="Times New Roman"/>
          <w:color w:val="111111"/>
          <w:sz w:val="24"/>
          <w:szCs w:val="24"/>
          <w:highlight w:val="white"/>
          <w:lang w:val="en-US"/>
        </w:rPr>
      </w:pPr>
      <w:r w:rsidRPr="00A73FD5">
        <w:rPr>
          <w:rFonts w:ascii="Times New Roman" w:hAnsi="Times New Roman" w:cs="Times New Roman"/>
          <w:color w:val="111111"/>
          <w:sz w:val="24"/>
          <w:szCs w:val="24"/>
          <w:lang w:val="en-US"/>
        </w:rPr>
        <w:t>FDATA and its members remain committed to working with the Government to advance this vision, deliver meaningful results for Canadians, and ensure a secure, competitive, and dynamic financial services ecosystem for the future.</w:t>
      </w:r>
      <w:r w:rsidR="0090778F" w:rsidRPr="3ABC8FCC">
        <w:rPr>
          <w:rFonts w:ascii="Times New Roman" w:hAnsi="Times New Roman" w:cs="Times New Roman"/>
          <w:color w:val="111111"/>
          <w:sz w:val="24"/>
          <w:szCs w:val="24"/>
          <w:highlight w:val="white"/>
          <w:lang w:val="en-US"/>
        </w:rPr>
        <w:t xml:space="preserve"> </w:t>
      </w:r>
    </w:p>
    <w:p w14:paraId="00000041" w14:textId="7FB09150" w:rsidR="00606B5A" w:rsidRPr="00D11731" w:rsidRDefault="00A1118E" w:rsidP="00AA0DFC">
      <w:pPr>
        <w:spacing w:before="240" w:after="240"/>
        <w:jc w:val="both"/>
        <w:rPr>
          <w:rFonts w:ascii="Times New Roman" w:hAnsi="Times New Roman" w:cs="Times New Roman"/>
          <w:b/>
          <w:color w:val="1D1C1D"/>
          <w:sz w:val="24"/>
          <w:szCs w:val="24"/>
        </w:rPr>
      </w:pPr>
      <w:r w:rsidRPr="00D11731">
        <w:rPr>
          <w:rFonts w:ascii="Times New Roman" w:hAnsi="Times New Roman" w:cs="Times New Roman"/>
          <w:b/>
          <w:color w:val="1D1C1D"/>
          <w:sz w:val="24"/>
          <w:szCs w:val="24"/>
        </w:rPr>
        <w:t>About FDATA</w:t>
      </w:r>
    </w:p>
    <w:p w14:paraId="00000042" w14:textId="233B771A" w:rsidR="00606B5A" w:rsidRPr="00D11731" w:rsidRDefault="00A1118E"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FDATA</w:t>
      </w:r>
      <w:r w:rsidR="00A74E2C">
        <w:rPr>
          <w:rFonts w:ascii="Times New Roman" w:hAnsi="Times New Roman" w:cs="Times New Roman"/>
          <w:color w:val="1D1C1D"/>
          <w:sz w:val="24"/>
          <w:szCs w:val="24"/>
          <w:lang w:val="en-US"/>
        </w:rPr>
        <w:t xml:space="preserve">’s </w:t>
      </w:r>
      <w:r w:rsidRPr="3ABC8FCC">
        <w:rPr>
          <w:rFonts w:ascii="Times New Roman" w:hAnsi="Times New Roman" w:cs="Times New Roman"/>
          <w:color w:val="1D1C1D"/>
          <w:sz w:val="24"/>
          <w:szCs w:val="24"/>
          <w:lang w:val="en-US"/>
        </w:rPr>
        <w:t>members collectively serve million</w:t>
      </w:r>
      <w:r w:rsidR="00FC7508" w:rsidRPr="3ABC8FCC">
        <w:rPr>
          <w:rFonts w:ascii="Times New Roman" w:hAnsi="Times New Roman" w:cs="Times New Roman"/>
          <w:color w:val="1D1C1D"/>
          <w:sz w:val="24"/>
          <w:szCs w:val="24"/>
          <w:lang w:val="en-US"/>
        </w:rPr>
        <w:t>s of</w:t>
      </w:r>
      <w:r w:rsidRPr="3ABC8FCC">
        <w:rPr>
          <w:rFonts w:ascii="Times New Roman" w:hAnsi="Times New Roman" w:cs="Times New Roman"/>
          <w:color w:val="1D1C1D"/>
          <w:sz w:val="24"/>
          <w:szCs w:val="24"/>
          <w:lang w:val="en-US"/>
        </w:rPr>
        <w:t xml:space="preserve"> Canadian consumers and SMEs by providing financial management and accounting tools, digital banking services, access to investment and savings platforms, affordable credit products, and other financial services.</w:t>
      </w:r>
    </w:p>
    <w:p w14:paraId="00000047" w14:textId="21EE98D4" w:rsidR="00606B5A" w:rsidRDefault="00A1118E" w:rsidP="3ABC8FCC">
      <w:pPr>
        <w:spacing w:before="240" w:after="240"/>
        <w:jc w:val="both"/>
        <w:rPr>
          <w:rFonts w:ascii="Times New Roman" w:hAnsi="Times New Roman" w:cs="Times New Roman"/>
          <w:color w:val="1D1C1D"/>
          <w:sz w:val="24"/>
          <w:szCs w:val="24"/>
          <w:lang w:val="en-US"/>
        </w:rPr>
      </w:pPr>
      <w:r w:rsidRPr="3ABC8FCC">
        <w:rPr>
          <w:rFonts w:ascii="Times New Roman" w:hAnsi="Times New Roman" w:cs="Times New Roman"/>
          <w:color w:val="1D1C1D"/>
          <w:sz w:val="24"/>
          <w:szCs w:val="24"/>
          <w:lang w:val="en-US"/>
        </w:rPr>
        <w:t>FDATA</w:t>
      </w:r>
      <w:r w:rsidR="00A74E2C">
        <w:rPr>
          <w:rFonts w:ascii="Times New Roman" w:hAnsi="Times New Roman" w:cs="Times New Roman"/>
          <w:color w:val="1D1C1D"/>
          <w:sz w:val="24"/>
          <w:szCs w:val="24"/>
          <w:lang w:val="en-US"/>
        </w:rPr>
        <w:t xml:space="preserve"> </w:t>
      </w:r>
      <w:r w:rsidRPr="3ABC8FCC">
        <w:rPr>
          <w:rFonts w:ascii="Times New Roman" w:hAnsi="Times New Roman" w:cs="Times New Roman"/>
          <w:color w:val="1D1C1D"/>
          <w:sz w:val="24"/>
          <w:szCs w:val="24"/>
          <w:lang w:val="en-US"/>
        </w:rPr>
        <w:t>was founded in early 2018 by several firms whose technology-based products and services allow consumers and small businesses to improve their financial wellbeing. We continue</w:t>
      </w:r>
      <w:r w:rsidR="00BF31EB">
        <w:rPr>
          <w:rFonts w:ascii="Times New Roman" w:hAnsi="Times New Roman" w:cs="Times New Roman"/>
          <w:color w:val="1D1C1D"/>
          <w:sz w:val="24"/>
          <w:szCs w:val="24"/>
          <w:lang w:val="en-US"/>
        </w:rPr>
        <w:t xml:space="preserve"> </w:t>
      </w:r>
      <w:r w:rsidRPr="3ABC8FCC">
        <w:rPr>
          <w:rFonts w:ascii="Times New Roman" w:hAnsi="Times New Roman" w:cs="Times New Roman"/>
          <w:color w:val="1D1C1D"/>
          <w:sz w:val="24"/>
          <w:szCs w:val="24"/>
          <w:lang w:val="en-US"/>
        </w:rPr>
        <w:t>to provide technical expertise to policymakers and to regulatory bodies internationally that are contemplating, designing, and implementing open finance frameworks.</w:t>
      </w:r>
    </w:p>
    <w:p w14:paraId="6B44B22C" w14:textId="31266A55" w:rsidR="00272EE3" w:rsidRPr="00D11731" w:rsidRDefault="00272EE3" w:rsidP="3ABC8FCC">
      <w:pPr>
        <w:spacing w:before="240" w:after="240"/>
        <w:jc w:val="both"/>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Word Count: </w:t>
      </w:r>
      <w:r w:rsidRPr="000A1C37">
        <w:rPr>
          <w:rFonts w:ascii="Times New Roman" w:hAnsi="Times New Roman" w:cs="Times New Roman"/>
          <w:b/>
          <w:bCs/>
          <w:color w:val="1D1C1D"/>
          <w:sz w:val="24"/>
          <w:szCs w:val="24"/>
          <w:lang w:val="en-US"/>
        </w:rPr>
        <w:t>1,987</w:t>
      </w:r>
    </w:p>
    <w:sectPr w:rsidR="00272EE3" w:rsidRPr="00D11731" w:rsidSect="008C462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72142" w14:textId="77777777" w:rsidR="00EB5185" w:rsidRDefault="00EB5185" w:rsidP="00A1118E">
      <w:pPr>
        <w:spacing w:line="240" w:lineRule="auto"/>
      </w:pPr>
      <w:r>
        <w:separator/>
      </w:r>
    </w:p>
  </w:endnote>
  <w:endnote w:type="continuationSeparator" w:id="0">
    <w:p w14:paraId="1701977C" w14:textId="77777777" w:rsidR="00EB5185" w:rsidRDefault="00EB5185" w:rsidP="00A11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18567" w14:textId="77777777" w:rsidR="00B25769" w:rsidRDefault="00B25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81BB2" w14:textId="77777777" w:rsidR="00B25769" w:rsidRDefault="00B257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1F55" w14:textId="77777777" w:rsidR="00B25769" w:rsidRDefault="00B2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F0B01" w14:textId="77777777" w:rsidR="00EB5185" w:rsidRDefault="00EB5185" w:rsidP="00A1118E">
      <w:pPr>
        <w:spacing w:line="240" w:lineRule="auto"/>
      </w:pPr>
      <w:r>
        <w:separator/>
      </w:r>
    </w:p>
  </w:footnote>
  <w:footnote w:type="continuationSeparator" w:id="0">
    <w:p w14:paraId="5026CC70" w14:textId="77777777" w:rsidR="00EB5185" w:rsidRDefault="00EB5185" w:rsidP="00A11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4AD78" w14:textId="77777777" w:rsidR="00A1118E" w:rsidRDefault="00A111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BB7C2" w14:textId="77777777" w:rsidR="008C4624" w:rsidRDefault="008C4624" w:rsidP="008C4624">
    <w:pPr>
      <w:pStyle w:val="Header"/>
      <w:jc w:val="center"/>
    </w:pPr>
    <w:r>
      <w:rPr>
        <w:noProof/>
      </w:rPr>
      <w:drawing>
        <wp:inline distT="0" distB="0" distL="0" distR="0" wp14:anchorId="0431492C" wp14:editId="4429E55D">
          <wp:extent cx="929767" cy="929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929767" cy="929767"/>
                  </a:xfrm>
                  <a:prstGeom prst="rect">
                    <a:avLst/>
                  </a:prstGeom>
                </pic:spPr>
              </pic:pic>
            </a:graphicData>
          </a:graphic>
        </wp:inline>
      </w:drawing>
    </w:r>
  </w:p>
  <w:p w14:paraId="3DF53CFB" w14:textId="77777777" w:rsidR="008C4624" w:rsidRPr="0010636C" w:rsidRDefault="008C4624" w:rsidP="008C4624">
    <w:pPr>
      <w:pStyle w:val="Header"/>
      <w:jc w:val="center"/>
      <w:rPr>
        <w:rFonts w:ascii="Times New Roman" w:hAnsi="Times New Roman" w:cs="Times New Roman"/>
        <w:sz w:val="20"/>
        <w:szCs w:val="20"/>
      </w:rPr>
    </w:pPr>
    <w:hyperlink r:id="rId2" w:history="1">
      <w:r w:rsidRPr="00852323">
        <w:rPr>
          <w:rStyle w:val="Hyperlink"/>
          <w:rFonts w:ascii="Times New Roman" w:hAnsi="Times New Roman" w:cs="Times New Roman"/>
          <w:sz w:val="20"/>
          <w:szCs w:val="20"/>
        </w:rPr>
        <w:t>www.fdata.global/north-america</w:t>
      </w:r>
    </w:hyperlink>
    <w:r>
      <w:rPr>
        <w:rFonts w:ascii="Times New Roman" w:hAnsi="Times New Roman" w:cs="Times New Roman"/>
        <w:sz w:val="20"/>
        <w:szCs w:val="20"/>
      </w:rPr>
      <w:t xml:space="preserve"> </w:t>
    </w:r>
  </w:p>
  <w:p w14:paraId="0D77636C" w14:textId="39BB7904" w:rsidR="00A1118E" w:rsidRDefault="00A111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39364" w14:textId="77777777" w:rsidR="00A1118E" w:rsidRDefault="00A11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CC1D11"/>
    <w:multiLevelType w:val="hybridMultilevel"/>
    <w:tmpl w:val="B520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A1832"/>
    <w:multiLevelType w:val="hybridMultilevel"/>
    <w:tmpl w:val="D08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E39"/>
    <w:multiLevelType w:val="hybridMultilevel"/>
    <w:tmpl w:val="AAA6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34123">
    <w:abstractNumId w:val="1"/>
  </w:num>
  <w:num w:numId="2" w16cid:durableId="1322731419">
    <w:abstractNumId w:val="0"/>
  </w:num>
  <w:num w:numId="3" w16cid:durableId="679478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5A"/>
    <w:rsid w:val="00005842"/>
    <w:rsid w:val="00011D59"/>
    <w:rsid w:val="00011F3B"/>
    <w:rsid w:val="00017CEF"/>
    <w:rsid w:val="0005096F"/>
    <w:rsid w:val="00062ED7"/>
    <w:rsid w:val="000635CA"/>
    <w:rsid w:val="0007105D"/>
    <w:rsid w:val="00092B87"/>
    <w:rsid w:val="000968DD"/>
    <w:rsid w:val="00096A90"/>
    <w:rsid w:val="000A1393"/>
    <w:rsid w:val="000A1C37"/>
    <w:rsid w:val="000D25F3"/>
    <w:rsid w:val="000E3B04"/>
    <w:rsid w:val="00115B9B"/>
    <w:rsid w:val="00127572"/>
    <w:rsid w:val="001370F9"/>
    <w:rsid w:val="0015289A"/>
    <w:rsid w:val="001A439D"/>
    <w:rsid w:val="001B5776"/>
    <w:rsid w:val="00215E7B"/>
    <w:rsid w:val="002407A4"/>
    <w:rsid w:val="00240940"/>
    <w:rsid w:val="00251375"/>
    <w:rsid w:val="00264A83"/>
    <w:rsid w:val="00272EE3"/>
    <w:rsid w:val="00277ABC"/>
    <w:rsid w:val="002819D8"/>
    <w:rsid w:val="002E3A42"/>
    <w:rsid w:val="002E59EB"/>
    <w:rsid w:val="00320C42"/>
    <w:rsid w:val="00345140"/>
    <w:rsid w:val="00364DB4"/>
    <w:rsid w:val="00375215"/>
    <w:rsid w:val="00381FBC"/>
    <w:rsid w:val="003A3BBB"/>
    <w:rsid w:val="003C3688"/>
    <w:rsid w:val="003D252D"/>
    <w:rsid w:val="003E47DC"/>
    <w:rsid w:val="004005E9"/>
    <w:rsid w:val="00416F53"/>
    <w:rsid w:val="00433A3D"/>
    <w:rsid w:val="0046670E"/>
    <w:rsid w:val="0047639F"/>
    <w:rsid w:val="00494F83"/>
    <w:rsid w:val="004A6BB3"/>
    <w:rsid w:val="004C3FB9"/>
    <w:rsid w:val="004C7960"/>
    <w:rsid w:val="004E6AB7"/>
    <w:rsid w:val="004F2586"/>
    <w:rsid w:val="004F4D86"/>
    <w:rsid w:val="0051210C"/>
    <w:rsid w:val="00516570"/>
    <w:rsid w:val="005339BD"/>
    <w:rsid w:val="00551260"/>
    <w:rsid w:val="00553FE5"/>
    <w:rsid w:val="005764EF"/>
    <w:rsid w:val="00597039"/>
    <w:rsid w:val="005A3E51"/>
    <w:rsid w:val="005B2B59"/>
    <w:rsid w:val="005B52BC"/>
    <w:rsid w:val="005C39B7"/>
    <w:rsid w:val="005C5854"/>
    <w:rsid w:val="005E1D23"/>
    <w:rsid w:val="005E44F1"/>
    <w:rsid w:val="005F3B2C"/>
    <w:rsid w:val="005F626B"/>
    <w:rsid w:val="00606B5A"/>
    <w:rsid w:val="00623965"/>
    <w:rsid w:val="00624573"/>
    <w:rsid w:val="00627EB5"/>
    <w:rsid w:val="00647B0D"/>
    <w:rsid w:val="006904E3"/>
    <w:rsid w:val="006A2411"/>
    <w:rsid w:val="006B6EAB"/>
    <w:rsid w:val="006C553F"/>
    <w:rsid w:val="006E78B6"/>
    <w:rsid w:val="006F70BD"/>
    <w:rsid w:val="0071589F"/>
    <w:rsid w:val="00715958"/>
    <w:rsid w:val="00723272"/>
    <w:rsid w:val="00760D7C"/>
    <w:rsid w:val="00763092"/>
    <w:rsid w:val="0076473C"/>
    <w:rsid w:val="00796423"/>
    <w:rsid w:val="00796A76"/>
    <w:rsid w:val="007A44DA"/>
    <w:rsid w:val="007D1B5A"/>
    <w:rsid w:val="007E0ADF"/>
    <w:rsid w:val="008008E9"/>
    <w:rsid w:val="00810B69"/>
    <w:rsid w:val="008204CF"/>
    <w:rsid w:val="00824DA0"/>
    <w:rsid w:val="008806C0"/>
    <w:rsid w:val="00887E68"/>
    <w:rsid w:val="008B2C6F"/>
    <w:rsid w:val="008B752C"/>
    <w:rsid w:val="008C4624"/>
    <w:rsid w:val="008D1FF7"/>
    <w:rsid w:val="0090778F"/>
    <w:rsid w:val="0091037E"/>
    <w:rsid w:val="00951433"/>
    <w:rsid w:val="00981640"/>
    <w:rsid w:val="009F7CDC"/>
    <w:rsid w:val="00A1118E"/>
    <w:rsid w:val="00A73FD5"/>
    <w:rsid w:val="00A74E2C"/>
    <w:rsid w:val="00A96052"/>
    <w:rsid w:val="00A96957"/>
    <w:rsid w:val="00AA0DFC"/>
    <w:rsid w:val="00AA534A"/>
    <w:rsid w:val="00AA7A50"/>
    <w:rsid w:val="00AC4EBD"/>
    <w:rsid w:val="00AD712A"/>
    <w:rsid w:val="00AE30A7"/>
    <w:rsid w:val="00B13626"/>
    <w:rsid w:val="00B1669A"/>
    <w:rsid w:val="00B25769"/>
    <w:rsid w:val="00B47E01"/>
    <w:rsid w:val="00B918AA"/>
    <w:rsid w:val="00BA07CB"/>
    <w:rsid w:val="00BC7B87"/>
    <w:rsid w:val="00BD44B5"/>
    <w:rsid w:val="00BE0AE7"/>
    <w:rsid w:val="00BF31EB"/>
    <w:rsid w:val="00C00C54"/>
    <w:rsid w:val="00C10D5C"/>
    <w:rsid w:val="00C16A3A"/>
    <w:rsid w:val="00C352ED"/>
    <w:rsid w:val="00C43747"/>
    <w:rsid w:val="00C71279"/>
    <w:rsid w:val="00C908E8"/>
    <w:rsid w:val="00CA2E20"/>
    <w:rsid w:val="00CC03CE"/>
    <w:rsid w:val="00CC1FB4"/>
    <w:rsid w:val="00CC4A82"/>
    <w:rsid w:val="00CC4D90"/>
    <w:rsid w:val="00CC5BA8"/>
    <w:rsid w:val="00CD273C"/>
    <w:rsid w:val="00CD564A"/>
    <w:rsid w:val="00CF67D4"/>
    <w:rsid w:val="00D00E15"/>
    <w:rsid w:val="00D04AD5"/>
    <w:rsid w:val="00D11731"/>
    <w:rsid w:val="00D12D0C"/>
    <w:rsid w:val="00D147E5"/>
    <w:rsid w:val="00D213B8"/>
    <w:rsid w:val="00D303FE"/>
    <w:rsid w:val="00D3251C"/>
    <w:rsid w:val="00D44986"/>
    <w:rsid w:val="00D521CC"/>
    <w:rsid w:val="00D5269A"/>
    <w:rsid w:val="00D87639"/>
    <w:rsid w:val="00D91605"/>
    <w:rsid w:val="00DC1DAD"/>
    <w:rsid w:val="00DF0501"/>
    <w:rsid w:val="00E30BEB"/>
    <w:rsid w:val="00E30EAE"/>
    <w:rsid w:val="00E36630"/>
    <w:rsid w:val="00E367A0"/>
    <w:rsid w:val="00E91E7F"/>
    <w:rsid w:val="00E97090"/>
    <w:rsid w:val="00EA4DA4"/>
    <w:rsid w:val="00EB2F83"/>
    <w:rsid w:val="00EB5185"/>
    <w:rsid w:val="00EE1C12"/>
    <w:rsid w:val="00F32C03"/>
    <w:rsid w:val="00F37B4C"/>
    <w:rsid w:val="00F430F5"/>
    <w:rsid w:val="00F441C6"/>
    <w:rsid w:val="00F47987"/>
    <w:rsid w:val="00F53B68"/>
    <w:rsid w:val="00F859A9"/>
    <w:rsid w:val="00F91741"/>
    <w:rsid w:val="00FA3651"/>
    <w:rsid w:val="00FC7508"/>
    <w:rsid w:val="00FD24A6"/>
    <w:rsid w:val="00FD5FF3"/>
    <w:rsid w:val="29835C85"/>
    <w:rsid w:val="3ABC8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F1283"/>
  <w15:docId w15:val="{F36D9ED4-C218-4EA8-81B6-B3D98FAD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521CC"/>
    <w:pPr>
      <w:spacing w:line="240" w:lineRule="auto"/>
    </w:pPr>
  </w:style>
  <w:style w:type="paragraph" w:styleId="Header">
    <w:name w:val="header"/>
    <w:basedOn w:val="Normal"/>
    <w:link w:val="HeaderChar"/>
    <w:uiPriority w:val="99"/>
    <w:unhideWhenUsed/>
    <w:rsid w:val="00A1118E"/>
    <w:pPr>
      <w:tabs>
        <w:tab w:val="center" w:pos="4680"/>
        <w:tab w:val="right" w:pos="9360"/>
      </w:tabs>
      <w:spacing w:line="240" w:lineRule="auto"/>
    </w:pPr>
  </w:style>
  <w:style w:type="character" w:customStyle="1" w:styleId="HeaderChar">
    <w:name w:val="Header Char"/>
    <w:basedOn w:val="DefaultParagraphFont"/>
    <w:link w:val="Header"/>
    <w:uiPriority w:val="99"/>
    <w:rsid w:val="00A1118E"/>
  </w:style>
  <w:style w:type="paragraph" w:styleId="Footer">
    <w:name w:val="footer"/>
    <w:basedOn w:val="Normal"/>
    <w:link w:val="FooterChar"/>
    <w:uiPriority w:val="99"/>
    <w:unhideWhenUsed/>
    <w:rsid w:val="00A1118E"/>
    <w:pPr>
      <w:tabs>
        <w:tab w:val="center" w:pos="4680"/>
        <w:tab w:val="right" w:pos="9360"/>
      </w:tabs>
      <w:spacing w:line="240" w:lineRule="auto"/>
    </w:pPr>
  </w:style>
  <w:style w:type="character" w:customStyle="1" w:styleId="FooterChar">
    <w:name w:val="Footer Char"/>
    <w:basedOn w:val="DefaultParagraphFont"/>
    <w:link w:val="Footer"/>
    <w:uiPriority w:val="99"/>
    <w:rsid w:val="00A1118E"/>
  </w:style>
  <w:style w:type="character" w:styleId="Hyperlink">
    <w:name w:val="Hyperlink"/>
    <w:basedOn w:val="DefaultParagraphFont"/>
    <w:uiPriority w:val="99"/>
    <w:unhideWhenUsed/>
    <w:rsid w:val="008C4624"/>
    <w:rPr>
      <w:color w:val="0000FF" w:themeColor="hyperlink"/>
      <w:u w:val="single"/>
    </w:rPr>
  </w:style>
  <w:style w:type="paragraph" w:styleId="ListParagraph">
    <w:name w:val="List Paragraph"/>
    <w:basedOn w:val="Normal"/>
    <w:uiPriority w:val="34"/>
    <w:qFormat/>
    <w:rsid w:val="00381FBC"/>
    <w:pPr>
      <w:ind w:left="720"/>
      <w:contextualSpacing/>
    </w:pPr>
  </w:style>
  <w:style w:type="paragraph" w:styleId="CommentSubject">
    <w:name w:val="annotation subject"/>
    <w:basedOn w:val="CommentText"/>
    <w:next w:val="CommentText"/>
    <w:link w:val="CommentSubjectChar"/>
    <w:uiPriority w:val="99"/>
    <w:semiHidden/>
    <w:unhideWhenUsed/>
    <w:rsid w:val="000635CA"/>
    <w:rPr>
      <w:b/>
      <w:bCs/>
    </w:rPr>
  </w:style>
  <w:style w:type="character" w:customStyle="1" w:styleId="CommentSubjectChar">
    <w:name w:val="Comment Subject Char"/>
    <w:basedOn w:val="CommentTextChar"/>
    <w:link w:val="CommentSubject"/>
    <w:uiPriority w:val="99"/>
    <w:semiHidden/>
    <w:rsid w:val="000635CA"/>
    <w:rPr>
      <w:b/>
      <w:bCs/>
      <w:sz w:val="20"/>
      <w:szCs w:val="20"/>
    </w:rPr>
  </w:style>
  <w:style w:type="character" w:styleId="Strong">
    <w:name w:val="Strong"/>
    <w:basedOn w:val="DefaultParagraphFont"/>
    <w:uiPriority w:val="22"/>
    <w:qFormat/>
    <w:rsid w:val="008806C0"/>
    <w:rPr>
      <w:b/>
      <w:bCs/>
    </w:rPr>
  </w:style>
  <w:style w:type="paragraph" w:styleId="NormalWeb">
    <w:name w:val="Normal (Web)"/>
    <w:basedOn w:val="Normal"/>
    <w:uiPriority w:val="99"/>
    <w:semiHidden/>
    <w:unhideWhenUsed/>
    <w:rsid w:val="00D876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6961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fdata.global/north-ameri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6F51-4DAA-074C-AF19-683D466B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JSantopietro</dc:creator>
  <cp:lastModifiedBy>Laine Williams</cp:lastModifiedBy>
  <cp:revision>6</cp:revision>
  <dcterms:created xsi:type="dcterms:W3CDTF">2025-07-25T16:51:00Z</dcterms:created>
  <dcterms:modified xsi:type="dcterms:W3CDTF">2025-07-30T15:05:00Z</dcterms:modified>
</cp:coreProperties>
</file>