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jc w:val="center"/>
      </w:pPr>
      <w:r>
        <w:rPr>
          <w:rFonts w:ascii="Calibri" w:cs="Calibri" w:eastAsia="Calibri" w:hAnsi="Calibri"/>
          <w:b/>
          <w:bCs/>
          <w:color w:val="1E2761"/>
          <w:spacing w:val="60"/>
          <w:sz w:val="30"/>
          <w:szCs w:val="30"/>
        </w:rPr>
        <w:t xml:space="preserve">SIGNALCLASS</w:t>
      </w:r>
    </w:p>
    <w:p>
      <w:pPr>
        <w:spacing w:after="200" w:before="260"/>
        <w:jc w:val="center"/>
      </w:pPr>
      <w:r>
        <w:rPr>
          <w:rFonts w:ascii="Cambria" w:cs="Cambria" w:eastAsia="Cambria" w:hAnsi="Cambria"/>
          <w:b/>
          <w:bCs/>
          <w:color w:val="14193F"/>
          <w:sz w:val="44"/>
          <w:szCs w:val="44"/>
        </w:rPr>
        <w:t xml:space="preserve">Real-Time Classroom Intelligence for Coding Labs</w:t>
      </w:r>
    </w:p>
    <w:p>
      <w:pPr>
        <w:spacing w:after="700"/>
        <w:jc w:val="center"/>
      </w:pPr>
      <w:r>
        <w:rPr>
          <w:rFonts w:ascii="Calibri" w:cs="Calibri" w:eastAsia="Calibri" w:hAnsi="Calibri"/>
          <w:i/>
          <w:iCs/>
          <w:color w:val="5B6178"/>
          <w:sz w:val="24"/>
          <w:szCs w:val="24"/>
        </w:rPr>
        <w:t xml:space="preserve">Investor &amp; Evaluator Briefing Document</w:t>
      </w:r>
    </w:p>
    <w:p>
      <w:pPr>
        <w:pBdr>
          <w:top w:val="single" w:color="C7CCE6" w:sz="6" w:space="12"/>
        </w:pBdr>
        <w:spacing w:before="200"/>
        <w:jc w:val="center"/>
      </w:pPr>
    </w:p>
    <w:p>
      <w:pPr>
        <w:spacing w:before="240"/>
        <w:jc w:val="center"/>
      </w:pPr>
      <w:r>
        <w:rPr>
          <w:rFonts w:ascii="Calibri" w:cs="Calibri" w:eastAsia="Calibri" w:hAnsi="Calibri"/>
          <w:color w:val="5B6178"/>
          <w:sz w:val="20"/>
          <w:szCs w:val="20"/>
        </w:rPr>
        <w:t xml:space="preserve">Prepared by</w:t>
      </w:r>
    </w:p>
    <w:p>
      <w:pPr>
        <w:spacing w:before="60"/>
        <w:jc w:val="center"/>
      </w:pPr>
      <w:r>
        <w:rPr>
          <w:rFonts w:ascii="Calibri" w:cs="Calibri" w:eastAsia="Calibri" w:hAnsi="Calibri"/>
          <w:b/>
          <w:bCs/>
          <w:color w:val="14193F"/>
          <w:sz w:val="24"/>
          <w:szCs w:val="24"/>
        </w:rPr>
        <w:t xml:space="preserve">Ashish</w:t>
      </w:r>
    </w:p>
    <w:p>
      <w:pPr>
        <w:spacing w:before="40"/>
        <w:jc w:val="center"/>
      </w:pPr>
      <w:r>
        <w:rPr>
          <w:rFonts w:ascii="Calibri" w:cs="Calibri" w:eastAsia="Calibri" w:hAnsi="Calibri"/>
          <w:color w:val="5B6178"/>
          <w:sz w:val="20"/>
          <w:szCs w:val="20"/>
        </w:rPr>
        <w:t xml:space="preserve">B.E. Computer Science Engineering, MIT Academy of Engineering, Alandi, Pune</w:t>
      </w:r>
    </w:p>
    <w:p>
      <w:pPr>
        <w:spacing w:before="20"/>
        <w:jc w:val="center"/>
      </w:pPr>
      <w:r>
        <w:rPr>
          <w:rFonts w:ascii="Calibri" w:cs="Calibri" w:eastAsia="Calibri" w:hAnsi="Calibri"/>
          <w:color w:val="5B6178"/>
          <w:sz w:val="20"/>
          <w:szCs w:val="20"/>
        </w:rPr>
        <w:t xml:space="preserve">Affiliated to Savitribai Phule Pune University</w:t>
      </w:r>
    </w:p>
    <w:p>
      <w:pPr>
        <w:spacing w:before="20"/>
        <w:jc w:val="center"/>
      </w:pPr>
      <w:r>
        <w:rPr>
          <w:rFonts w:ascii="Calibri" w:cs="Calibri" w:eastAsia="Calibri" w:hAnsi="Calibri"/>
          <w:color w:val="5B6178"/>
          <w:sz w:val="20"/>
          <w:szCs w:val="20"/>
        </w:rPr>
        <w:t xml:space="preserve">Entrepreneurship Skills Venture Project</w:t>
      </w:r>
    </w:p>
    <w:p>
      <w:r>
        <w:br w:type="page"/>
      </w:r>
    </w:p>
    <w:p>
      <w:pPr>
        <w:pStyle w:val="Heading1"/>
        <w:pBdr>
          <w:bottom w:val="single" w:color="1E2761" w:sz="8" w:space="6"/>
        </w:pBdr>
        <w:spacing w:after="200" w:before="420"/>
      </w:pPr>
      <w:r>
        <w:rPr>
          <w:rFonts w:ascii="Cambria" w:cs="Cambria" w:eastAsia="Cambria" w:hAnsi="Cambria"/>
          <w:b/>
          <w:bCs/>
          <w:color w:val="1E2761"/>
          <w:sz w:val="30"/>
          <w:szCs w:val="30"/>
        </w:rPr>
        <w:t xml:space="preserve">1.  Executive Summary</w:t>
      </w:r>
    </w:p>
    <w:p>
      <w:pPr>
        <w:spacing w:after="160" w:line="300"/>
      </w:pPr>
      <w:r>
        <w:rPr>
          <w:rFonts w:ascii="Calibri" w:cs="Calibri" w:eastAsia="Calibri" w:hAnsi="Calibri"/>
          <w:color w:val="26293D"/>
          <w:sz w:val="22"/>
          <w:szCs w:val="22"/>
        </w:rPr>
        <w:t xml:space="preserve">SignalClass is a software platform that sits inside existing college coding labs and closes the single biggest gap in how programming is taught: professors cannot see where a student is actually stuck, and most students will not tell them. The platform gives every lab machine a lightweight agent, gives every student a zero-setup coding environment, and gives every professor a live, filtered dashboard of exactly which students are struggling, with what class of error, and why.</w:t>
      </w:r>
    </w:p>
    <w:p>
      <w:pPr>
        <w:spacing w:after="160" w:line="300"/>
      </w:pPr>
      <w:r>
        <w:rPr>
          <w:rFonts w:ascii="Calibri" w:cs="Calibri" w:eastAsia="Calibri" w:hAnsi="Calibri"/>
          <w:color w:val="26293D"/>
          <w:sz w:val="22"/>
          <w:szCs w:val="22"/>
        </w:rPr>
        <w:t xml:space="preserve">The product is built around three ideas that work together: a guided AI assistant that helps students without doing the work for them, a hierarchical error-classification engine that turns raw compiler noise into a precise diagnosis, and an academic-integrity layer that keeps the entire system trustworthy for the institutions that adopt it. Revenue comes from two independent streams — an institutional subscription sold to colleges, and an optional individual subscription sold directly to students who want a deeper, more patient debugging companion outside lab hours.</w:t>
      </w:r>
    </w:p>
    <w:p>
      <w:pPr>
        <w:spacing w:after="160" w:line="300"/>
      </w:pPr>
      <w:r>
        <w:rPr>
          <w:rFonts w:ascii="Calibri" w:cs="Calibri" w:eastAsia="Calibri" w:hAnsi="Calibri"/>
          <w:color w:val="26293D"/>
          <w:sz w:val="22"/>
          <w:szCs w:val="22"/>
        </w:rPr>
        <w:t xml:space="preserve">SignalClass does not attempt to replace the professor. Every design decision in this document is built around one governing principle: the platform's job is to remove guesswork, not to remove the teacher.</w:t>
      </w:r>
    </w:p>
    <w:p>
      <w:pPr>
        <w:pStyle w:val="Heading1"/>
        <w:pBdr>
          <w:bottom w:val="single" w:color="1E2761" w:sz="8" w:space="6"/>
        </w:pBdr>
        <w:spacing w:after="200" w:before="420"/>
      </w:pPr>
      <w:r>
        <w:rPr>
          <w:rFonts w:ascii="Cambria" w:cs="Cambria" w:eastAsia="Cambria" w:hAnsi="Cambria"/>
          <w:b/>
          <w:bCs/>
          <w:color w:val="1E2761"/>
          <w:sz w:val="30"/>
          <w:szCs w:val="30"/>
        </w:rPr>
        <w:t xml:space="preserve">2.  Problem Statement</w:t>
      </w:r>
    </w:p>
    <w:p>
      <w:pPr>
        <w:spacing w:after="160" w:line="300"/>
      </w:pPr>
      <w:r>
        <w:rPr>
          <w:rFonts w:ascii="Calibri" w:cs="Calibri" w:eastAsia="Calibri" w:hAnsi="Calibri"/>
          <w:color w:val="26293D"/>
          <w:sz w:val="22"/>
          <w:szCs w:val="22"/>
        </w:rPr>
        <w:t xml:space="preserve">Three compounding failures make today's coding labs inefficient for both students and professors:</w:t>
      </w:r>
    </w:p>
    <w:p>
      <w:pPr>
        <w:pStyle w:val="Heading2"/>
        <w:spacing w:after="120" w:before="260"/>
      </w:pPr>
      <w:r>
        <w:rPr>
          <w:rFonts w:ascii="Cambria" w:cs="Cambria" w:eastAsia="Cambria" w:hAnsi="Cambria"/>
          <w:b/>
          <w:bCs/>
          <w:color w:val="14193F"/>
          <w:sz w:val="24"/>
          <w:szCs w:val="24"/>
        </w:rPr>
        <w:t xml:space="preserve">2.1  Students hesitate to ask for help</w:t>
      </w:r>
    </w:p>
    <w:p>
      <w:pPr>
        <w:spacing w:after="160" w:line="300"/>
      </w:pPr>
      <w:r>
        <w:rPr>
          <w:rFonts w:ascii="Calibri" w:cs="Calibri" w:eastAsia="Calibri" w:hAnsi="Calibri"/>
          <w:color w:val="26293D"/>
          <w:sz w:val="22"/>
          <w:szCs w:val="22"/>
        </w:rPr>
        <w:t xml:space="preserve">In a room of 60+ peers, raising a hand to say "I don't understand" carries a social cost. Most students would rather stay silently stuck than be seen struggling — so the professor never learns they need help until the assignment is already late or the exam result reveals the gap.</w:t>
      </w:r>
    </w:p>
    <w:p>
      <w:pPr>
        <w:pStyle w:val="Heading2"/>
        <w:spacing w:after="120" w:before="260"/>
      </w:pPr>
      <w:r>
        <w:rPr>
          <w:rFonts w:ascii="Cambria" w:cs="Cambria" w:eastAsia="Cambria" w:hAnsi="Cambria"/>
          <w:b/>
          <w:bCs/>
          <w:color w:val="14193F"/>
          <w:sz w:val="24"/>
          <w:szCs w:val="24"/>
        </w:rPr>
        <w:t xml:space="preserve">2.2  Students cannot self-diagnose their own errors</w:t>
      </w:r>
    </w:p>
    <w:p>
      <w:pPr>
        <w:spacing w:after="160" w:line="300"/>
      </w:pPr>
      <w:r>
        <w:rPr>
          <w:rFonts w:ascii="Calibri" w:cs="Calibri" w:eastAsia="Calibri" w:hAnsi="Calibri"/>
          <w:color w:val="26293D"/>
          <w:sz w:val="22"/>
          <w:szCs w:val="22"/>
        </w:rPr>
        <w:t xml:space="preserve">Even a motivated student who does ask for help usually cannot correctly describe the problem. "My code isn't working" could mean a missing semicolon, an off-by-one loop bound, or a fundamental misunderstanding of recursion — and without knowing which, the professor has to re-derive the diagnosis from scratch for every single student.</w:t>
      </w:r>
    </w:p>
    <w:p>
      <w:pPr>
        <w:pStyle w:val="Heading2"/>
        <w:spacing w:after="120" w:before="260"/>
      </w:pPr>
      <w:r>
        <w:rPr>
          <w:rFonts w:ascii="Cambria" w:cs="Cambria" w:eastAsia="Cambria" w:hAnsi="Cambria"/>
          <w:b/>
          <w:bCs/>
          <w:color w:val="14193F"/>
          <w:sz w:val="24"/>
          <w:szCs w:val="24"/>
        </w:rPr>
        <w:t xml:space="preserve">2.3  One professor cannot manually triage an entire lab</w:t>
      </w:r>
    </w:p>
    <w:p>
      <w:pPr>
        <w:spacing w:after="160" w:line="300"/>
      </w:pPr>
      <w:r>
        <w:rPr>
          <w:rFonts w:ascii="Calibri" w:cs="Calibri" w:eastAsia="Calibri" w:hAnsi="Calibri"/>
          <w:color w:val="26293D"/>
          <w:sz w:val="22"/>
          <w:szCs w:val="22"/>
        </w:rPr>
        <w:t xml:space="preserve">A single instructor supervising a full lab session has no mechanism to know, in real time, which of 60 students are blocked, which are coasting, and which concept the whole batch is silently failing to grasp. Help is distributed reactively and inefficiently — usually to whoever is loudest, not whoever needs it most.</w:t>
      </w:r>
    </w:p>
    <w:p>
      <w:pPr>
        <w:spacing w:after="160" w:line="300"/>
      </w:pPr>
      <w:r>
        <w:rPr>
          <w:rFonts w:ascii="Calibri" w:cs="Calibri" w:eastAsia="Calibri" w:hAnsi="Calibri"/>
          <w:i/>
          <w:iCs/>
          <w:color w:val="5B6178"/>
          <w:sz w:val="22"/>
          <w:szCs w:val="22"/>
        </w:rPr>
        <w:t xml:space="preserve">The result is a widening gap between students who are comfortable asking questions and students who are not, and a professor whose time is spent discovering problems instead of solving them.</w:t>
      </w:r>
    </w:p>
    <w:p>
      <w:pPr>
        <w:pStyle w:val="Heading1"/>
        <w:pBdr>
          <w:bottom w:val="single" w:color="1E2761" w:sz="8" w:space="6"/>
        </w:pBdr>
        <w:spacing w:after="200" w:before="420"/>
      </w:pPr>
      <w:r>
        <w:rPr>
          <w:rFonts w:ascii="Cambria" w:cs="Cambria" w:eastAsia="Cambria" w:hAnsi="Cambria"/>
          <w:b/>
          <w:bCs/>
          <w:color w:val="1E2761"/>
          <w:sz w:val="30"/>
          <w:szCs w:val="30"/>
        </w:rPr>
        <w:t xml:space="preserve">3.  Solution Overview</w:t>
      </w:r>
    </w:p>
    <w:p>
      <w:pPr>
        <w:spacing w:after="160" w:line="300"/>
      </w:pPr>
      <w:r>
        <w:rPr>
          <w:rFonts w:ascii="Calibri" w:cs="Calibri" w:eastAsia="Calibri" w:hAnsi="Calibri"/>
          <w:color w:val="26293D"/>
          <w:sz w:val="22"/>
          <w:szCs w:val="22"/>
        </w:rPr>
        <w:t xml:space="preserve">SignalClass replaces the passive, screen-shared lab session with an active, two-way software layer connecting every student workstation to a single instructor dashboard — deployed entirely on the college's existing lab computers, with no new hardware required.</w:t>
      </w:r>
    </w:p>
    <w:p>
      <w:pPr>
        <w:pStyle w:val="Heading2"/>
        <w:spacing w:after="120" w:before="260"/>
      </w:pPr>
      <w:r>
        <w:rPr>
          <w:rFonts w:ascii="Cambria" w:cs="Cambria" w:eastAsia="Cambria" w:hAnsi="Cambria"/>
          <w:b/>
          <w:bCs/>
          <w:color w:val="14193F"/>
          <w:sz w:val="24"/>
          <w:szCs w:val="24"/>
        </w:rPr>
        <w:t xml:space="preserve">3.1  Two operating modes</w:t>
      </w:r>
    </w:p>
    <w:p>
      <w:pPr>
        <w:spacing w:after="130" w:line="280"/>
      </w:pPr>
      <w:r>
        <w:rPr>
          <w:rFonts w:ascii="Calibri" w:cs="Calibri" w:eastAsia="Calibri" w:hAnsi="Calibri"/>
          <w:b/>
          <w:bCs/>
          <w:color w:val="1E2761"/>
          <w:sz w:val="22"/>
          <w:szCs w:val="22"/>
        </w:rPr>
        <w:t xml:space="preserve">Follow Mode —  </w:t>
      </w:r>
      <w:r>
        <w:rPr>
          <w:rFonts w:ascii="Calibri" w:cs="Calibri" w:eastAsia="Calibri" w:hAnsi="Calibri"/>
          <w:color w:val="26293D"/>
          <w:sz w:val="22"/>
          <w:szCs w:val="22"/>
        </w:rPr>
        <w:t xml:space="preserve">used during live teaching and demonstration. The professor's code mirrors in real time into a read-only pane inside every student's IDE, shown side-by-side with the student's own workspace. Students follow the lecture directly inside their coding environment instead of switching between a screen-share window and their own editor.</w:t>
      </w:r>
    </w:p>
    <w:p>
      <w:pPr>
        <w:spacing w:after="130" w:line="280"/>
      </w:pPr>
      <w:r>
        <w:rPr>
          <w:rFonts w:ascii="Calibri" w:cs="Calibri" w:eastAsia="Calibri" w:hAnsi="Calibri"/>
          <w:b/>
          <w:bCs/>
          <w:color w:val="1E2761"/>
          <w:sz w:val="22"/>
          <w:szCs w:val="22"/>
        </w:rPr>
        <w:t xml:space="preserve">Practice Mode —  </w:t>
      </w:r>
      <w:r>
        <w:rPr>
          <w:rFonts w:ascii="Calibri" w:cs="Calibri" w:eastAsia="Calibri" w:hAnsi="Calibri"/>
          <w:color w:val="26293D"/>
          <w:sz w:val="22"/>
          <w:szCs w:val="22"/>
        </w:rPr>
        <w:t xml:space="preserve">used during hands-on lab exercises. The professor's code is not visible. Every student writes their own solution from a blank workspace. The platform observes only the student's own code, compiler output, and behaviour — this is the mode in which diagnosis, hinting, and instructor visibility all operate.</w:t>
      </w:r>
    </w:p>
    <w:p>
      <w:pPr>
        <w:spacing w:after="160" w:line="300"/>
      </w:pPr>
      <w:r>
        <w:rPr>
          <w:rFonts w:ascii="Calibri" w:cs="Calibri" w:eastAsia="Calibri" w:hAnsi="Calibri"/>
          <w:b w:val="false"/>
          <w:bCs w:val="false"/>
          <w:color w:val="26293D"/>
          <w:sz w:val="22"/>
          <w:szCs w:val="22"/>
        </w:rPr>
        <w:t xml:space="preserve">This separation is deliberate and central to the product's credibility: Follow Mode accelerates instruction; Practice Mode protects independent learning. The platform is never a channel through which students can access a solution they did not write themselves.</w:t>
      </w:r>
    </w:p>
    <w:p>
      <w:pPr>
        <w:pStyle w:val="Heading2"/>
        <w:spacing w:after="120" w:before="260"/>
      </w:pPr>
      <w:r>
        <w:rPr>
          <w:rFonts w:ascii="Cambria" w:cs="Cambria" w:eastAsia="Cambria" w:hAnsi="Cambria"/>
          <w:b/>
          <w:bCs/>
          <w:color w:val="14193F"/>
          <w:sz w:val="24"/>
          <w:szCs w:val="24"/>
        </w:rPr>
        <w:t xml:space="preserve">3.2  What the professor sees</w:t>
      </w:r>
    </w:p>
    <w:p>
      <w:pPr>
        <w:spacing w:after="160" w:line="300"/>
      </w:pPr>
      <w:r>
        <w:rPr>
          <w:rFonts w:ascii="Calibri" w:cs="Calibri" w:eastAsia="Calibri" w:hAnsi="Calibri"/>
          <w:color w:val="26293D"/>
          <w:sz w:val="22"/>
          <w:szCs w:val="22"/>
        </w:rPr>
        <w:t xml:space="preserve">Instead of a wall of 60 silent screens, the instructor dashboard surfaces a short, ranked queue: which students are stuck, on what category of error, for how long, and whether the platform's own guided hints have already failed to resolve it. The professor decides who to help and how — the platform only ever prepares the diagnosis.</w:t>
      </w:r>
    </w:p>
    <w:p>
      <w:pPr>
        <w:pStyle w:val="Heading1"/>
        <w:pBdr>
          <w:bottom w:val="single" w:color="1E2761" w:sz="8" w:space="6"/>
        </w:pBdr>
        <w:spacing w:after="200" w:before="420"/>
      </w:pPr>
      <w:r>
        <w:rPr>
          <w:rFonts w:ascii="Cambria" w:cs="Cambria" w:eastAsia="Cambria" w:hAnsi="Cambria"/>
          <w:b/>
          <w:bCs/>
          <w:color w:val="1E2761"/>
          <w:sz w:val="30"/>
          <w:szCs w:val="30"/>
        </w:rPr>
        <w:t xml:space="preserve">4.  Product Architecture &amp; Technical Approach</w:t>
      </w:r>
    </w:p>
    <w:p>
      <w:pPr>
        <w:spacing w:after="160" w:line="300"/>
      </w:pPr>
      <w:r>
        <w:rPr>
          <w:rFonts w:ascii="Calibri" w:cs="Calibri" w:eastAsia="Calibri" w:hAnsi="Calibri"/>
          <w:color w:val="26293D"/>
          <w:sz w:val="22"/>
          <w:szCs w:val="22"/>
        </w:rPr>
        <w:t xml:space="preserve">The platform is composed of seven core components. Each is scoped separately below, along with its technical shape and its build complexity, so the approach can be evaluated honestly rather than presented as a single black box.</w:t>
      </w:r>
    </w:p>
    <w:p>
      <w:pPr>
        <w:pStyle w:val="Heading2"/>
        <w:spacing w:after="120" w:before="260"/>
      </w:pPr>
      <w:r>
        <w:rPr>
          <w:rFonts w:ascii="Cambria" w:cs="Cambria" w:eastAsia="Cambria" w:hAnsi="Cambria"/>
          <w:b/>
          <w:bCs/>
          <w:color w:val="14193F"/>
          <w:sz w:val="24"/>
          <w:szCs w:val="24"/>
        </w:rPr>
        <w:t xml:space="preserve">4.1  Zero-Setup Cloud IDE</w:t>
      </w:r>
    </w:p>
    <w:p>
      <w:pPr>
        <w:spacing w:after="160" w:line="300"/>
      </w:pPr>
      <w:r>
        <w:rPr>
          <w:rFonts w:ascii="Calibri" w:cs="Calibri" w:eastAsia="Calibri" w:hAnsi="Calibri"/>
          <w:color w:val="26293D"/>
          <w:sz w:val="22"/>
          <w:szCs w:val="22"/>
        </w:rPr>
        <w:t xml:space="preserve">A browser-based code editor with an integrated terminal and sandboxed execution environment. Students open a link and start coding — no local compiler, interpreter, or IDE installation required, which removes a major source of lab friction (version mismatches, broken local setups, OS differences).</w:t>
      </w:r>
    </w:p>
    <w:p>
      <w:pPr>
        <w:pStyle w:val="ListParagraph"/>
        <w:numPr>
          <w:ilvl w:val="0"/>
          <w:numId w:val="2"/>
        </w:numPr>
        <w:spacing w:after="90" w:line="280"/>
      </w:pPr>
      <w:r>
        <w:rPr>
          <w:rFonts w:ascii="Calibri" w:cs="Calibri" w:eastAsia="Calibri" w:hAnsi="Calibri"/>
          <w:color w:val="26293D"/>
          <w:sz w:val="22"/>
          <w:szCs w:val="22"/>
        </w:rPr>
        <w:t xml:space="preserve">Editor: browser-based code editor component with syntax highlighting and multi-language support.</w:t>
      </w:r>
    </w:p>
    <w:p>
      <w:pPr>
        <w:pStyle w:val="ListParagraph"/>
        <w:numPr>
          <w:ilvl w:val="0"/>
          <w:numId w:val="2"/>
        </w:numPr>
        <w:spacing w:after="90" w:line="280"/>
      </w:pPr>
      <w:r>
        <w:rPr>
          <w:rFonts w:ascii="Calibri" w:cs="Calibri" w:eastAsia="Calibri" w:hAnsi="Calibri"/>
          <w:color w:val="26293D"/>
          <w:sz w:val="22"/>
          <w:szCs w:val="22"/>
        </w:rPr>
        <w:t xml:space="preserve">Execution: containerised, sandboxed runtime per session, isolated per student to prevent cross-contamination or abuse.</w:t>
      </w:r>
    </w:p>
    <w:p>
      <w:pPr>
        <w:pStyle w:val="ListParagraph"/>
        <w:numPr>
          <w:ilvl w:val="0"/>
          <w:numId w:val="2"/>
        </w:numPr>
        <w:spacing w:after="90" w:line="280"/>
      </w:pPr>
      <w:r>
        <w:rPr>
          <w:rFonts w:ascii="Calibri" w:cs="Calibri" w:eastAsia="Calibri" w:hAnsi="Calibri"/>
          <w:color w:val="26293D"/>
          <w:sz w:val="22"/>
          <w:szCs w:val="22"/>
        </w:rPr>
        <w:t xml:space="preserve">Persistence: student work auto-saved to their account, resumable across sessions.</w:t>
      </w:r>
    </w:p>
    <w:p>
      <w:pPr>
        <w:spacing w:after="200" w:before="40"/>
      </w:pPr>
      <w:r>
        <w:rPr>
          <w:rFonts w:ascii="Calibri" w:cs="Calibri" w:eastAsia="Calibri" w:hAnsi="Calibri"/>
          <w:i/>
          <w:iCs/>
          <w:color w:val="5B6178"/>
          <w:sz w:val="19"/>
          <w:szCs w:val="19"/>
        </w:rPr>
        <w:t xml:space="preserve">Build note: this is the most infrastructure-heavy component (multi-tenant sandboxing, execution isolation, scaling cost) and is scoped to a later build phase rather than the MVP — see Section 8.</w:t>
      </w:r>
    </w:p>
    <w:p>
      <w:pPr>
        <w:pStyle w:val="Heading2"/>
        <w:spacing w:after="120" w:before="260"/>
      </w:pPr>
      <w:r>
        <w:rPr>
          <w:rFonts w:ascii="Cambria" w:cs="Cambria" w:eastAsia="Cambria" w:hAnsi="Cambria"/>
          <w:b/>
          <w:bCs/>
          <w:color w:val="14193F"/>
          <w:sz w:val="24"/>
          <w:szCs w:val="24"/>
        </w:rPr>
        <w:t xml:space="preserve">4.2  Live Code Sync (Follow Mode)</w:t>
      </w:r>
    </w:p>
    <w:p>
      <w:pPr>
        <w:spacing w:after="160" w:line="300"/>
      </w:pPr>
      <w:r>
        <w:rPr>
          <w:rFonts w:ascii="Calibri" w:cs="Calibri" w:eastAsia="Calibri" w:hAnsi="Calibri"/>
          <w:color w:val="26293D"/>
          <w:sz w:val="22"/>
          <w:szCs w:val="22"/>
        </w:rPr>
        <w:t xml:space="preserve">A low-latency sync layer broadcasts the professor's editor state to every connected student IDE as a read-only reference pane. Built on a publish-subscribe model over the existing lab LAN, so no internet dependency is required for core classroom use.</w:t>
      </w:r>
    </w:p>
    <w:p>
      <w:pPr>
        <w:pStyle w:val="Heading2"/>
        <w:spacing w:after="120" w:before="260"/>
      </w:pPr>
      <w:r>
        <w:rPr>
          <w:rFonts w:ascii="Cambria" w:cs="Cambria" w:eastAsia="Cambria" w:hAnsi="Cambria"/>
          <w:b/>
          <w:bCs/>
          <w:color w:val="14193F"/>
          <w:sz w:val="24"/>
          <w:szCs w:val="24"/>
        </w:rPr>
        <w:t xml:space="preserve">4.3  Hierarchical Error Classification Engine</w:t>
      </w:r>
    </w:p>
    <w:p>
      <w:pPr>
        <w:spacing w:after="160" w:line="300"/>
      </w:pPr>
      <w:r>
        <w:rPr>
          <w:rFonts w:ascii="Calibri" w:cs="Calibri" w:eastAsia="Calibri" w:hAnsi="Calibri"/>
          <w:color w:val="26293D"/>
          <w:sz w:val="22"/>
          <w:szCs w:val="22"/>
        </w:rPr>
        <w:t xml:space="preserve">The diagnostic core of the platform. Every compiler error, runtime exception, and repeated failed execution is passed through a layered classifier:</w:t>
      </w:r>
    </w:p>
    <w:p>
      <w:pPr>
        <w:pStyle w:val="ListParagraph"/>
        <w:numPr>
          <w:ilvl w:val="0"/>
          <w:numId w:val="2"/>
        </w:numPr>
        <w:spacing w:after="90" w:line="280"/>
      </w:pPr>
      <w:r>
        <w:rPr>
          <w:rFonts w:ascii="Calibri" w:cs="Calibri" w:eastAsia="Calibri" w:hAnsi="Calibri"/>
          <w:color w:val="26293D"/>
          <w:sz w:val="22"/>
          <w:szCs w:val="22"/>
        </w:rPr>
        <w:t xml:space="preserve">Tier 1 — Syntax: missing semicolons, bracket mismatches, undeclared variables. Detected via direct compiler/parser output — high accuracy, rule-based, available from day one.</w:t>
      </w:r>
    </w:p>
    <w:p>
      <w:pPr>
        <w:pStyle w:val="ListParagraph"/>
        <w:numPr>
          <w:ilvl w:val="0"/>
          <w:numId w:val="2"/>
        </w:numPr>
        <w:spacing w:after="90" w:line="280"/>
      </w:pPr>
      <w:r>
        <w:rPr>
          <w:rFonts w:ascii="Calibri" w:cs="Calibri" w:eastAsia="Calibri" w:hAnsi="Calibri"/>
          <w:color w:val="26293D"/>
          <w:sz w:val="22"/>
          <w:szCs w:val="22"/>
        </w:rPr>
        <w:t xml:space="preserve">Tier 2 — Logic: off-by-one errors, incorrect conditions, infinite loops. Detected via pattern heuristics — repeated similar failures, output-vs-expected mismatches, execution trace anomalies.</w:t>
      </w:r>
    </w:p>
    <w:p>
      <w:pPr>
        <w:pStyle w:val="ListParagraph"/>
        <w:numPr>
          <w:ilvl w:val="0"/>
          <w:numId w:val="2"/>
        </w:numPr>
        <w:spacing w:after="90" w:line="280"/>
      </w:pPr>
      <w:r>
        <w:rPr>
          <w:rFonts w:ascii="Calibri" w:cs="Calibri" w:eastAsia="Calibri" w:hAnsi="Calibri"/>
          <w:color w:val="26293D"/>
          <w:sz w:val="22"/>
          <w:szCs w:val="22"/>
        </w:rPr>
        <w:t xml:space="preserve">Tier 3 — Conceptual: misunderstanding of recursion, pointers, scope, or similar. Inferred from behavioural signals — long idle time after an error, repeated identical mistakes across exercises, or hint requests that don't resolve the issue.</w:t>
      </w:r>
    </w:p>
    <w:p>
      <w:pPr>
        <w:spacing w:after="160" w:line="300"/>
      </w:pPr>
      <w:r>
        <w:rPr>
          <w:rFonts w:ascii="Calibri" w:cs="Calibri" w:eastAsia="Calibri" w:hAnsi="Calibri"/>
          <w:color w:val="26293D"/>
          <w:sz w:val="22"/>
          <w:szCs w:val="22"/>
        </w:rPr>
        <w:t xml:space="preserve">A resolution feedback loop closes this pipeline: when a professor helps a student, a ten-second tag confirming the true root cause is fed back into the classifier, so the model becomes measurably more accurate every week the platform is in use.</w:t>
      </w:r>
    </w:p>
    <w:p>
      <w:pPr>
        <w:pStyle w:val="Heading2"/>
        <w:spacing w:after="120" w:before="260"/>
      </w:pPr>
      <w:r>
        <w:rPr>
          <w:rFonts w:ascii="Cambria" w:cs="Cambria" w:eastAsia="Cambria" w:hAnsi="Cambria"/>
          <w:b/>
          <w:bCs/>
          <w:color w:val="14193F"/>
          <w:sz w:val="24"/>
          <w:szCs w:val="24"/>
        </w:rPr>
        <w:t xml:space="preserve">4.4  AI Lab Assistant</w:t>
      </w:r>
    </w:p>
    <w:p>
      <w:pPr>
        <w:spacing w:after="160" w:line="300"/>
      </w:pPr>
      <w:r>
        <w:rPr>
          <w:rFonts w:ascii="Calibri" w:cs="Calibri" w:eastAsia="Calibri" w:hAnsi="Calibri"/>
          <w:color w:val="26293D"/>
          <w:sz w:val="22"/>
          <w:szCs w:val="22"/>
        </w:rPr>
        <w:t xml:space="preserve">A guided-hint system, not an answer engine. The assistant only ever analyses the student's own code — never the professor's reference code — and responds with a targeted question or nudge (for example, "check your loop's exit condition") rather than a corrected code block. This preserves the pedagogical intent of the exercise: students build their own debugging instinct instead of learning to outsource it.</w:t>
      </w:r>
    </w:p>
    <w:p>
      <w:pPr>
        <w:spacing w:after="160" w:line="300"/>
      </w:pPr>
      <w:r>
        <w:rPr>
          <w:rFonts w:ascii="Calibri" w:cs="Calibri" w:eastAsia="Calibri" w:hAnsi="Calibri"/>
          <w:color w:val="26293D"/>
          <w:sz w:val="22"/>
          <w:szCs w:val="22"/>
        </w:rPr>
        <w:t xml:space="preserve">Students who still cannot resolve the issue after a guided hint are the ones who get escalated to the professor's dashboard — so the AI assistant also functions as a noise filter, ensuring the professor's attention is spent only on genuinely unresolved problems.</w:t>
      </w:r>
    </w:p>
    <w:p>
      <w:pPr>
        <w:pStyle w:val="Heading2"/>
        <w:spacing w:after="120" w:before="260"/>
      </w:pPr>
      <w:r>
        <w:rPr>
          <w:rFonts w:ascii="Cambria" w:cs="Cambria" w:eastAsia="Cambria" w:hAnsi="Cambria"/>
          <w:b/>
          <w:bCs/>
          <w:color w:val="14193F"/>
          <w:sz w:val="24"/>
          <w:szCs w:val="24"/>
        </w:rPr>
        <w:t xml:space="preserve">4.5  Instructor Dashboard &amp; Side-by-Side View</w:t>
      </w:r>
    </w:p>
    <w:p>
      <w:pPr>
        <w:spacing w:after="160" w:line="300"/>
      </w:pPr>
      <w:r>
        <w:rPr>
          <w:rFonts w:ascii="Calibri" w:cs="Calibri" w:eastAsia="Calibri" w:hAnsi="Calibri"/>
          <w:color w:val="26293D"/>
          <w:sz w:val="22"/>
          <w:szCs w:val="22"/>
        </w:rPr>
        <w:t xml:space="preserve">The professor's command centre for the session. Combines: a live, ranked list of students who need help and why; a class-wide heatmap showing which concept the whole batch is collectively struggling with; and per-student progress memory that tracks recurring problem areas across weeks, not just the current session — so the professor can address root causes instead of repeating the same fix for the same student every class.</w:t>
      </w:r>
    </w:p>
    <w:p>
      <w:pPr>
        <w:pStyle w:val="Heading2"/>
        <w:spacing w:after="120" w:before="260"/>
      </w:pPr>
      <w:r>
        <w:rPr>
          <w:rFonts w:ascii="Cambria" w:cs="Cambria" w:eastAsia="Cambria" w:hAnsi="Cambria"/>
          <w:b/>
          <w:bCs/>
          <w:color w:val="14193F"/>
          <w:sz w:val="24"/>
          <w:szCs w:val="24"/>
        </w:rPr>
        <w:t xml:space="preserve">4.6  Auto-Assessment</w:t>
      </w:r>
    </w:p>
    <w:p>
      <w:pPr>
        <w:spacing w:after="160" w:line="300"/>
      </w:pPr>
      <w:r>
        <w:rPr>
          <w:rFonts w:ascii="Calibri" w:cs="Calibri" w:eastAsia="Calibri" w:hAnsi="Calibri"/>
          <w:color w:val="26293D"/>
          <w:sz w:val="22"/>
          <w:szCs w:val="22"/>
        </w:rPr>
        <w:t xml:space="preserve">Passive tracking of completion status, execution success rate, number of attempts, and time-to-resolution per exercise — giving professors an evidence-based view of class progress without manually checking 60 submissions, and giving the institution a data trail for lab-based evaluation.</w:t>
      </w:r>
    </w:p>
    <w:p>
      <w:pPr>
        <w:pStyle w:val="Heading2"/>
        <w:spacing w:after="120" w:before="260"/>
      </w:pPr>
      <w:r>
        <w:rPr>
          <w:rFonts w:ascii="Cambria" w:cs="Cambria" w:eastAsia="Cambria" w:hAnsi="Cambria"/>
          <w:b/>
          <w:bCs/>
          <w:color w:val="14193F"/>
          <w:sz w:val="24"/>
          <w:szCs w:val="24"/>
        </w:rPr>
        <w:t xml:space="preserve">4.7  Academic Integrity Layer</w:t>
      </w:r>
    </w:p>
    <w:p>
      <w:pPr>
        <w:spacing w:after="160" w:line="300"/>
      </w:pPr>
      <w:r>
        <w:rPr>
          <w:rFonts w:ascii="Calibri" w:cs="Calibri" w:eastAsia="Calibri" w:hAnsi="Calibri"/>
          <w:color w:val="26293D"/>
          <w:sz w:val="22"/>
          <w:szCs w:val="22"/>
        </w:rPr>
        <w:t xml:space="preserve">Two detection systems run alongside the core platform to keep the environment trustworthy for institutions adopting it:</w:t>
      </w:r>
    </w:p>
    <w:p>
      <w:pPr>
        <w:pStyle w:val="ListParagraph"/>
        <w:numPr>
          <w:ilvl w:val="0"/>
          <w:numId w:val="2"/>
        </w:numPr>
        <w:spacing w:after="90" w:line="280"/>
      </w:pPr>
      <w:r>
        <w:rPr>
          <w:rFonts w:ascii="Calibri" w:cs="Calibri" w:eastAsia="Calibri" w:hAnsi="Calibri"/>
          <w:color w:val="26293D"/>
          <w:sz w:val="22"/>
          <w:szCs w:val="22"/>
        </w:rPr>
        <w:t xml:space="preserve">Code-similarity detection: compares student submissions using structural (AST-level) comparison rather than plain text-diff, so it catches logically copied code even when variable names or formatting are changed — flags peer-to-peer copying for professor review.</w:t>
      </w:r>
    </w:p>
    <w:p>
      <w:pPr>
        <w:pStyle w:val="ListParagraph"/>
        <w:numPr>
          <w:ilvl w:val="0"/>
          <w:numId w:val="2"/>
        </w:numPr>
        <w:spacing w:after="90" w:line="280"/>
      </w:pPr>
      <w:r>
        <w:rPr>
          <w:rFonts w:ascii="Calibri" w:cs="Calibri" w:eastAsia="Calibri" w:hAnsi="Calibri"/>
          <w:color w:val="26293D"/>
          <w:sz w:val="22"/>
          <w:szCs w:val="22"/>
        </w:rPr>
        <w:t xml:space="preserve">AI-generated code detection: identifies submissions that are statistically inconsistent with a student's own coding history (sudden jumps in complexity, style, or idiom that don't match their prior work), flagging likely AI-authored submissions for review rather than making an automated accusation.</w:t>
      </w:r>
    </w:p>
    <w:p>
      <w:pPr>
        <w:spacing w:after="160" w:line="300"/>
      </w:pPr>
      <w:r>
        <w:rPr>
          <w:rFonts w:ascii="Calibri" w:cs="Calibri" w:eastAsia="Calibri" w:hAnsi="Calibri"/>
          <w:i/>
          <w:iCs/>
          <w:color w:val="5B6178"/>
          <w:sz w:val="22"/>
          <w:szCs w:val="22"/>
        </w:rPr>
        <w:t xml:space="preserve">Both systems are designed to flag for human review, not to auto-penalise — final judgment always stays with the professor.</w:t>
      </w:r>
    </w:p>
    <w:p>
      <w:pPr>
        <w:pStyle w:val="Heading1"/>
        <w:pBdr>
          <w:bottom w:val="single" w:color="1E2761" w:sz="8" w:space="6"/>
        </w:pBdr>
        <w:spacing w:after="200" w:before="420"/>
      </w:pPr>
      <w:r>
        <w:rPr>
          <w:rFonts w:ascii="Cambria" w:cs="Cambria" w:eastAsia="Cambria" w:hAnsi="Cambria"/>
          <w:b/>
          <w:bCs/>
          <w:color w:val="1E2761"/>
          <w:sz w:val="30"/>
          <w:szCs w:val="30"/>
        </w:rPr>
        <w:t xml:space="preserve">5.  How It Works — End-to-End Flow</w:t>
      </w:r>
    </w:p>
    <w:p>
      <w:pPr>
        <w:pStyle w:val="ListParagraph"/>
        <w:numPr>
          <w:ilvl w:val="0"/>
          <w:numId w:val="2"/>
        </w:numPr>
        <w:spacing w:after="90" w:line="280"/>
      </w:pPr>
      <w:r>
        <w:rPr>
          <w:rFonts w:ascii="Calibri" w:cs="Calibri" w:eastAsia="Calibri" w:hAnsi="Calibri"/>
          <w:color w:val="26293D"/>
          <w:sz w:val="22"/>
          <w:szCs w:val="22"/>
        </w:rPr>
        <w:t xml:space="preserve">1.  Student opens the zero-setup cloud IDE — no local installation required.</w:t>
      </w:r>
    </w:p>
    <w:p>
      <w:pPr>
        <w:pStyle w:val="ListParagraph"/>
        <w:numPr>
          <w:ilvl w:val="0"/>
          <w:numId w:val="2"/>
        </w:numPr>
        <w:spacing w:after="90" w:line="280"/>
      </w:pPr>
      <w:r>
        <w:rPr>
          <w:rFonts w:ascii="Calibri" w:cs="Calibri" w:eastAsia="Calibri" w:hAnsi="Calibri"/>
          <w:color w:val="26293D"/>
          <w:sz w:val="22"/>
          <w:szCs w:val="22"/>
        </w:rPr>
        <w:t xml:space="preserve">2.  Professor begins the session in Follow Mode; live code mirrors into every student's side-by-side reference pane.</w:t>
      </w:r>
    </w:p>
    <w:p>
      <w:pPr>
        <w:pStyle w:val="ListParagraph"/>
        <w:numPr>
          <w:ilvl w:val="0"/>
          <w:numId w:val="2"/>
        </w:numPr>
        <w:spacing w:after="90" w:line="280"/>
      </w:pPr>
      <w:r>
        <w:rPr>
          <w:rFonts w:ascii="Calibri" w:cs="Calibri" w:eastAsia="Calibri" w:hAnsi="Calibri"/>
          <w:color w:val="26293D"/>
          <w:sz w:val="22"/>
          <w:szCs w:val="22"/>
        </w:rPr>
        <w:t xml:space="preserve">3.  Lab shifts to Practice Mode; students code independently, reference pane closes.</w:t>
      </w:r>
    </w:p>
    <w:p>
      <w:pPr>
        <w:pStyle w:val="ListParagraph"/>
        <w:numPr>
          <w:ilvl w:val="0"/>
          <w:numId w:val="2"/>
        </w:numPr>
        <w:spacing w:after="90" w:line="280"/>
      </w:pPr>
      <w:r>
        <w:rPr>
          <w:rFonts w:ascii="Calibri" w:cs="Calibri" w:eastAsia="Calibri" w:hAnsi="Calibri"/>
          <w:color w:val="26293D"/>
          <w:sz w:val="22"/>
          <w:szCs w:val="22"/>
        </w:rPr>
        <w:t xml:space="preserve">4.  As a student runs into an error, the classification engine tags it — syntax, logic, or conceptual.</w:t>
      </w:r>
    </w:p>
    <w:p>
      <w:pPr>
        <w:pStyle w:val="ListParagraph"/>
        <w:numPr>
          <w:ilvl w:val="0"/>
          <w:numId w:val="2"/>
        </w:numPr>
        <w:spacing w:after="90" w:line="280"/>
      </w:pPr>
      <w:r>
        <w:rPr>
          <w:rFonts w:ascii="Calibri" w:cs="Calibri" w:eastAsia="Calibri" w:hAnsi="Calibri"/>
          <w:color w:val="26293D"/>
          <w:sz w:val="22"/>
          <w:szCs w:val="22"/>
        </w:rPr>
        <w:t xml:space="preserve">5.  The AI Lab Assistant offers one guided hint, prompting the student to reason toward the fix themselves.</w:t>
      </w:r>
    </w:p>
    <w:p>
      <w:pPr>
        <w:pStyle w:val="ListParagraph"/>
        <w:numPr>
          <w:ilvl w:val="0"/>
          <w:numId w:val="2"/>
        </w:numPr>
        <w:spacing w:after="90" w:line="280"/>
      </w:pPr>
      <w:r>
        <w:rPr>
          <w:rFonts w:ascii="Calibri" w:cs="Calibri" w:eastAsia="Calibri" w:hAnsi="Calibri"/>
          <w:color w:val="26293D"/>
          <w:sz w:val="22"/>
          <w:szCs w:val="22"/>
        </w:rPr>
        <w:t xml:space="preserve">6.  If unresolved, the issue escalates — with its diagnosis attached — to the professor's live dashboard queue.</w:t>
      </w:r>
    </w:p>
    <w:p>
      <w:pPr>
        <w:pStyle w:val="ListParagraph"/>
        <w:numPr>
          <w:ilvl w:val="0"/>
          <w:numId w:val="2"/>
        </w:numPr>
        <w:spacing w:after="90" w:line="280"/>
      </w:pPr>
      <w:r>
        <w:rPr>
          <w:rFonts w:ascii="Calibri" w:cs="Calibri" w:eastAsia="Calibri" w:hAnsi="Calibri"/>
          <w:color w:val="26293D"/>
          <w:sz w:val="22"/>
          <w:szCs w:val="22"/>
        </w:rPr>
        <w:t xml:space="preserve">7.  In parallel, the integrity layer screens submissions for peer copying or AI-generated code, flagging anything unusual.</w:t>
      </w:r>
    </w:p>
    <w:p>
      <w:pPr>
        <w:pStyle w:val="ListParagraph"/>
        <w:numPr>
          <w:ilvl w:val="0"/>
          <w:numId w:val="2"/>
        </w:numPr>
        <w:spacing w:after="90" w:line="280"/>
      </w:pPr>
      <w:r>
        <w:rPr>
          <w:rFonts w:ascii="Calibri" w:cs="Calibri" w:eastAsia="Calibri" w:hAnsi="Calibri"/>
          <w:color w:val="26293D"/>
          <w:sz w:val="22"/>
          <w:szCs w:val="22"/>
        </w:rPr>
        <w:t xml:space="preserve">8.  The professor resolves the issue directly with the student, tags the true root cause, and the classifier gets sharper for next time.</w:t>
      </w:r>
    </w:p>
    <w:p>
      <w:pPr>
        <w:pStyle w:val="Heading1"/>
        <w:pBdr>
          <w:bottom w:val="single" w:color="1E2761" w:sz="8" w:space="6"/>
        </w:pBdr>
        <w:spacing w:after="200" w:before="420"/>
      </w:pPr>
      <w:r>
        <w:rPr>
          <w:rFonts w:ascii="Cambria" w:cs="Cambria" w:eastAsia="Cambria" w:hAnsi="Cambria"/>
          <w:b/>
          <w:bCs/>
          <w:color w:val="1E2761"/>
          <w:sz w:val="30"/>
          <w:szCs w:val="30"/>
        </w:rPr>
        <w:t xml:space="preserve">6.  Key Differentiators</w:t>
      </w:r>
    </w:p>
    <w:p>
      <w:pPr>
        <w:spacing w:after="160" w:line="300"/>
      </w:pPr>
      <w:r>
        <w:rPr>
          <w:rFonts w:ascii="Calibri" w:cs="Calibri" w:eastAsia="Calibri" w:hAnsi="Calibri"/>
          <w:color w:val="26293D"/>
          <w:sz w:val="22"/>
          <w:szCs w:val="22"/>
        </w:rPr>
        <w:t xml:space="preserve">Lab-monitoring and screen-share tools already exist. What SignalClass adds is diagnostic intelligence and a pedagogy-first design, not just visibility:</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3400"/>
        <w:gridCol w:w="3150"/>
        <w:gridCol w:w="3150"/>
      </w:tblGrid>
      <w:tr>
        <w:trPr>
          <w:tblHeader/>
        </w:trPr>
        <w:tc>
          <w:tcPr>
            <w:tcW w:type="dxa" w:w="3400"/>
            <w:shd w:fill="1E2761" w:color="auto" w:val="clear"/>
            <w:tcMar>
              <w:top w:type="dxa" w:w="100"/>
              <w:left w:type="dxa" w:w="140"/>
              <w:bottom w:type="dxa" w:w="100"/>
              <w:right w:type="dxa" w:w="140"/>
            </w:tcMar>
            <w:vAlign w:val="center"/>
          </w:tcPr>
          <w:p>
            <w:pPr>
              <w:jc w:val="left"/>
            </w:pPr>
            <w:r>
              <w:rPr>
                <w:rFonts w:ascii="Calibri" w:cs="Calibri" w:eastAsia="Calibri" w:hAnsi="Calibri"/>
                <w:b/>
                <w:bCs/>
                <w:color w:val="FFFFFF"/>
                <w:sz w:val="21"/>
                <w:szCs w:val="21"/>
              </w:rPr>
              <w:t xml:space="preserve">Capability</w:t>
            </w:r>
          </w:p>
        </w:tc>
        <w:tc>
          <w:tcPr>
            <w:tcW w:type="dxa" w:w="3150"/>
            <w:shd w:fill="1E2761" w:color="auto" w:val="clear"/>
            <w:tcMar>
              <w:top w:type="dxa" w:w="100"/>
              <w:left w:type="dxa" w:w="140"/>
              <w:bottom w:type="dxa" w:w="100"/>
              <w:right w:type="dxa" w:w="140"/>
            </w:tcMar>
            <w:vAlign w:val="center"/>
          </w:tcPr>
          <w:p>
            <w:pPr>
              <w:jc w:val="left"/>
            </w:pPr>
            <w:r>
              <w:rPr>
                <w:rFonts w:ascii="Calibri" w:cs="Calibri" w:eastAsia="Calibri" w:hAnsi="Calibri"/>
                <w:b/>
                <w:bCs/>
                <w:color w:val="FFFFFF"/>
                <w:sz w:val="21"/>
                <w:szCs w:val="21"/>
              </w:rPr>
              <w:t xml:space="preserve">Typical Lab-Monitoring Tool</w:t>
            </w:r>
          </w:p>
        </w:tc>
        <w:tc>
          <w:tcPr>
            <w:tcW w:type="dxa" w:w="3150"/>
            <w:shd w:fill="1E2761" w:color="auto" w:val="clear"/>
            <w:tcMar>
              <w:top w:type="dxa" w:w="100"/>
              <w:left w:type="dxa" w:w="140"/>
              <w:bottom w:type="dxa" w:w="100"/>
              <w:right w:type="dxa" w:w="140"/>
            </w:tcMar>
            <w:vAlign w:val="center"/>
          </w:tcPr>
          <w:p>
            <w:pPr>
              <w:jc w:val="left"/>
            </w:pPr>
            <w:r>
              <w:rPr>
                <w:rFonts w:ascii="Calibri" w:cs="Calibri" w:eastAsia="Calibri" w:hAnsi="Calibri"/>
                <w:b/>
                <w:bCs/>
                <w:color w:val="FFFFFF"/>
                <w:sz w:val="21"/>
                <w:szCs w:val="21"/>
              </w:rPr>
              <w:t xml:space="preserve">SignalClass</w:t>
            </w:r>
          </w:p>
        </w:tc>
      </w:tr>
      <w:tr>
        <w:tc>
          <w:tcPr>
            <w:tcW w:type="dxa" w:w="3400"/>
            <w:shd w:fill="FFFFFF" w:color="auto" w:val="clear"/>
            <w:tcMar>
              <w:top w:type="dxa" w:w="100"/>
              <w:left w:type="dxa" w:w="140"/>
              <w:bottom w:type="dxa" w:w="100"/>
              <w:right w:type="dxa" w:w="140"/>
            </w:tcMar>
            <w:vAlign w:val="center"/>
          </w:tcPr>
          <w:p>
            <w:pPr>
              <w:jc w:val="left"/>
            </w:pPr>
            <w:r>
              <w:rPr>
                <w:rFonts w:ascii="Calibri" w:cs="Calibri" w:eastAsia="Calibri" w:hAnsi="Calibri"/>
                <w:b w:val="false"/>
                <w:bCs w:val="false"/>
                <w:color w:val="26293D"/>
                <w:sz w:val="20"/>
                <w:szCs w:val="20"/>
              </w:rPr>
              <w:t xml:space="preserve">Shows what a student is typing</w:t>
            </w:r>
          </w:p>
        </w:tc>
        <w:tc>
          <w:tcPr>
            <w:tcW w:type="dxa" w:w="3150"/>
            <w:shd w:fill="FFFFFF" w:color="auto" w:val="clear"/>
            <w:tcMar>
              <w:top w:type="dxa" w:w="100"/>
              <w:left w:type="dxa" w:w="140"/>
              <w:bottom w:type="dxa" w:w="100"/>
              <w:right w:type="dxa" w:w="140"/>
            </w:tcMar>
            <w:vAlign w:val="center"/>
          </w:tcPr>
          <w:p>
            <w:pPr>
              <w:jc w:val="left"/>
            </w:pPr>
            <w:r>
              <w:rPr>
                <w:rFonts w:ascii="Calibri" w:cs="Calibri" w:eastAsia="Calibri" w:hAnsi="Calibri"/>
                <w:b w:val="false"/>
                <w:bCs w:val="false"/>
                <w:color w:val="26293D"/>
                <w:sz w:val="20"/>
                <w:szCs w:val="20"/>
              </w:rPr>
              <w:t xml:space="preserve">Yes</w:t>
            </w:r>
          </w:p>
        </w:tc>
        <w:tc>
          <w:tcPr>
            <w:tcW w:type="dxa" w:w="3150"/>
            <w:shd w:fill="FFFFFF" w:color="auto" w:val="clear"/>
            <w:tcMar>
              <w:top w:type="dxa" w:w="100"/>
              <w:left w:type="dxa" w:w="140"/>
              <w:bottom w:type="dxa" w:w="100"/>
              <w:right w:type="dxa" w:w="140"/>
            </w:tcMar>
            <w:vAlign w:val="center"/>
          </w:tcPr>
          <w:p>
            <w:pPr>
              <w:jc w:val="left"/>
            </w:pPr>
            <w:r>
              <w:rPr>
                <w:rFonts w:ascii="Calibri" w:cs="Calibri" w:eastAsia="Calibri" w:hAnsi="Calibri"/>
                <w:b w:val="false"/>
                <w:bCs w:val="false"/>
                <w:color w:val="26293D"/>
                <w:sz w:val="20"/>
                <w:szCs w:val="20"/>
              </w:rPr>
              <w:t xml:space="preserve">Yes</w:t>
            </w:r>
          </w:p>
        </w:tc>
      </w:tr>
      <w:tr>
        <w:tc>
          <w:tcPr>
            <w:tcW w:type="dxa" w:w="3400"/>
            <w:shd w:fill="EEF1FA" w:color="auto" w:val="clear"/>
            <w:tcMar>
              <w:top w:type="dxa" w:w="100"/>
              <w:left w:type="dxa" w:w="140"/>
              <w:bottom w:type="dxa" w:w="100"/>
              <w:right w:type="dxa" w:w="140"/>
            </w:tcMar>
            <w:vAlign w:val="center"/>
          </w:tcPr>
          <w:p>
            <w:pPr>
              <w:jc w:val="left"/>
            </w:pPr>
            <w:r>
              <w:rPr>
                <w:rFonts w:ascii="Calibri" w:cs="Calibri" w:eastAsia="Calibri" w:hAnsi="Calibri"/>
                <w:b w:val="false"/>
                <w:bCs w:val="false"/>
                <w:color w:val="26293D"/>
                <w:sz w:val="20"/>
                <w:szCs w:val="20"/>
              </w:rPr>
              <w:t xml:space="preserve">Explains *why* a student is stuck</w:t>
            </w:r>
          </w:p>
        </w:tc>
        <w:tc>
          <w:tcPr>
            <w:tcW w:type="dxa" w:w="3150"/>
            <w:shd w:fill="EEF1FA" w:color="auto" w:val="clear"/>
            <w:tcMar>
              <w:top w:type="dxa" w:w="100"/>
              <w:left w:type="dxa" w:w="140"/>
              <w:bottom w:type="dxa" w:w="100"/>
              <w:right w:type="dxa" w:w="140"/>
            </w:tcMar>
            <w:vAlign w:val="center"/>
          </w:tcPr>
          <w:p>
            <w:pPr>
              <w:jc w:val="left"/>
            </w:pPr>
            <w:r>
              <w:rPr>
                <w:rFonts w:ascii="Calibri" w:cs="Calibri" w:eastAsia="Calibri" w:hAnsi="Calibri"/>
                <w:b w:val="false"/>
                <w:bCs w:val="false"/>
                <w:color w:val="26293D"/>
                <w:sz w:val="20"/>
                <w:szCs w:val="20"/>
              </w:rPr>
              <w:t xml:space="preserve">No</w:t>
            </w:r>
          </w:p>
        </w:tc>
        <w:tc>
          <w:tcPr>
            <w:tcW w:type="dxa" w:w="3150"/>
            <w:shd w:fill="EEF1FA" w:color="auto" w:val="clear"/>
            <w:tcMar>
              <w:top w:type="dxa" w:w="100"/>
              <w:left w:type="dxa" w:w="140"/>
              <w:bottom w:type="dxa" w:w="100"/>
              <w:right w:type="dxa" w:w="140"/>
            </w:tcMar>
            <w:vAlign w:val="center"/>
          </w:tcPr>
          <w:p>
            <w:pPr>
              <w:jc w:val="left"/>
            </w:pPr>
            <w:r>
              <w:rPr>
                <w:rFonts w:ascii="Calibri" w:cs="Calibri" w:eastAsia="Calibri" w:hAnsi="Calibri"/>
                <w:b w:val="false"/>
                <w:bCs w:val="false"/>
                <w:color w:val="26293D"/>
                <w:sz w:val="20"/>
                <w:szCs w:val="20"/>
              </w:rPr>
              <w:t xml:space="preserve">Yes — hierarchical classification</w:t>
            </w:r>
          </w:p>
        </w:tc>
      </w:tr>
      <w:tr>
        <w:tc>
          <w:tcPr>
            <w:tcW w:type="dxa" w:w="3400"/>
            <w:shd w:fill="FFFFFF" w:color="auto" w:val="clear"/>
            <w:tcMar>
              <w:top w:type="dxa" w:w="100"/>
              <w:left w:type="dxa" w:w="140"/>
              <w:bottom w:type="dxa" w:w="100"/>
              <w:right w:type="dxa" w:w="140"/>
            </w:tcMar>
            <w:vAlign w:val="center"/>
          </w:tcPr>
          <w:p>
            <w:pPr>
              <w:jc w:val="left"/>
            </w:pPr>
            <w:r>
              <w:rPr>
                <w:rFonts w:ascii="Calibri" w:cs="Calibri" w:eastAsia="Calibri" w:hAnsi="Calibri"/>
                <w:b w:val="false"/>
                <w:bCs w:val="false"/>
                <w:color w:val="26293D"/>
                <w:sz w:val="20"/>
                <w:szCs w:val="20"/>
              </w:rPr>
              <w:t xml:space="preserve">Filters noise before reaching the professor</w:t>
            </w:r>
          </w:p>
        </w:tc>
        <w:tc>
          <w:tcPr>
            <w:tcW w:type="dxa" w:w="3150"/>
            <w:shd w:fill="FFFFFF" w:color="auto" w:val="clear"/>
            <w:tcMar>
              <w:top w:type="dxa" w:w="100"/>
              <w:left w:type="dxa" w:w="140"/>
              <w:bottom w:type="dxa" w:w="100"/>
              <w:right w:type="dxa" w:w="140"/>
            </w:tcMar>
            <w:vAlign w:val="center"/>
          </w:tcPr>
          <w:p>
            <w:pPr>
              <w:jc w:val="left"/>
            </w:pPr>
            <w:r>
              <w:rPr>
                <w:rFonts w:ascii="Calibri" w:cs="Calibri" w:eastAsia="Calibri" w:hAnsi="Calibri"/>
                <w:b w:val="false"/>
                <w:bCs w:val="false"/>
                <w:color w:val="26293D"/>
                <w:sz w:val="20"/>
                <w:szCs w:val="20"/>
              </w:rPr>
              <w:t xml:space="preserve">No</w:t>
            </w:r>
          </w:p>
        </w:tc>
        <w:tc>
          <w:tcPr>
            <w:tcW w:type="dxa" w:w="3150"/>
            <w:shd w:fill="FFFFFF" w:color="auto" w:val="clear"/>
            <w:tcMar>
              <w:top w:type="dxa" w:w="100"/>
              <w:left w:type="dxa" w:w="140"/>
              <w:bottom w:type="dxa" w:w="100"/>
              <w:right w:type="dxa" w:w="140"/>
            </w:tcMar>
            <w:vAlign w:val="center"/>
          </w:tcPr>
          <w:p>
            <w:pPr>
              <w:jc w:val="left"/>
            </w:pPr>
            <w:r>
              <w:rPr>
                <w:rFonts w:ascii="Calibri" w:cs="Calibri" w:eastAsia="Calibri" w:hAnsi="Calibri"/>
                <w:b w:val="false"/>
                <w:bCs w:val="false"/>
                <w:color w:val="26293D"/>
                <w:sz w:val="20"/>
                <w:szCs w:val="20"/>
              </w:rPr>
              <w:t xml:space="preserve">Yes — AI hint layer + escalation</w:t>
            </w:r>
          </w:p>
        </w:tc>
      </w:tr>
      <w:tr>
        <w:tc>
          <w:tcPr>
            <w:tcW w:type="dxa" w:w="3400"/>
            <w:shd w:fill="EEF1FA" w:color="auto" w:val="clear"/>
            <w:tcMar>
              <w:top w:type="dxa" w:w="100"/>
              <w:left w:type="dxa" w:w="140"/>
              <w:bottom w:type="dxa" w:w="100"/>
              <w:right w:type="dxa" w:w="140"/>
            </w:tcMar>
            <w:vAlign w:val="center"/>
          </w:tcPr>
          <w:p>
            <w:pPr>
              <w:jc w:val="left"/>
            </w:pPr>
            <w:r>
              <w:rPr>
                <w:rFonts w:ascii="Calibri" w:cs="Calibri" w:eastAsia="Calibri" w:hAnsi="Calibri"/>
                <w:b w:val="false"/>
                <w:bCs w:val="false"/>
                <w:color w:val="26293D"/>
                <w:sz w:val="20"/>
                <w:szCs w:val="20"/>
              </w:rPr>
              <w:t xml:space="preserve">Tracks recurring struggle over time</w:t>
            </w:r>
          </w:p>
        </w:tc>
        <w:tc>
          <w:tcPr>
            <w:tcW w:type="dxa" w:w="3150"/>
            <w:shd w:fill="EEF1FA" w:color="auto" w:val="clear"/>
            <w:tcMar>
              <w:top w:type="dxa" w:w="100"/>
              <w:left w:type="dxa" w:w="140"/>
              <w:bottom w:type="dxa" w:w="100"/>
              <w:right w:type="dxa" w:w="140"/>
            </w:tcMar>
            <w:vAlign w:val="center"/>
          </w:tcPr>
          <w:p>
            <w:pPr>
              <w:jc w:val="left"/>
            </w:pPr>
            <w:r>
              <w:rPr>
                <w:rFonts w:ascii="Calibri" w:cs="Calibri" w:eastAsia="Calibri" w:hAnsi="Calibri"/>
                <w:b w:val="false"/>
                <w:bCs w:val="false"/>
                <w:color w:val="26293D"/>
                <w:sz w:val="20"/>
                <w:szCs w:val="20"/>
              </w:rPr>
              <w:t xml:space="preserve">No</w:t>
            </w:r>
          </w:p>
        </w:tc>
        <w:tc>
          <w:tcPr>
            <w:tcW w:type="dxa" w:w="3150"/>
            <w:shd w:fill="EEF1FA" w:color="auto" w:val="clear"/>
            <w:tcMar>
              <w:top w:type="dxa" w:w="100"/>
              <w:left w:type="dxa" w:w="140"/>
              <w:bottom w:type="dxa" w:w="100"/>
              <w:right w:type="dxa" w:w="140"/>
            </w:tcMar>
            <w:vAlign w:val="center"/>
          </w:tcPr>
          <w:p>
            <w:pPr>
              <w:jc w:val="left"/>
            </w:pPr>
            <w:r>
              <w:rPr>
                <w:rFonts w:ascii="Calibri" w:cs="Calibri" w:eastAsia="Calibri" w:hAnsi="Calibri"/>
                <w:b w:val="false"/>
                <w:bCs w:val="false"/>
                <w:color w:val="26293D"/>
                <w:sz w:val="20"/>
                <w:szCs w:val="20"/>
              </w:rPr>
              <w:t xml:space="preserve">Yes — progress memory</w:t>
            </w:r>
          </w:p>
        </w:tc>
      </w:tr>
      <w:tr>
        <w:tc>
          <w:tcPr>
            <w:tcW w:type="dxa" w:w="3400"/>
            <w:shd w:fill="FFFFFF" w:color="auto" w:val="clear"/>
            <w:tcMar>
              <w:top w:type="dxa" w:w="100"/>
              <w:left w:type="dxa" w:w="140"/>
              <w:bottom w:type="dxa" w:w="100"/>
              <w:right w:type="dxa" w:w="140"/>
            </w:tcMar>
            <w:vAlign w:val="center"/>
          </w:tcPr>
          <w:p>
            <w:pPr>
              <w:jc w:val="left"/>
            </w:pPr>
            <w:r>
              <w:rPr>
                <w:rFonts w:ascii="Calibri" w:cs="Calibri" w:eastAsia="Calibri" w:hAnsi="Calibri"/>
                <w:b w:val="false"/>
                <w:bCs w:val="false"/>
                <w:color w:val="26293D"/>
                <w:sz w:val="20"/>
                <w:szCs w:val="20"/>
              </w:rPr>
              <w:t xml:space="preserve">Detects peer copying &amp; AI-generated code</w:t>
            </w:r>
          </w:p>
        </w:tc>
        <w:tc>
          <w:tcPr>
            <w:tcW w:type="dxa" w:w="3150"/>
            <w:shd w:fill="FFFFFF" w:color="auto" w:val="clear"/>
            <w:tcMar>
              <w:top w:type="dxa" w:w="100"/>
              <w:left w:type="dxa" w:w="140"/>
              <w:bottom w:type="dxa" w:w="100"/>
              <w:right w:type="dxa" w:w="140"/>
            </w:tcMar>
            <w:vAlign w:val="center"/>
          </w:tcPr>
          <w:p>
            <w:pPr>
              <w:jc w:val="left"/>
            </w:pPr>
            <w:r>
              <w:rPr>
                <w:rFonts w:ascii="Calibri" w:cs="Calibri" w:eastAsia="Calibri" w:hAnsi="Calibri"/>
                <w:b w:val="false"/>
                <w:bCs w:val="false"/>
                <w:color w:val="26293D"/>
                <w:sz w:val="20"/>
                <w:szCs w:val="20"/>
              </w:rPr>
              <w:t xml:space="preserve">Rarely / bolt-on</w:t>
            </w:r>
          </w:p>
        </w:tc>
        <w:tc>
          <w:tcPr>
            <w:tcW w:type="dxa" w:w="3150"/>
            <w:shd w:fill="FFFFFF" w:color="auto" w:val="clear"/>
            <w:tcMar>
              <w:top w:type="dxa" w:w="100"/>
              <w:left w:type="dxa" w:w="140"/>
              <w:bottom w:type="dxa" w:w="100"/>
              <w:right w:type="dxa" w:w="140"/>
            </w:tcMar>
            <w:vAlign w:val="center"/>
          </w:tcPr>
          <w:p>
            <w:pPr>
              <w:jc w:val="left"/>
            </w:pPr>
            <w:r>
              <w:rPr>
                <w:rFonts w:ascii="Calibri" w:cs="Calibri" w:eastAsia="Calibri" w:hAnsi="Calibri"/>
                <w:b w:val="false"/>
                <w:bCs w:val="false"/>
                <w:color w:val="26293D"/>
                <w:sz w:val="20"/>
                <w:szCs w:val="20"/>
              </w:rPr>
              <w:t xml:space="preserve">Built in from day one</w:t>
            </w:r>
          </w:p>
        </w:tc>
      </w:tr>
      <w:tr>
        <w:tc>
          <w:tcPr>
            <w:tcW w:type="dxa" w:w="3400"/>
            <w:shd w:fill="EEF1FA" w:color="auto" w:val="clear"/>
            <w:tcMar>
              <w:top w:type="dxa" w:w="100"/>
              <w:left w:type="dxa" w:w="140"/>
              <w:bottom w:type="dxa" w:w="100"/>
              <w:right w:type="dxa" w:w="140"/>
            </w:tcMar>
            <w:vAlign w:val="center"/>
          </w:tcPr>
          <w:p>
            <w:pPr>
              <w:jc w:val="left"/>
            </w:pPr>
            <w:r>
              <w:rPr>
                <w:rFonts w:ascii="Calibri" w:cs="Calibri" w:eastAsia="Calibri" w:hAnsi="Calibri"/>
                <w:b w:val="false"/>
                <w:bCs w:val="false"/>
                <w:color w:val="26293D"/>
                <w:sz w:val="20"/>
                <w:szCs w:val="20"/>
              </w:rPr>
              <w:t xml:space="preserve">Requires new hardware</w:t>
            </w:r>
          </w:p>
        </w:tc>
        <w:tc>
          <w:tcPr>
            <w:tcW w:type="dxa" w:w="3150"/>
            <w:shd w:fill="EEF1FA" w:color="auto" w:val="clear"/>
            <w:tcMar>
              <w:top w:type="dxa" w:w="100"/>
              <w:left w:type="dxa" w:w="140"/>
              <w:bottom w:type="dxa" w:w="100"/>
              <w:right w:type="dxa" w:w="140"/>
            </w:tcMar>
            <w:vAlign w:val="center"/>
          </w:tcPr>
          <w:p>
            <w:pPr>
              <w:jc w:val="left"/>
            </w:pPr>
            <w:r>
              <w:rPr>
                <w:rFonts w:ascii="Calibri" w:cs="Calibri" w:eastAsia="Calibri" w:hAnsi="Calibri"/>
                <w:b w:val="false"/>
                <w:bCs w:val="false"/>
                <w:color w:val="26293D"/>
                <w:sz w:val="20"/>
                <w:szCs w:val="20"/>
              </w:rPr>
              <w:t xml:space="preserve">Sometimes</w:t>
            </w:r>
          </w:p>
        </w:tc>
        <w:tc>
          <w:tcPr>
            <w:tcW w:type="dxa" w:w="3150"/>
            <w:shd w:fill="EEF1FA" w:color="auto" w:val="clear"/>
            <w:tcMar>
              <w:top w:type="dxa" w:w="100"/>
              <w:left w:type="dxa" w:w="140"/>
              <w:bottom w:type="dxa" w:w="100"/>
              <w:right w:type="dxa" w:w="140"/>
            </w:tcMar>
            <w:vAlign w:val="center"/>
          </w:tcPr>
          <w:p>
            <w:pPr>
              <w:jc w:val="left"/>
            </w:pPr>
            <w:r>
              <w:rPr>
                <w:rFonts w:ascii="Calibri" w:cs="Calibri" w:eastAsia="Calibri" w:hAnsi="Calibri"/>
                <w:b w:val="false"/>
                <w:bCs w:val="false"/>
                <w:color w:val="26293D"/>
                <w:sz w:val="20"/>
                <w:szCs w:val="20"/>
              </w:rPr>
              <w:t xml:space="preserve">Never — runs on existing lab PCs</w:t>
            </w:r>
          </w:p>
        </w:tc>
      </w:tr>
    </w:tbl>
    <w:p>
      <w:pPr>
        <w:spacing w:after="200"/>
      </w:pPr>
    </w:p>
    <w:p>
      <w:pPr>
        <w:pStyle w:val="Heading1"/>
        <w:pBdr>
          <w:bottom w:val="single" w:color="1E2761" w:sz="8" w:space="6"/>
        </w:pBdr>
        <w:spacing w:after="200" w:before="420"/>
      </w:pPr>
      <w:r>
        <w:rPr>
          <w:rFonts w:ascii="Cambria" w:cs="Cambria" w:eastAsia="Cambria" w:hAnsi="Cambria"/>
          <w:b/>
          <w:bCs/>
          <w:color w:val="1E2761"/>
          <w:sz w:val="30"/>
          <w:szCs w:val="30"/>
        </w:rPr>
        <w:t xml:space="preserve">7.  Revenue Model</w:t>
      </w:r>
    </w:p>
    <w:p>
      <w:pPr>
        <w:spacing w:after="160" w:line="300"/>
      </w:pPr>
      <w:r>
        <w:rPr>
          <w:rFonts w:ascii="Calibri" w:cs="Calibri" w:eastAsia="Calibri" w:hAnsi="Calibri"/>
          <w:color w:val="26293D"/>
          <w:sz w:val="22"/>
          <w:szCs w:val="22"/>
        </w:rPr>
        <w:t xml:space="preserve">SignalClass monetises through two independent, complementary subscriptions — one sold to the institution, one sold directly to the end user:</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300"/>
        <w:gridCol w:w="3700"/>
        <w:gridCol w:w="3700"/>
      </w:tblGrid>
      <w:tr>
        <w:trPr>
          <w:tblHeader/>
        </w:trPr>
        <w:tc>
          <w:tcPr>
            <w:tcW w:type="dxa" w:w="2300"/>
            <w:shd w:fill="1E2761" w:color="auto" w:val="clear"/>
            <w:tcMar>
              <w:top w:type="dxa" w:w="100"/>
              <w:left w:type="dxa" w:w="140"/>
              <w:bottom w:type="dxa" w:w="100"/>
              <w:right w:type="dxa" w:w="140"/>
            </w:tcMar>
            <w:vAlign w:val="center"/>
          </w:tcPr>
          <w:p>
            <w:pPr>
              <w:jc w:val="left"/>
            </w:pPr>
            <w:r>
              <w:rPr>
                <w:rFonts w:ascii="Calibri" w:cs="Calibri" w:eastAsia="Calibri" w:hAnsi="Calibri"/>
                <w:b/>
                <w:bCs/>
                <w:color w:val="FFFFFF"/>
                <w:sz w:val="21"/>
                <w:szCs w:val="21"/>
              </w:rPr>
              <w:t xml:space="preserve"/>
            </w:r>
          </w:p>
        </w:tc>
        <w:tc>
          <w:tcPr>
            <w:tcW w:type="dxa" w:w="3700"/>
            <w:shd w:fill="1E2761" w:color="auto" w:val="clear"/>
            <w:tcMar>
              <w:top w:type="dxa" w:w="100"/>
              <w:left w:type="dxa" w:w="140"/>
              <w:bottom w:type="dxa" w:w="100"/>
              <w:right w:type="dxa" w:w="140"/>
            </w:tcMar>
            <w:vAlign w:val="center"/>
          </w:tcPr>
          <w:p>
            <w:pPr>
              <w:jc w:val="left"/>
            </w:pPr>
            <w:r>
              <w:rPr>
                <w:rFonts w:ascii="Calibri" w:cs="Calibri" w:eastAsia="Calibri" w:hAnsi="Calibri"/>
                <w:b/>
                <w:bCs/>
                <w:color w:val="FFFFFF"/>
                <w:sz w:val="21"/>
                <w:szCs w:val="21"/>
              </w:rPr>
              <w:t xml:space="preserve">Institutional Subscription</w:t>
            </w:r>
          </w:p>
        </w:tc>
        <w:tc>
          <w:tcPr>
            <w:tcW w:type="dxa" w:w="3700"/>
            <w:shd w:fill="1E2761" w:color="auto" w:val="clear"/>
            <w:tcMar>
              <w:top w:type="dxa" w:w="100"/>
              <w:left w:type="dxa" w:w="140"/>
              <w:bottom w:type="dxa" w:w="100"/>
              <w:right w:type="dxa" w:w="140"/>
            </w:tcMar>
            <w:vAlign w:val="center"/>
          </w:tcPr>
          <w:p>
            <w:pPr>
              <w:jc w:val="left"/>
            </w:pPr>
            <w:r>
              <w:rPr>
                <w:rFonts w:ascii="Calibri" w:cs="Calibri" w:eastAsia="Calibri" w:hAnsi="Calibri"/>
                <w:b/>
                <w:bCs/>
                <w:color w:val="FFFFFF"/>
                <w:sz w:val="21"/>
                <w:szCs w:val="21"/>
              </w:rPr>
              <w:t xml:space="preserve">Student Premium</w:t>
            </w:r>
          </w:p>
        </w:tc>
      </w:tr>
      <w:tr>
        <w:tc>
          <w:tcPr>
            <w:tcW w:type="dxa" w:w="2300"/>
            <w:shd w:fill="EEF1FA" w:color="auto" w:val="clear"/>
            <w:tcMar>
              <w:top w:type="dxa" w:w="100"/>
              <w:left w:type="dxa" w:w="140"/>
              <w:bottom w:type="dxa" w:w="100"/>
              <w:right w:type="dxa" w:w="140"/>
            </w:tcMar>
            <w:vAlign w:val="center"/>
          </w:tcPr>
          <w:p>
            <w:pPr>
              <w:jc w:val="left"/>
            </w:pPr>
            <w:r>
              <w:rPr>
                <w:rFonts w:ascii="Calibri" w:cs="Calibri" w:eastAsia="Calibri" w:hAnsi="Calibri"/>
                <w:b w:val="false"/>
                <w:bCs w:val="false"/>
                <w:color w:val="26293D"/>
                <w:sz w:val="20"/>
                <w:szCs w:val="20"/>
              </w:rPr>
              <w:t xml:space="preserve">Buyer</w:t>
            </w:r>
          </w:p>
        </w:tc>
        <w:tc>
          <w:tcPr>
            <w:tcW w:type="dxa" w:w="3700"/>
            <w:tcMar>
              <w:top w:type="dxa" w:w="100"/>
              <w:left w:type="dxa" w:w="140"/>
              <w:bottom w:type="dxa" w:w="100"/>
              <w:right w:type="dxa" w:w="140"/>
            </w:tcMar>
            <w:vAlign w:val="center"/>
          </w:tcPr>
          <w:p>
            <w:pPr>
              <w:jc w:val="left"/>
            </w:pPr>
            <w:r>
              <w:rPr>
                <w:rFonts w:ascii="Calibri" w:cs="Calibri" w:eastAsia="Calibri" w:hAnsi="Calibri"/>
                <w:b w:val="false"/>
                <w:bCs w:val="false"/>
                <w:color w:val="26293D"/>
                <w:sz w:val="20"/>
                <w:szCs w:val="20"/>
              </w:rPr>
              <w:t xml:space="preserve">College / CS department</w:t>
            </w:r>
          </w:p>
        </w:tc>
        <w:tc>
          <w:tcPr>
            <w:tcW w:type="dxa" w:w="3700"/>
            <w:tcMar>
              <w:top w:type="dxa" w:w="100"/>
              <w:left w:type="dxa" w:w="140"/>
              <w:bottom w:type="dxa" w:w="100"/>
              <w:right w:type="dxa" w:w="140"/>
            </w:tcMar>
            <w:vAlign w:val="center"/>
          </w:tcPr>
          <w:p>
            <w:pPr>
              <w:jc w:val="left"/>
            </w:pPr>
            <w:r>
              <w:rPr>
                <w:rFonts w:ascii="Calibri" w:cs="Calibri" w:eastAsia="Calibri" w:hAnsi="Calibri"/>
                <w:b w:val="false"/>
                <w:bCs w:val="false"/>
                <w:color w:val="26293D"/>
                <w:sz w:val="20"/>
                <w:szCs w:val="20"/>
              </w:rPr>
              <w:t xml:space="preserve">Individual student</w:t>
            </w:r>
          </w:p>
        </w:tc>
      </w:tr>
      <w:tr>
        <w:tc>
          <w:tcPr>
            <w:tcW w:type="dxa" w:w="2300"/>
            <w:shd w:fill="EEF1FA" w:color="auto" w:val="clear"/>
            <w:tcMar>
              <w:top w:type="dxa" w:w="100"/>
              <w:left w:type="dxa" w:w="140"/>
              <w:bottom w:type="dxa" w:w="100"/>
              <w:right w:type="dxa" w:w="140"/>
            </w:tcMar>
            <w:vAlign w:val="center"/>
          </w:tcPr>
          <w:p>
            <w:pPr>
              <w:jc w:val="left"/>
            </w:pPr>
            <w:r>
              <w:rPr>
                <w:rFonts w:ascii="Calibri" w:cs="Calibri" w:eastAsia="Calibri" w:hAnsi="Calibri"/>
                <w:b w:val="false"/>
                <w:bCs w:val="false"/>
                <w:color w:val="26293D"/>
                <w:sz w:val="20"/>
                <w:szCs w:val="20"/>
              </w:rPr>
              <w:t xml:space="preserve">What's included</w:t>
            </w:r>
          </w:p>
        </w:tc>
        <w:tc>
          <w:tcPr>
            <w:tcW w:type="dxa" w:w="3700"/>
            <w:tcMar>
              <w:top w:type="dxa" w:w="100"/>
              <w:left w:type="dxa" w:w="140"/>
              <w:bottom w:type="dxa" w:w="100"/>
              <w:right w:type="dxa" w:w="140"/>
            </w:tcMar>
            <w:vAlign w:val="center"/>
          </w:tcPr>
          <w:p>
            <w:pPr>
              <w:jc w:val="left"/>
            </w:pPr>
            <w:r>
              <w:rPr>
                <w:rFonts w:ascii="Calibri" w:cs="Calibri" w:eastAsia="Calibri" w:hAnsi="Calibri"/>
                <w:b w:val="false"/>
                <w:bCs w:val="false"/>
                <w:color w:val="26293D"/>
                <w:sz w:val="20"/>
                <w:szCs w:val="20"/>
              </w:rPr>
              <w:t xml:space="preserve">Full instructor dashboard, class heatmap, progress memory, and integrity layer for every lab section</w:t>
            </w:r>
          </w:p>
        </w:tc>
        <w:tc>
          <w:tcPr>
            <w:tcW w:type="dxa" w:w="3700"/>
            <w:tcMar>
              <w:top w:type="dxa" w:w="100"/>
              <w:left w:type="dxa" w:w="140"/>
              <w:bottom w:type="dxa" w:w="100"/>
              <w:right w:type="dxa" w:w="140"/>
            </w:tcMar>
            <w:vAlign w:val="center"/>
          </w:tcPr>
          <w:p>
            <w:pPr>
              <w:jc w:val="left"/>
            </w:pPr>
            <w:r>
              <w:rPr>
                <w:rFonts w:ascii="Calibri" w:cs="Calibri" w:eastAsia="Calibri" w:hAnsi="Calibri"/>
                <w:b w:val="false"/>
                <w:bCs w:val="false"/>
                <w:color w:val="26293D"/>
                <w:sz w:val="20"/>
                <w:szCs w:val="20"/>
              </w:rPr>
              <w:t xml:space="preserve">Plain-language error explanations and self-paced debugging practice outside lab hours</w:t>
            </w:r>
          </w:p>
        </w:tc>
      </w:tr>
      <w:tr>
        <w:tc>
          <w:tcPr>
            <w:tcW w:type="dxa" w:w="2300"/>
            <w:shd w:fill="EEF1FA" w:color="auto" w:val="clear"/>
            <w:tcMar>
              <w:top w:type="dxa" w:w="100"/>
              <w:left w:type="dxa" w:w="140"/>
              <w:bottom w:type="dxa" w:w="100"/>
              <w:right w:type="dxa" w:w="140"/>
            </w:tcMar>
            <w:vAlign w:val="center"/>
          </w:tcPr>
          <w:p>
            <w:pPr>
              <w:jc w:val="left"/>
            </w:pPr>
            <w:r>
              <w:rPr>
                <w:rFonts w:ascii="Calibri" w:cs="Calibri" w:eastAsia="Calibri" w:hAnsi="Calibri"/>
                <w:b w:val="false"/>
                <w:bCs w:val="false"/>
                <w:color w:val="26293D"/>
                <w:sz w:val="20"/>
                <w:szCs w:val="20"/>
              </w:rPr>
              <w:t xml:space="preserve">Why it sells</w:t>
            </w:r>
          </w:p>
        </w:tc>
        <w:tc>
          <w:tcPr>
            <w:tcW w:type="dxa" w:w="3700"/>
            <w:tcMar>
              <w:top w:type="dxa" w:w="100"/>
              <w:left w:type="dxa" w:w="140"/>
              <w:bottom w:type="dxa" w:w="100"/>
              <w:right w:type="dxa" w:w="140"/>
            </w:tcMar>
            <w:vAlign w:val="center"/>
          </w:tcPr>
          <w:p>
            <w:pPr>
              <w:jc w:val="left"/>
            </w:pPr>
            <w:r>
              <w:rPr>
                <w:rFonts w:ascii="Calibri" w:cs="Calibri" w:eastAsia="Calibri" w:hAnsi="Calibri"/>
                <w:b w:val="false"/>
                <w:bCs w:val="false"/>
                <w:color w:val="26293D"/>
                <w:sz w:val="20"/>
                <w:szCs w:val="20"/>
              </w:rPr>
              <w:t xml:space="preserve">Deploys on existing lab PCs — no capital hardware spend; priced per lab / per semester, scaling with department size</w:t>
            </w:r>
          </w:p>
        </w:tc>
        <w:tc>
          <w:tcPr>
            <w:tcW w:type="dxa" w:w="3700"/>
            <w:tcMar>
              <w:top w:type="dxa" w:w="100"/>
              <w:left w:type="dxa" w:w="140"/>
              <w:bottom w:type="dxa" w:w="100"/>
              <w:right w:type="dxa" w:w="140"/>
            </w:tcMar>
            <w:vAlign w:val="center"/>
          </w:tcPr>
          <w:p>
            <w:pPr>
              <w:jc w:val="left"/>
            </w:pPr>
            <w:r>
              <w:rPr>
                <w:rFonts w:ascii="Calibri" w:cs="Calibri" w:eastAsia="Calibri" w:hAnsi="Calibri"/>
                <w:b w:val="false"/>
                <w:bCs w:val="false"/>
                <w:color w:val="26293D"/>
                <w:sz w:val="20"/>
                <w:szCs w:val="20"/>
              </w:rPr>
              <w:t xml:space="preserve">The standard classroom explanation is often too terse for a beginner; premium gives a patient, plain-language debugging companion on demand</w:t>
            </w:r>
          </w:p>
        </w:tc>
      </w:tr>
    </w:tbl>
    <w:p>
      <w:pPr>
        <w:spacing w:after="200"/>
      </w:pPr>
    </w:p>
    <w:p>
      <w:pPr>
        <w:spacing w:after="160" w:line="300"/>
      </w:pPr>
      <w:r>
        <w:rPr>
          <w:rFonts w:ascii="Calibri" w:cs="Calibri" w:eastAsia="Calibri" w:hAnsi="Calibri"/>
          <w:color w:val="26293D"/>
          <w:sz w:val="22"/>
          <w:szCs w:val="22"/>
        </w:rPr>
        <w:t xml:space="preserve">The two streams are intentionally decoupled: a college can adopt the institutional tier with zero obligation on students, while individual students in colleges that haven't adopted the platform yet can still subscribe on their own — giving the product two independent paths to growth.</w:t>
      </w:r>
    </w:p>
    <w:p>
      <w:pPr>
        <w:pStyle w:val="Heading1"/>
        <w:pBdr>
          <w:bottom w:val="single" w:color="1E2761" w:sz="8" w:space="6"/>
        </w:pBdr>
        <w:spacing w:after="200" w:before="420"/>
      </w:pPr>
      <w:r>
        <w:rPr>
          <w:rFonts w:ascii="Cambria" w:cs="Cambria" w:eastAsia="Cambria" w:hAnsi="Cambria"/>
          <w:b/>
          <w:bCs/>
          <w:color w:val="1E2761"/>
          <w:sz w:val="30"/>
          <w:szCs w:val="30"/>
        </w:rPr>
        <w:t xml:space="preserve">8.  Build Roadmap</w:t>
      </w:r>
    </w:p>
    <w:p>
      <w:pPr>
        <w:pStyle w:val="Heading2"/>
        <w:spacing w:after="120" w:before="260"/>
      </w:pPr>
      <w:r>
        <w:rPr>
          <w:rFonts w:ascii="Cambria" w:cs="Cambria" w:eastAsia="Cambria" w:hAnsi="Cambria"/>
          <w:b/>
          <w:bCs/>
          <w:color w:val="14193F"/>
          <w:sz w:val="24"/>
          <w:szCs w:val="24"/>
        </w:rPr>
        <w:t xml:space="preserve">Phase 1 — Core MVP</w:t>
      </w:r>
    </w:p>
    <w:p>
      <w:pPr>
        <w:spacing w:after="160" w:line="300"/>
      </w:pPr>
      <w:r>
        <w:rPr>
          <w:rFonts w:ascii="Calibri" w:cs="Calibri" w:eastAsia="Calibri" w:hAnsi="Calibri"/>
          <w:color w:val="26293D"/>
          <w:sz w:val="22"/>
          <w:szCs w:val="22"/>
        </w:rPr>
        <w:t xml:space="preserve">Rule-based classifier for syntax and common logic errors, lab agent deployed in a single pilot lab, and a basic instructor dashboard. Goal: validate that the diagnosis engine is accurate and genuinely useful before investing further.</w:t>
      </w:r>
    </w:p>
    <w:p>
      <w:pPr>
        <w:pStyle w:val="Heading2"/>
        <w:spacing w:after="120" w:before="260"/>
      </w:pPr>
      <w:r>
        <w:rPr>
          <w:rFonts w:ascii="Cambria" w:cs="Cambria" w:eastAsia="Cambria" w:hAnsi="Cambria"/>
          <w:b/>
          <w:bCs/>
          <w:color w:val="14193F"/>
          <w:sz w:val="24"/>
          <w:szCs w:val="24"/>
        </w:rPr>
        <w:t xml:space="preserve">Phase 2 — Intelligence Layer</w:t>
      </w:r>
    </w:p>
    <w:p>
      <w:pPr>
        <w:spacing w:after="160" w:line="300"/>
      </w:pPr>
      <w:r>
        <w:rPr>
          <w:rFonts w:ascii="Calibri" w:cs="Calibri" w:eastAsia="Calibri" w:hAnsi="Calibri"/>
          <w:color w:val="26293D"/>
          <w:sz w:val="22"/>
          <w:szCs w:val="22"/>
        </w:rPr>
        <w:t xml:space="preserve">Class-wide heatmap, student progress memory, resolution feedback loop, and the academic integrity layer (code-similarity and AI-generated-code detection). Goal: make the signal measurably smarter and add the institutional trust features colleges will require before wider adoption.</w:t>
      </w:r>
    </w:p>
    <w:p>
      <w:pPr>
        <w:pStyle w:val="Heading2"/>
        <w:spacing w:after="120" w:before="260"/>
      </w:pPr>
      <w:r>
        <w:rPr>
          <w:rFonts w:ascii="Cambria" w:cs="Cambria" w:eastAsia="Cambria" w:hAnsi="Cambria"/>
          <w:b/>
          <w:bCs/>
          <w:color w:val="14193F"/>
          <w:sz w:val="24"/>
          <w:szCs w:val="24"/>
        </w:rPr>
        <w:t xml:space="preserve">Phase 3 — Scale &amp; Premium</w:t>
      </w:r>
    </w:p>
    <w:p>
      <w:pPr>
        <w:spacing w:after="160" w:line="300"/>
      </w:pPr>
      <w:r>
        <w:rPr>
          <w:rFonts w:ascii="Calibri" w:cs="Calibri" w:eastAsia="Calibri" w:hAnsi="Calibri"/>
          <w:color w:val="26293D"/>
          <w:sz w:val="22"/>
          <w:szCs w:val="22"/>
        </w:rPr>
        <w:t xml:space="preserve">Zero-setup cloud IDE, Live Code Sync (Follow Mode), multi-lab and multi-college rollout, and the individual student premium subscription. Goal: remove the last adoption friction and open the second revenue stream.</w:t>
      </w:r>
    </w:p>
    <w:p>
      <w:pPr>
        <w:pStyle w:val="Heading1"/>
        <w:pBdr>
          <w:bottom w:val="single" w:color="1E2761" w:sz="8" w:space="6"/>
        </w:pBdr>
        <w:spacing w:after="200" w:before="420"/>
      </w:pPr>
      <w:r>
        <w:rPr>
          <w:rFonts w:ascii="Cambria" w:cs="Cambria" w:eastAsia="Cambria" w:hAnsi="Cambria"/>
          <w:b/>
          <w:bCs/>
          <w:color w:val="1E2761"/>
          <w:sz w:val="30"/>
          <w:szCs w:val="30"/>
        </w:rPr>
        <w:t xml:space="preserve">9.  Vision</w:t>
      </w:r>
    </w:p>
    <w:p>
      <w:pPr>
        <w:spacing w:after="160" w:line="300"/>
      </w:pPr>
      <w:r>
        <w:rPr>
          <w:rFonts w:ascii="Calibri" w:cs="Calibri" w:eastAsia="Calibri" w:hAnsi="Calibri"/>
          <w:i/>
          <w:iCs/>
          <w:color w:val="26293D"/>
          <w:sz w:val="22"/>
          <w:szCs w:val="22"/>
        </w:rPr>
        <w:t xml:space="preserve">The goal of SignalClass is not a smarter machine — it is a professor who always knows exactly where to look. Every feature in this platform is built to remove the guesswork between a struggling student and the teacher who could help them, so that the bond between the two gets deeper and more precisely useful, not replaced.</w:t>
      </w:r>
    </w:p>
    <w:p>
      <w:pPr>
        <w:pStyle w:val="Heading1"/>
        <w:pBdr>
          <w:bottom w:val="single" w:color="1E2761" w:sz="8" w:space="6"/>
        </w:pBdr>
        <w:spacing w:after="200" w:before="420"/>
      </w:pPr>
      <w:r>
        <w:rPr>
          <w:rFonts w:ascii="Cambria" w:cs="Cambria" w:eastAsia="Cambria" w:hAnsi="Cambria"/>
          <w:b/>
          <w:bCs/>
          <w:color w:val="1E2761"/>
          <w:sz w:val="30"/>
          <w:szCs w:val="30"/>
        </w:rPr>
        <w:t xml:space="preserve">10.  Conclusion</w:t>
      </w:r>
    </w:p>
    <w:p>
      <w:pPr>
        <w:spacing w:after="160" w:line="300"/>
      </w:pPr>
      <w:r>
        <w:rPr>
          <w:rFonts w:ascii="Calibri" w:cs="Calibri" w:eastAsia="Calibri" w:hAnsi="Calibri"/>
          <w:color w:val="26293D"/>
          <w:sz w:val="22"/>
          <w:szCs w:val="22"/>
        </w:rPr>
        <w:t xml:space="preserve">SignalClass addresses a real, persistent gap in how programming is taught in large college labs: professors lack visibility into where students are actually stuck, and students lack the vocabulary to ask for the right kind of help. The platform's differentiation is not connectivity — screen-sharing and lab-monitoring tools already solve that — it is diagnostic intelligence: a hierarchical classification engine, a guided (not spoon-feeding) AI assistant, and an academic-integrity layer, all built on top of infrastructure colleges already own. The phased roadmap is intentionally conservative, proving the core diagnosis engine before taking on the platform's more infrastructure-heavy components, and the dual revenue model gives the venture two independent, low-friction paths to adoption.</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2026-09-24T18:06:15.340Z</dcterms:created>
  <dcterms:modified xsi:type="dcterms:W3CDTF">2026-09-24T18:06:15.350Z</dcterms:modified>
</cp:coreProperties>
</file>

<file path=docProps/custom.xml><?xml version="1.0" encoding="utf-8"?>
<Properties xmlns="http://schemas.openxmlformats.org/officeDocument/2006/custom-properties" xmlns:vt="http://schemas.openxmlformats.org/officeDocument/2006/docPropsVTypes"/>
</file>